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4D40" w14:textId="77777777" w:rsidR="0026690F" w:rsidRPr="0019236C" w:rsidRDefault="00C20F11" w:rsidP="00FC5FA6">
      <w:pPr>
        <w:pStyle w:val="Title"/>
        <w:spacing w:before="1320"/>
        <w:ind w:left="-567"/>
        <w:rPr>
          <w:sz w:val="44"/>
          <w:szCs w:val="44"/>
        </w:rPr>
      </w:pPr>
      <w:r w:rsidRPr="0019236C">
        <w:rPr>
          <w:sz w:val="44"/>
          <w:szCs w:val="44"/>
        </w:rPr>
        <w:t>PHN Program</w:t>
      </w:r>
    </w:p>
    <w:p w14:paraId="1C71D7DF" w14:textId="4E6D636E" w:rsidR="00751A23" w:rsidRPr="0019236C" w:rsidRDefault="00C20F11" w:rsidP="00FC5FA6">
      <w:pPr>
        <w:pStyle w:val="Title"/>
        <w:spacing w:before="1560"/>
        <w:ind w:left="-567"/>
        <w:rPr>
          <w:sz w:val="44"/>
          <w:szCs w:val="44"/>
        </w:rPr>
      </w:pPr>
      <w:r w:rsidRPr="0019236C">
        <w:rPr>
          <w:sz w:val="44"/>
          <w:szCs w:val="44"/>
        </w:rPr>
        <w:t xml:space="preserve">Performance Measurement and Reporting Framework </w:t>
      </w:r>
    </w:p>
    <w:p w14:paraId="567349E5" w14:textId="0E22F159" w:rsidR="00CA79CF" w:rsidRPr="00A069A2" w:rsidRDefault="008C41E8" w:rsidP="00FC5FA6">
      <w:pPr>
        <w:pStyle w:val="Subtitle"/>
        <w:ind w:left="-567"/>
      </w:pPr>
      <w:r w:rsidRPr="00A069A2">
        <w:t xml:space="preserve">Part A: </w:t>
      </w:r>
      <w:r w:rsidR="00750D83" w:rsidRPr="00A069A2">
        <w:t xml:space="preserve">Background </w:t>
      </w:r>
      <w:r w:rsidR="00252079" w:rsidRPr="00A069A2">
        <w:t>– August</w:t>
      </w:r>
      <w:r w:rsidR="00796812" w:rsidRPr="00A069A2">
        <w:t xml:space="preserve"> </w:t>
      </w:r>
      <w:r w:rsidR="00750D83" w:rsidRPr="00A069A2">
        <w:t>2025</w:t>
      </w:r>
    </w:p>
    <w:p w14:paraId="1FE6C5C3" w14:textId="3A2F0505" w:rsidR="00CA7BB9" w:rsidRPr="00CA7BB9" w:rsidRDefault="00CA7BB9" w:rsidP="00CA7BB9">
      <w:pPr>
        <w:tabs>
          <w:tab w:val="left" w:pos="3525"/>
        </w:tabs>
        <w:sectPr w:rsidR="00CA7BB9" w:rsidRPr="00CA7BB9"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1692CDBF" w14:textId="77777777" w:rsidR="00604DEA" w:rsidRPr="00A069A2" w:rsidRDefault="00604DEA" w:rsidP="004D3ABB">
      <w:pPr>
        <w:rPr>
          <w:rFonts w:cs="Arial"/>
          <w:b/>
          <w:bCs/>
          <w:sz w:val="19"/>
          <w:szCs w:val="19"/>
        </w:rPr>
      </w:pPr>
      <w:r w:rsidRPr="00A069A2">
        <w:rPr>
          <w:rFonts w:cs="Arial"/>
          <w:b/>
          <w:bCs/>
          <w:sz w:val="19"/>
          <w:szCs w:val="19"/>
        </w:rPr>
        <w:lastRenderedPageBreak/>
        <w:t>Copyright</w:t>
      </w:r>
    </w:p>
    <w:p w14:paraId="18EBE3FE" w14:textId="7569EFE7" w:rsidR="00604DEA" w:rsidRPr="00A069A2" w:rsidRDefault="00604DEA" w:rsidP="00604DEA">
      <w:pPr>
        <w:spacing w:after="240"/>
        <w:rPr>
          <w:rFonts w:cs="Arial"/>
          <w:sz w:val="19"/>
          <w:szCs w:val="19"/>
        </w:rPr>
      </w:pPr>
      <w:r w:rsidRPr="00A069A2">
        <w:rPr>
          <w:rFonts w:cs="Arial"/>
          <w:sz w:val="19"/>
          <w:szCs w:val="19"/>
        </w:rPr>
        <w:t>© 20</w:t>
      </w:r>
      <w:r w:rsidR="003E00D2" w:rsidRPr="00A069A2">
        <w:rPr>
          <w:rFonts w:cs="Arial"/>
          <w:sz w:val="19"/>
          <w:szCs w:val="19"/>
        </w:rPr>
        <w:t>25</w:t>
      </w:r>
      <w:r w:rsidRPr="00A069A2">
        <w:rPr>
          <w:rFonts w:cs="Arial"/>
          <w:sz w:val="19"/>
          <w:szCs w:val="19"/>
        </w:rPr>
        <w:t xml:space="preserve"> Commonwealth of Australia as represented by the Department of Health, Disability and Ageing </w:t>
      </w:r>
    </w:p>
    <w:p w14:paraId="1BEDF730" w14:textId="77777777" w:rsidR="00604DEA" w:rsidRPr="00A069A2" w:rsidRDefault="00604DEA" w:rsidP="00604DEA">
      <w:pPr>
        <w:spacing w:after="240"/>
        <w:rPr>
          <w:rFonts w:cs="Arial"/>
          <w:b/>
          <w:sz w:val="19"/>
          <w:szCs w:val="19"/>
        </w:rPr>
      </w:pPr>
      <w:r w:rsidRPr="00A069A2">
        <w:rPr>
          <w:rFonts w:cs="Arial"/>
          <w:b/>
          <w:sz w:val="19"/>
          <w:szCs w:val="19"/>
        </w:rPr>
        <w:t>Creative Commons Licence</w:t>
      </w:r>
    </w:p>
    <w:p w14:paraId="1330C036" w14:textId="77777777" w:rsidR="00604DEA" w:rsidRPr="00A069A2" w:rsidRDefault="00604DEA" w:rsidP="00604DEA">
      <w:pPr>
        <w:rPr>
          <w:rFonts w:cs="Arial"/>
          <w:sz w:val="19"/>
          <w:szCs w:val="19"/>
        </w:rPr>
      </w:pPr>
      <w:r w:rsidRPr="00A069A2">
        <w:rPr>
          <w:rFonts w:cs="Arial"/>
          <w:noProof/>
          <w:sz w:val="19"/>
          <w:szCs w:val="19"/>
        </w:rPr>
        <w:drawing>
          <wp:inline distT="0" distB="0" distL="0" distR="0" wp14:anchorId="7CB155EC" wp14:editId="035B6AEE">
            <wp:extent cx="1026160" cy="356870"/>
            <wp:effectExtent l="0" t="0" r="2540" b="5080"/>
            <wp:docPr id="2017291258" name="Picture 2017291258" descr="cid:image001.png@01D10CD1.33FE7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0CD1.33FE7F7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026160" cy="356870"/>
                    </a:xfrm>
                    <a:prstGeom prst="rect">
                      <a:avLst/>
                    </a:prstGeom>
                    <a:noFill/>
                    <a:ln>
                      <a:noFill/>
                    </a:ln>
                  </pic:spPr>
                </pic:pic>
              </a:graphicData>
            </a:graphic>
          </wp:inline>
        </w:drawing>
      </w:r>
    </w:p>
    <w:p w14:paraId="504A8DF1" w14:textId="77777777" w:rsidR="00604DEA" w:rsidRPr="00A069A2" w:rsidRDefault="00604DEA" w:rsidP="00604DEA">
      <w:pPr>
        <w:autoSpaceDE w:val="0"/>
        <w:autoSpaceDN w:val="0"/>
        <w:spacing w:before="240" w:after="240" w:line="181" w:lineRule="atLeast"/>
        <w:rPr>
          <w:rFonts w:cs="Arial"/>
          <w:sz w:val="19"/>
          <w:szCs w:val="19"/>
        </w:rPr>
      </w:pPr>
      <w:r w:rsidRPr="00A069A2">
        <w:rPr>
          <w:rFonts w:cs="Arial"/>
          <w:sz w:val="19"/>
          <w:szCs w:val="19"/>
        </w:rPr>
        <w:t xml:space="preserve">This publication is licensed under the Creative Commons Attribution 4.0 International Public License available from </w:t>
      </w:r>
      <w:hyperlink r:id="rId18" w:history="1">
        <w:r w:rsidRPr="00A069A2">
          <w:rPr>
            <w:rStyle w:val="Hyperlink"/>
            <w:rFonts w:cs="Arial"/>
            <w:sz w:val="19"/>
            <w:szCs w:val="19"/>
          </w:rPr>
          <w:t>https://creativecommons.org/licenses/by/4.0/legalcode</w:t>
        </w:r>
      </w:hyperlink>
      <w:r w:rsidRPr="00A069A2">
        <w:rPr>
          <w:rStyle w:val="Hyperlink"/>
          <w:rFonts w:cs="Arial"/>
          <w:sz w:val="19"/>
          <w:szCs w:val="19"/>
        </w:rPr>
        <w:t xml:space="preserve"> </w:t>
      </w:r>
      <w:r w:rsidRPr="00A069A2">
        <w:rPr>
          <w:rFonts w:cs="Arial"/>
          <w:sz w:val="19"/>
          <w:szCs w:val="19"/>
        </w:rPr>
        <w:t xml:space="preserve">(“Licence”). You must read and understand the Licence before using any material from this publication. </w:t>
      </w:r>
    </w:p>
    <w:p w14:paraId="5734247A" w14:textId="77777777" w:rsidR="00604DEA" w:rsidRPr="00A069A2" w:rsidRDefault="00604DEA" w:rsidP="004552BC">
      <w:pPr>
        <w:autoSpaceDE w:val="0"/>
        <w:autoSpaceDN w:val="0"/>
        <w:spacing w:before="100" w:line="181" w:lineRule="atLeast"/>
        <w:rPr>
          <w:rFonts w:cs="Arial"/>
          <w:sz w:val="19"/>
          <w:szCs w:val="19"/>
        </w:rPr>
      </w:pPr>
      <w:r w:rsidRPr="00A069A2">
        <w:rPr>
          <w:rFonts w:cs="Arial"/>
          <w:sz w:val="19"/>
          <w:szCs w:val="19"/>
        </w:rPr>
        <w:t>Restrictions</w:t>
      </w:r>
    </w:p>
    <w:p w14:paraId="06683291" w14:textId="31C1F918" w:rsidR="00604DEA" w:rsidRPr="00A069A2" w:rsidRDefault="00604DEA" w:rsidP="00604DEA">
      <w:pPr>
        <w:autoSpaceDE w:val="0"/>
        <w:autoSpaceDN w:val="0"/>
        <w:spacing w:before="100" w:after="240" w:line="181" w:lineRule="atLeast"/>
        <w:rPr>
          <w:rFonts w:cs="Arial"/>
          <w:sz w:val="19"/>
          <w:szCs w:val="19"/>
        </w:rPr>
      </w:pPr>
      <w:r w:rsidRPr="00A069A2">
        <w:rPr>
          <w:rFonts w:cs="Arial"/>
          <w:sz w:val="19"/>
          <w:szCs w:val="19"/>
        </w:rPr>
        <w:t>The Licence may not give you all the permissions necessary for your intended use. For example, other rights (such as publicity, privacy and moral rights) may limit how you use the material found in this publication.</w:t>
      </w:r>
    </w:p>
    <w:p w14:paraId="66689AC6" w14:textId="77777777" w:rsidR="00604DEA" w:rsidRPr="00A069A2" w:rsidRDefault="00604DEA" w:rsidP="00604DEA">
      <w:pPr>
        <w:autoSpaceDE w:val="0"/>
        <w:autoSpaceDN w:val="0"/>
        <w:spacing w:before="100" w:line="181" w:lineRule="atLeast"/>
        <w:rPr>
          <w:rFonts w:cs="Arial"/>
          <w:sz w:val="19"/>
          <w:szCs w:val="19"/>
        </w:rPr>
      </w:pPr>
      <w:r w:rsidRPr="00A069A2">
        <w:rPr>
          <w:rFonts w:cs="Arial"/>
          <w:sz w:val="19"/>
          <w:szCs w:val="19"/>
        </w:rPr>
        <w:t xml:space="preserve">The Licence does not cover, and there is no permission given for, use of any of the following material found in this publication: </w:t>
      </w:r>
    </w:p>
    <w:p w14:paraId="56067D50" w14:textId="77777777" w:rsidR="00604DEA" w:rsidRPr="00A069A2" w:rsidRDefault="00604DEA" w:rsidP="0025176E">
      <w:pPr>
        <w:pStyle w:val="ListParagraph"/>
        <w:numPr>
          <w:ilvl w:val="0"/>
          <w:numId w:val="17"/>
        </w:numPr>
        <w:spacing w:before="0" w:after="0" w:line="240" w:lineRule="auto"/>
        <w:rPr>
          <w:rFonts w:cs="Arial"/>
          <w:sz w:val="19"/>
          <w:szCs w:val="19"/>
        </w:rPr>
      </w:pPr>
      <w:r w:rsidRPr="00A069A2">
        <w:rPr>
          <w:rFonts w:cs="Arial"/>
          <w:sz w:val="19"/>
          <w:szCs w:val="19"/>
        </w:rPr>
        <w:t xml:space="preserve">the Commonwealth Coat of Arms. (by way of information, the terms under which the Coat of Arms may be used can be found on the Department of the Prime Minister and Cabinet website </w:t>
      </w:r>
      <w:hyperlink r:id="rId19">
        <w:r w:rsidRPr="00A069A2">
          <w:rPr>
            <w:rStyle w:val="Hyperlink"/>
            <w:rFonts w:cs="Arial"/>
            <w:sz w:val="19"/>
            <w:szCs w:val="19"/>
          </w:rPr>
          <w:t>https://www.pmc.gov.au/resources/commonwealth-coat-arms-information-and-guidelines</w:t>
        </w:r>
      </w:hyperlink>
      <w:hyperlink r:id="rId20">
        <w:r w:rsidRPr="00A069A2">
          <w:rPr>
            <w:rStyle w:val="Hyperlink"/>
            <w:rFonts w:cs="Arial"/>
            <w:sz w:val="19"/>
            <w:szCs w:val="19"/>
          </w:rPr>
          <w:t>);</w:t>
        </w:r>
      </w:hyperlink>
    </w:p>
    <w:p w14:paraId="520248AB" w14:textId="77777777" w:rsidR="00604DEA" w:rsidRPr="00A069A2" w:rsidRDefault="00604DEA" w:rsidP="0025176E">
      <w:pPr>
        <w:pStyle w:val="ListParagraph"/>
        <w:numPr>
          <w:ilvl w:val="0"/>
          <w:numId w:val="17"/>
        </w:numPr>
        <w:spacing w:before="0" w:after="0" w:line="240" w:lineRule="auto"/>
        <w:rPr>
          <w:rFonts w:cs="Arial"/>
          <w:sz w:val="19"/>
          <w:szCs w:val="19"/>
        </w:rPr>
      </w:pPr>
      <w:r w:rsidRPr="00A069A2">
        <w:rPr>
          <w:rFonts w:cs="Arial"/>
          <w:sz w:val="19"/>
          <w:szCs w:val="19"/>
        </w:rPr>
        <w:t>any logos and trademarks;</w:t>
      </w:r>
    </w:p>
    <w:p w14:paraId="3CAAA376" w14:textId="77777777" w:rsidR="00604DEA" w:rsidRPr="00A069A2" w:rsidRDefault="00604DEA" w:rsidP="0025176E">
      <w:pPr>
        <w:pStyle w:val="ListParagraph"/>
        <w:numPr>
          <w:ilvl w:val="0"/>
          <w:numId w:val="17"/>
        </w:numPr>
        <w:spacing w:before="0" w:after="0" w:line="240" w:lineRule="auto"/>
        <w:rPr>
          <w:rFonts w:cs="Arial"/>
          <w:sz w:val="19"/>
          <w:szCs w:val="19"/>
        </w:rPr>
      </w:pPr>
      <w:r w:rsidRPr="00A069A2">
        <w:rPr>
          <w:rFonts w:cs="Arial"/>
          <w:sz w:val="19"/>
          <w:szCs w:val="19"/>
        </w:rPr>
        <w:t xml:space="preserve">any photographs and images; </w:t>
      </w:r>
    </w:p>
    <w:p w14:paraId="794DA973" w14:textId="77777777" w:rsidR="00604DEA" w:rsidRPr="00A069A2" w:rsidRDefault="00604DEA" w:rsidP="0025176E">
      <w:pPr>
        <w:pStyle w:val="ListParagraph"/>
        <w:numPr>
          <w:ilvl w:val="0"/>
          <w:numId w:val="17"/>
        </w:numPr>
        <w:spacing w:before="0" w:after="0" w:line="240" w:lineRule="auto"/>
        <w:rPr>
          <w:rFonts w:cs="Arial"/>
          <w:sz w:val="19"/>
          <w:szCs w:val="19"/>
        </w:rPr>
      </w:pPr>
      <w:r w:rsidRPr="00A069A2">
        <w:rPr>
          <w:rFonts w:cs="Arial"/>
          <w:sz w:val="19"/>
          <w:szCs w:val="19"/>
        </w:rPr>
        <w:t>any signatures; and</w:t>
      </w:r>
    </w:p>
    <w:p w14:paraId="336A9AD6" w14:textId="77777777" w:rsidR="00604DEA" w:rsidRPr="00A069A2" w:rsidRDefault="00604DEA" w:rsidP="0025176E">
      <w:pPr>
        <w:pStyle w:val="ListParagraph"/>
        <w:numPr>
          <w:ilvl w:val="0"/>
          <w:numId w:val="17"/>
        </w:numPr>
        <w:spacing w:before="0" w:after="0" w:line="240" w:lineRule="auto"/>
        <w:rPr>
          <w:rFonts w:cs="Arial"/>
          <w:sz w:val="19"/>
          <w:szCs w:val="19"/>
        </w:rPr>
      </w:pPr>
      <w:r w:rsidRPr="00A069A2">
        <w:rPr>
          <w:rFonts w:cs="Arial"/>
          <w:sz w:val="19"/>
          <w:szCs w:val="19"/>
        </w:rPr>
        <w:t>any material belonging to third parties identified in this publication.</w:t>
      </w:r>
    </w:p>
    <w:p w14:paraId="1BC2D98A" w14:textId="77777777" w:rsidR="00604DEA" w:rsidRPr="00A069A2" w:rsidRDefault="00604DEA" w:rsidP="004552BC">
      <w:pPr>
        <w:autoSpaceDE w:val="0"/>
        <w:autoSpaceDN w:val="0"/>
        <w:rPr>
          <w:rFonts w:cs="Arial"/>
          <w:sz w:val="19"/>
          <w:szCs w:val="19"/>
        </w:rPr>
      </w:pPr>
      <w:r w:rsidRPr="00A069A2">
        <w:rPr>
          <w:rFonts w:cs="Arial"/>
          <w:sz w:val="19"/>
          <w:szCs w:val="19"/>
        </w:rPr>
        <w:t>Attribution</w:t>
      </w:r>
    </w:p>
    <w:p w14:paraId="1D2035C9" w14:textId="77777777" w:rsidR="00604DEA" w:rsidRPr="00A069A2" w:rsidRDefault="00604DEA" w:rsidP="004552BC">
      <w:pPr>
        <w:autoSpaceDE w:val="0"/>
        <w:autoSpaceDN w:val="0"/>
        <w:spacing w:before="0" w:line="181" w:lineRule="atLeast"/>
        <w:rPr>
          <w:rFonts w:cs="Arial"/>
          <w:sz w:val="19"/>
          <w:szCs w:val="19"/>
        </w:rPr>
      </w:pPr>
      <w:r w:rsidRPr="00A069A2">
        <w:rPr>
          <w:rFonts w:cs="Arial"/>
          <w:sz w:val="19"/>
          <w:szCs w:val="19"/>
        </w:rPr>
        <w:t>Without limiting your obligations under the Licence, the Department of Health, Disability and Ageing requests that you attribute this publication in your work. Any reasonable form of words may be used provided that you:</w:t>
      </w:r>
    </w:p>
    <w:p w14:paraId="77BC31C3" w14:textId="77777777" w:rsidR="00604DEA" w:rsidRPr="00A069A2" w:rsidRDefault="00604DEA" w:rsidP="0025176E">
      <w:pPr>
        <w:pStyle w:val="ListParagraph"/>
        <w:numPr>
          <w:ilvl w:val="0"/>
          <w:numId w:val="18"/>
        </w:numPr>
        <w:autoSpaceDE w:val="0"/>
        <w:autoSpaceDN w:val="0"/>
        <w:spacing w:before="0" w:after="0" w:line="181" w:lineRule="atLeast"/>
        <w:jc w:val="both"/>
        <w:rPr>
          <w:rFonts w:cs="Arial"/>
          <w:sz w:val="19"/>
          <w:szCs w:val="19"/>
        </w:rPr>
      </w:pPr>
      <w:r w:rsidRPr="00A069A2">
        <w:rPr>
          <w:rFonts w:cs="Arial"/>
          <w:sz w:val="19"/>
          <w:szCs w:val="19"/>
        </w:rPr>
        <w:t xml:space="preserve">include a reference to this publication and where practicable, the relevant page numbers; </w:t>
      </w:r>
    </w:p>
    <w:p w14:paraId="09CE0C91" w14:textId="77777777" w:rsidR="00604DEA" w:rsidRPr="00A069A2" w:rsidRDefault="00604DEA" w:rsidP="0025176E">
      <w:pPr>
        <w:pStyle w:val="ListParagraph"/>
        <w:numPr>
          <w:ilvl w:val="0"/>
          <w:numId w:val="18"/>
        </w:numPr>
        <w:autoSpaceDE w:val="0"/>
        <w:autoSpaceDN w:val="0"/>
        <w:spacing w:before="0" w:after="0" w:line="181" w:lineRule="atLeast"/>
        <w:jc w:val="both"/>
        <w:rPr>
          <w:rFonts w:cs="Arial"/>
          <w:sz w:val="19"/>
          <w:szCs w:val="19"/>
        </w:rPr>
      </w:pPr>
      <w:r w:rsidRPr="00A069A2">
        <w:rPr>
          <w:rFonts w:cs="Arial"/>
          <w:sz w:val="19"/>
          <w:szCs w:val="19"/>
        </w:rPr>
        <w:t>make it clear that you have permission to use the material under the Creative Commons Attribution 4.0 International Public License;</w:t>
      </w:r>
    </w:p>
    <w:p w14:paraId="40C4BA91" w14:textId="77777777" w:rsidR="00604DEA" w:rsidRPr="00A069A2" w:rsidRDefault="00604DEA" w:rsidP="0025176E">
      <w:pPr>
        <w:pStyle w:val="ListParagraph"/>
        <w:numPr>
          <w:ilvl w:val="0"/>
          <w:numId w:val="18"/>
        </w:numPr>
        <w:autoSpaceDE w:val="0"/>
        <w:autoSpaceDN w:val="0"/>
        <w:spacing w:before="0" w:after="0" w:line="181" w:lineRule="atLeast"/>
        <w:jc w:val="both"/>
        <w:rPr>
          <w:rFonts w:cs="Arial"/>
          <w:sz w:val="19"/>
          <w:szCs w:val="19"/>
        </w:rPr>
      </w:pPr>
      <w:r w:rsidRPr="00A069A2">
        <w:rPr>
          <w:rFonts w:cs="Arial"/>
          <w:sz w:val="19"/>
          <w:szCs w:val="19"/>
        </w:rPr>
        <w:t xml:space="preserve">make it clear whether or not you have changed the material used from this publication; </w:t>
      </w:r>
    </w:p>
    <w:p w14:paraId="563626BD" w14:textId="20F2C3A9" w:rsidR="00604DEA" w:rsidRPr="00A069A2" w:rsidRDefault="00604DEA" w:rsidP="0025176E">
      <w:pPr>
        <w:pStyle w:val="ListParagraph"/>
        <w:numPr>
          <w:ilvl w:val="0"/>
          <w:numId w:val="18"/>
        </w:numPr>
        <w:autoSpaceDE w:val="0"/>
        <w:autoSpaceDN w:val="0"/>
        <w:spacing w:before="0" w:after="0" w:line="181" w:lineRule="atLeast"/>
        <w:jc w:val="both"/>
        <w:rPr>
          <w:rFonts w:cs="Arial"/>
          <w:sz w:val="19"/>
          <w:szCs w:val="19"/>
        </w:rPr>
      </w:pPr>
      <w:r w:rsidRPr="00A069A2">
        <w:rPr>
          <w:rFonts w:cs="Arial"/>
          <w:sz w:val="19"/>
          <w:szCs w:val="19"/>
        </w:rPr>
        <w:t>include a copyright notice in relation to the material used. In the case of no change to the material, the words “© Commonwealth of Australia (Department of Health, Disability and Ageing) 20</w:t>
      </w:r>
      <w:r w:rsidR="00ED154F" w:rsidRPr="00A069A2">
        <w:rPr>
          <w:rFonts w:cs="Arial"/>
          <w:sz w:val="19"/>
          <w:szCs w:val="19"/>
        </w:rPr>
        <w:t>25</w:t>
      </w:r>
      <w:r w:rsidRPr="00A069A2">
        <w:rPr>
          <w:rFonts w:cs="Arial"/>
          <w:sz w:val="19"/>
          <w:szCs w:val="19"/>
        </w:rPr>
        <w:t>” may be used. In the case where the material has been changed or adapted, the words: “Based on Commonwealth of Australia (Department of Health, Disability and Ageing) material” may be used; and</w:t>
      </w:r>
    </w:p>
    <w:p w14:paraId="7679073C" w14:textId="77777777" w:rsidR="00604DEA" w:rsidRPr="00A069A2" w:rsidRDefault="00604DEA" w:rsidP="0025176E">
      <w:pPr>
        <w:pStyle w:val="ListParagraph"/>
        <w:numPr>
          <w:ilvl w:val="0"/>
          <w:numId w:val="18"/>
        </w:numPr>
        <w:autoSpaceDE w:val="0"/>
        <w:autoSpaceDN w:val="0"/>
        <w:spacing w:before="0" w:after="0" w:line="181" w:lineRule="atLeast"/>
        <w:jc w:val="both"/>
        <w:rPr>
          <w:rFonts w:cs="Arial"/>
          <w:sz w:val="19"/>
          <w:szCs w:val="19"/>
        </w:rPr>
      </w:pPr>
      <w:r w:rsidRPr="00A069A2">
        <w:rPr>
          <w:rFonts w:cs="Arial"/>
          <w:sz w:val="19"/>
          <w:szCs w:val="19"/>
        </w:rPr>
        <w:t>do not suggest that the Department of Health, Disability and Ageing endorses you or your use of the material.</w:t>
      </w:r>
    </w:p>
    <w:p w14:paraId="1C177C30" w14:textId="77777777" w:rsidR="00604DEA" w:rsidRPr="00A069A2" w:rsidRDefault="00604DEA" w:rsidP="00604DEA">
      <w:pPr>
        <w:pStyle w:val="ListParagraph"/>
        <w:tabs>
          <w:tab w:val="left" w:pos="426"/>
          <w:tab w:val="left" w:pos="1560"/>
        </w:tabs>
        <w:autoSpaceDE w:val="0"/>
        <w:autoSpaceDN w:val="0"/>
        <w:spacing w:line="181" w:lineRule="atLeast"/>
        <w:ind w:left="780" w:right="-766"/>
        <w:rPr>
          <w:rFonts w:cs="Arial"/>
          <w:sz w:val="19"/>
          <w:szCs w:val="19"/>
        </w:rPr>
      </w:pPr>
    </w:p>
    <w:p w14:paraId="4C040CC9" w14:textId="77777777" w:rsidR="00604DEA" w:rsidRPr="00A069A2" w:rsidRDefault="00604DEA" w:rsidP="004552BC">
      <w:pPr>
        <w:autoSpaceDE w:val="0"/>
        <w:autoSpaceDN w:val="0"/>
        <w:rPr>
          <w:rFonts w:cs="Arial"/>
          <w:sz w:val="19"/>
          <w:szCs w:val="19"/>
        </w:rPr>
      </w:pPr>
      <w:r w:rsidRPr="00A069A2">
        <w:rPr>
          <w:rFonts w:cs="Arial"/>
          <w:sz w:val="19"/>
          <w:szCs w:val="19"/>
        </w:rPr>
        <w:t>Enquiries</w:t>
      </w:r>
    </w:p>
    <w:p w14:paraId="27C42C76" w14:textId="47323AAC" w:rsidR="000F57FF" w:rsidRPr="00A069A2" w:rsidRDefault="00604DEA" w:rsidP="00130EFA">
      <w:r w:rsidRPr="00A069A2">
        <w:rPr>
          <w:rFonts w:cs="Arial"/>
          <w:sz w:val="19"/>
          <w:szCs w:val="19"/>
        </w:rPr>
        <w:t xml:space="preserve">Enquiries regarding any other use of this publication should be addressed to the Branch Manager, Corporate Communication Branch, Department of Health, Disability and Ageing, GPO Box 9848, Canberra ACT 2601, or via e-mail to </w:t>
      </w:r>
      <w:hyperlink r:id="rId21" w:history="1">
        <w:r w:rsidRPr="00A069A2">
          <w:rPr>
            <w:rStyle w:val="Hyperlink"/>
            <w:rFonts w:cs="Arial"/>
            <w:sz w:val="19"/>
            <w:szCs w:val="19"/>
          </w:rPr>
          <w:t>copyright@health.gov.au</w:t>
        </w:r>
      </w:hyperlink>
      <w:r w:rsidR="000F57FF" w:rsidRPr="00A069A2">
        <w:rPr>
          <w:b/>
          <w:bCs/>
        </w:rPr>
        <w:br w:type="page"/>
      </w:r>
    </w:p>
    <w:bookmarkStart w:id="0" w:name="_Toc211333045" w:displacedByCustomXml="next"/>
    <w:bookmarkStart w:id="1" w:name="_Toc206520944" w:displacedByCustomXml="next"/>
    <w:sdt>
      <w:sdtPr>
        <w:rPr>
          <w:rFonts w:cs="Times New Roman"/>
          <w:b w:val="0"/>
          <w:bCs w:val="0"/>
          <w:color w:val="000000" w:themeColor="text1"/>
          <w:kern w:val="0"/>
          <w:sz w:val="22"/>
          <w:szCs w:val="24"/>
        </w:rPr>
        <w:id w:val="-1383551479"/>
        <w:docPartObj>
          <w:docPartGallery w:val="Table of Contents"/>
          <w:docPartUnique/>
        </w:docPartObj>
      </w:sdtPr>
      <w:sdtEndPr>
        <w:rPr>
          <w:szCs w:val="22"/>
        </w:rPr>
      </w:sdtEndPr>
      <w:sdtContent>
        <w:p w14:paraId="237C445D" w14:textId="4CAD19D0" w:rsidR="00C848E9" w:rsidRPr="00A069A2" w:rsidRDefault="00C848E9" w:rsidP="00950757">
          <w:pPr>
            <w:pStyle w:val="Heading1"/>
          </w:pPr>
          <w:r w:rsidRPr="00A069A2">
            <w:t>Contents</w:t>
          </w:r>
          <w:bookmarkEnd w:id="1"/>
          <w:bookmarkEnd w:id="0"/>
        </w:p>
        <w:p w14:paraId="401CEA7B" w14:textId="4EA866D6" w:rsidR="00795618" w:rsidRDefault="00C848E9">
          <w:pPr>
            <w:pStyle w:val="TOC1"/>
            <w:tabs>
              <w:tab w:val="right" w:leader="dot" w:pos="9016"/>
            </w:tabs>
            <w:rPr>
              <w:rFonts w:asciiTheme="minorHAnsi" w:eastAsiaTheme="minorEastAsia" w:hAnsiTheme="minorHAnsi" w:cstheme="minorBidi"/>
              <w:noProof/>
              <w:color w:val="auto"/>
              <w:kern w:val="2"/>
              <w:sz w:val="24"/>
              <w:lang w:eastAsia="en-AU"/>
              <w14:ligatures w14:val="standardContextual"/>
            </w:rPr>
          </w:pPr>
          <w:r w:rsidRPr="00A069A2">
            <w:fldChar w:fldCharType="begin"/>
          </w:r>
          <w:r w:rsidRPr="00A069A2">
            <w:instrText xml:space="preserve"> TOC \o "1-3" \h \z \u </w:instrText>
          </w:r>
          <w:r w:rsidRPr="00A069A2">
            <w:fldChar w:fldCharType="separate"/>
          </w:r>
          <w:hyperlink w:anchor="_Toc211333045" w:history="1">
            <w:r w:rsidR="00795618" w:rsidRPr="004A6684">
              <w:rPr>
                <w:rStyle w:val="Hyperlink"/>
                <w:noProof/>
              </w:rPr>
              <w:t>Contents</w:t>
            </w:r>
            <w:r w:rsidR="00795618">
              <w:rPr>
                <w:noProof/>
                <w:webHidden/>
              </w:rPr>
              <w:tab/>
            </w:r>
            <w:r w:rsidR="00795618">
              <w:rPr>
                <w:noProof/>
                <w:webHidden/>
              </w:rPr>
              <w:fldChar w:fldCharType="begin"/>
            </w:r>
            <w:r w:rsidR="00795618">
              <w:rPr>
                <w:noProof/>
                <w:webHidden/>
              </w:rPr>
              <w:instrText xml:space="preserve"> PAGEREF _Toc211333045 \h </w:instrText>
            </w:r>
            <w:r w:rsidR="00795618">
              <w:rPr>
                <w:noProof/>
                <w:webHidden/>
              </w:rPr>
            </w:r>
            <w:r w:rsidR="00795618">
              <w:rPr>
                <w:noProof/>
                <w:webHidden/>
              </w:rPr>
              <w:fldChar w:fldCharType="separate"/>
            </w:r>
            <w:r w:rsidR="005A59B5">
              <w:rPr>
                <w:noProof/>
                <w:webHidden/>
              </w:rPr>
              <w:t>3</w:t>
            </w:r>
            <w:r w:rsidR="00795618">
              <w:rPr>
                <w:noProof/>
                <w:webHidden/>
              </w:rPr>
              <w:fldChar w:fldCharType="end"/>
            </w:r>
          </w:hyperlink>
        </w:p>
        <w:p w14:paraId="305C450E" w14:textId="23E4C502" w:rsidR="00795618" w:rsidRDefault="00795618">
          <w:pPr>
            <w:pStyle w:val="TOC1"/>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46" w:history="1">
            <w:r w:rsidRPr="004A6684">
              <w:rPr>
                <w:rStyle w:val="Hyperlink"/>
                <w:noProof/>
              </w:rPr>
              <w:t>Table of Figures</w:t>
            </w:r>
            <w:r>
              <w:rPr>
                <w:noProof/>
                <w:webHidden/>
              </w:rPr>
              <w:tab/>
            </w:r>
            <w:r>
              <w:rPr>
                <w:noProof/>
                <w:webHidden/>
              </w:rPr>
              <w:fldChar w:fldCharType="begin"/>
            </w:r>
            <w:r>
              <w:rPr>
                <w:noProof/>
                <w:webHidden/>
              </w:rPr>
              <w:instrText xml:space="preserve"> PAGEREF _Toc211333046 \h </w:instrText>
            </w:r>
            <w:r>
              <w:rPr>
                <w:noProof/>
                <w:webHidden/>
              </w:rPr>
            </w:r>
            <w:r>
              <w:rPr>
                <w:noProof/>
                <w:webHidden/>
              </w:rPr>
              <w:fldChar w:fldCharType="separate"/>
            </w:r>
            <w:r w:rsidR="005A59B5">
              <w:rPr>
                <w:noProof/>
                <w:webHidden/>
              </w:rPr>
              <w:t>4</w:t>
            </w:r>
            <w:r>
              <w:rPr>
                <w:noProof/>
                <w:webHidden/>
              </w:rPr>
              <w:fldChar w:fldCharType="end"/>
            </w:r>
          </w:hyperlink>
        </w:p>
        <w:p w14:paraId="5ED1F1CA" w14:textId="6E1C2FB2" w:rsidR="00795618" w:rsidRDefault="00795618">
          <w:pPr>
            <w:pStyle w:val="TOC1"/>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47" w:history="1">
            <w:r w:rsidRPr="004A6684">
              <w:rPr>
                <w:rStyle w:val="Hyperlink"/>
                <w:noProof/>
              </w:rPr>
              <w:t>Introduction</w:t>
            </w:r>
            <w:r>
              <w:rPr>
                <w:noProof/>
                <w:webHidden/>
              </w:rPr>
              <w:tab/>
            </w:r>
            <w:r>
              <w:rPr>
                <w:noProof/>
                <w:webHidden/>
              </w:rPr>
              <w:fldChar w:fldCharType="begin"/>
            </w:r>
            <w:r>
              <w:rPr>
                <w:noProof/>
                <w:webHidden/>
              </w:rPr>
              <w:instrText xml:space="preserve"> PAGEREF _Toc211333047 \h </w:instrText>
            </w:r>
            <w:r>
              <w:rPr>
                <w:noProof/>
                <w:webHidden/>
              </w:rPr>
            </w:r>
            <w:r>
              <w:rPr>
                <w:noProof/>
                <w:webHidden/>
              </w:rPr>
              <w:fldChar w:fldCharType="separate"/>
            </w:r>
            <w:r w:rsidR="005A59B5">
              <w:rPr>
                <w:noProof/>
                <w:webHidden/>
              </w:rPr>
              <w:t>5</w:t>
            </w:r>
            <w:r>
              <w:rPr>
                <w:noProof/>
                <w:webHidden/>
              </w:rPr>
              <w:fldChar w:fldCharType="end"/>
            </w:r>
          </w:hyperlink>
        </w:p>
        <w:p w14:paraId="3735CC11" w14:textId="2D195A3F" w:rsidR="00795618" w:rsidRDefault="00795618">
          <w:pPr>
            <w:pStyle w:val="TOC2"/>
            <w:tabs>
              <w:tab w:val="left" w:pos="660"/>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48" w:history="1">
            <w:r w:rsidRPr="004A6684">
              <w:rPr>
                <w:rStyle w:val="Hyperlink"/>
                <w:noProof/>
              </w:rPr>
              <w:t>1.</w:t>
            </w:r>
            <w:r>
              <w:rPr>
                <w:rFonts w:asciiTheme="minorHAnsi" w:eastAsiaTheme="minorEastAsia" w:hAnsiTheme="minorHAnsi" w:cstheme="minorBidi"/>
                <w:noProof/>
                <w:color w:val="auto"/>
                <w:kern w:val="2"/>
                <w:sz w:val="24"/>
                <w:lang w:eastAsia="en-AU"/>
                <w14:ligatures w14:val="standardContextual"/>
              </w:rPr>
              <w:tab/>
            </w:r>
            <w:r w:rsidRPr="004A6684">
              <w:rPr>
                <w:rStyle w:val="Hyperlink"/>
                <w:noProof/>
              </w:rPr>
              <w:t>The Primary Health Network Program</w:t>
            </w:r>
            <w:r>
              <w:rPr>
                <w:noProof/>
                <w:webHidden/>
              </w:rPr>
              <w:tab/>
            </w:r>
            <w:r>
              <w:rPr>
                <w:noProof/>
                <w:webHidden/>
              </w:rPr>
              <w:fldChar w:fldCharType="begin"/>
            </w:r>
            <w:r>
              <w:rPr>
                <w:noProof/>
                <w:webHidden/>
              </w:rPr>
              <w:instrText xml:space="preserve"> PAGEREF _Toc211333048 \h </w:instrText>
            </w:r>
            <w:r>
              <w:rPr>
                <w:noProof/>
                <w:webHidden/>
              </w:rPr>
            </w:r>
            <w:r>
              <w:rPr>
                <w:noProof/>
                <w:webHidden/>
              </w:rPr>
              <w:fldChar w:fldCharType="separate"/>
            </w:r>
            <w:r w:rsidR="005A59B5">
              <w:rPr>
                <w:noProof/>
                <w:webHidden/>
              </w:rPr>
              <w:t>5</w:t>
            </w:r>
            <w:r>
              <w:rPr>
                <w:noProof/>
                <w:webHidden/>
              </w:rPr>
              <w:fldChar w:fldCharType="end"/>
            </w:r>
          </w:hyperlink>
        </w:p>
        <w:p w14:paraId="25E2816B" w14:textId="04754154"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49" w:history="1">
            <w:r w:rsidRPr="004A6684">
              <w:rPr>
                <w:rStyle w:val="Hyperlink"/>
                <w:noProof/>
              </w:rPr>
              <w:t>1.1 Core Functions</w:t>
            </w:r>
            <w:r>
              <w:rPr>
                <w:noProof/>
                <w:webHidden/>
              </w:rPr>
              <w:tab/>
            </w:r>
            <w:r>
              <w:rPr>
                <w:noProof/>
                <w:webHidden/>
              </w:rPr>
              <w:fldChar w:fldCharType="begin"/>
            </w:r>
            <w:r>
              <w:rPr>
                <w:noProof/>
                <w:webHidden/>
              </w:rPr>
              <w:instrText xml:space="preserve"> PAGEREF _Toc211333049 \h </w:instrText>
            </w:r>
            <w:r>
              <w:rPr>
                <w:noProof/>
                <w:webHidden/>
              </w:rPr>
            </w:r>
            <w:r>
              <w:rPr>
                <w:noProof/>
                <w:webHidden/>
              </w:rPr>
              <w:fldChar w:fldCharType="separate"/>
            </w:r>
            <w:r w:rsidR="005A59B5">
              <w:rPr>
                <w:noProof/>
                <w:webHidden/>
              </w:rPr>
              <w:t>6</w:t>
            </w:r>
            <w:r>
              <w:rPr>
                <w:noProof/>
                <w:webHidden/>
              </w:rPr>
              <w:fldChar w:fldCharType="end"/>
            </w:r>
          </w:hyperlink>
        </w:p>
        <w:p w14:paraId="7D8BA628" w14:textId="440912A9" w:rsidR="00795618" w:rsidRDefault="00795618">
          <w:pPr>
            <w:pStyle w:val="TOC2"/>
            <w:tabs>
              <w:tab w:val="left" w:pos="660"/>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0" w:history="1">
            <w:r w:rsidRPr="004A6684">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4A6684">
              <w:rPr>
                <w:rStyle w:val="Hyperlink"/>
                <w:noProof/>
              </w:rPr>
              <w:t>Purpose of the Performance Measurement and Reporting Framework</w:t>
            </w:r>
            <w:r>
              <w:rPr>
                <w:noProof/>
                <w:webHidden/>
              </w:rPr>
              <w:tab/>
            </w:r>
            <w:r>
              <w:rPr>
                <w:noProof/>
                <w:webHidden/>
              </w:rPr>
              <w:fldChar w:fldCharType="begin"/>
            </w:r>
            <w:r>
              <w:rPr>
                <w:noProof/>
                <w:webHidden/>
              </w:rPr>
              <w:instrText xml:space="preserve"> PAGEREF _Toc211333050 \h </w:instrText>
            </w:r>
            <w:r>
              <w:rPr>
                <w:noProof/>
                <w:webHidden/>
              </w:rPr>
            </w:r>
            <w:r>
              <w:rPr>
                <w:noProof/>
                <w:webHidden/>
              </w:rPr>
              <w:fldChar w:fldCharType="separate"/>
            </w:r>
            <w:r w:rsidR="005A59B5">
              <w:rPr>
                <w:noProof/>
                <w:webHidden/>
              </w:rPr>
              <w:t>7</w:t>
            </w:r>
            <w:r>
              <w:rPr>
                <w:noProof/>
                <w:webHidden/>
              </w:rPr>
              <w:fldChar w:fldCharType="end"/>
            </w:r>
          </w:hyperlink>
        </w:p>
        <w:p w14:paraId="717246E3" w14:textId="2F729A4E"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1" w:history="1">
            <w:r w:rsidRPr="004A6684">
              <w:rPr>
                <w:rStyle w:val="Hyperlink"/>
                <w:noProof/>
              </w:rPr>
              <w:t>2.1 Framework Principles</w:t>
            </w:r>
            <w:r>
              <w:rPr>
                <w:noProof/>
                <w:webHidden/>
              </w:rPr>
              <w:tab/>
            </w:r>
            <w:r>
              <w:rPr>
                <w:noProof/>
                <w:webHidden/>
              </w:rPr>
              <w:fldChar w:fldCharType="begin"/>
            </w:r>
            <w:r>
              <w:rPr>
                <w:noProof/>
                <w:webHidden/>
              </w:rPr>
              <w:instrText xml:space="preserve"> PAGEREF _Toc211333051 \h </w:instrText>
            </w:r>
            <w:r>
              <w:rPr>
                <w:noProof/>
                <w:webHidden/>
              </w:rPr>
            </w:r>
            <w:r>
              <w:rPr>
                <w:noProof/>
                <w:webHidden/>
              </w:rPr>
              <w:fldChar w:fldCharType="separate"/>
            </w:r>
            <w:r w:rsidR="005A59B5">
              <w:rPr>
                <w:noProof/>
                <w:webHidden/>
              </w:rPr>
              <w:t>7</w:t>
            </w:r>
            <w:r>
              <w:rPr>
                <w:noProof/>
                <w:webHidden/>
              </w:rPr>
              <w:fldChar w:fldCharType="end"/>
            </w:r>
          </w:hyperlink>
        </w:p>
        <w:p w14:paraId="48166422" w14:textId="579FD91E" w:rsidR="00795618" w:rsidRDefault="00795618">
          <w:pPr>
            <w:pStyle w:val="TOC2"/>
            <w:tabs>
              <w:tab w:val="left" w:pos="660"/>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2" w:history="1">
            <w:r w:rsidRPr="004A6684">
              <w:rPr>
                <w:rStyle w:val="Hyperlink"/>
                <w:noProof/>
              </w:rPr>
              <w:t>3.</w:t>
            </w:r>
            <w:r>
              <w:rPr>
                <w:rFonts w:asciiTheme="minorHAnsi" w:eastAsiaTheme="minorEastAsia" w:hAnsiTheme="minorHAnsi" w:cstheme="minorBidi"/>
                <w:noProof/>
                <w:color w:val="auto"/>
                <w:kern w:val="2"/>
                <w:sz w:val="24"/>
                <w:lang w:eastAsia="en-AU"/>
                <w14:ligatures w14:val="standardContextual"/>
              </w:rPr>
              <w:tab/>
            </w:r>
            <w:r w:rsidRPr="004A6684">
              <w:rPr>
                <w:rStyle w:val="Hyperlink"/>
                <w:noProof/>
              </w:rPr>
              <w:t>Conceptual Model</w:t>
            </w:r>
            <w:r>
              <w:rPr>
                <w:noProof/>
                <w:webHidden/>
              </w:rPr>
              <w:tab/>
            </w:r>
            <w:r>
              <w:rPr>
                <w:noProof/>
                <w:webHidden/>
              </w:rPr>
              <w:fldChar w:fldCharType="begin"/>
            </w:r>
            <w:r>
              <w:rPr>
                <w:noProof/>
                <w:webHidden/>
              </w:rPr>
              <w:instrText xml:space="preserve"> PAGEREF _Toc211333052 \h </w:instrText>
            </w:r>
            <w:r>
              <w:rPr>
                <w:noProof/>
                <w:webHidden/>
              </w:rPr>
            </w:r>
            <w:r>
              <w:rPr>
                <w:noProof/>
                <w:webHidden/>
              </w:rPr>
              <w:fldChar w:fldCharType="separate"/>
            </w:r>
            <w:r w:rsidR="005A59B5">
              <w:rPr>
                <w:noProof/>
                <w:webHidden/>
              </w:rPr>
              <w:t>8</w:t>
            </w:r>
            <w:r>
              <w:rPr>
                <w:noProof/>
                <w:webHidden/>
              </w:rPr>
              <w:fldChar w:fldCharType="end"/>
            </w:r>
          </w:hyperlink>
        </w:p>
        <w:p w14:paraId="1E0C34F6" w14:textId="3B2552DB"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3" w:history="1">
            <w:r w:rsidRPr="004A6684">
              <w:rPr>
                <w:rStyle w:val="Hyperlink"/>
                <w:noProof/>
              </w:rPr>
              <w:t>3.1 Program Dimensions</w:t>
            </w:r>
            <w:r>
              <w:rPr>
                <w:noProof/>
                <w:webHidden/>
              </w:rPr>
              <w:tab/>
            </w:r>
            <w:r>
              <w:rPr>
                <w:noProof/>
                <w:webHidden/>
              </w:rPr>
              <w:fldChar w:fldCharType="begin"/>
            </w:r>
            <w:r>
              <w:rPr>
                <w:noProof/>
                <w:webHidden/>
              </w:rPr>
              <w:instrText xml:space="preserve"> PAGEREF _Toc211333053 \h </w:instrText>
            </w:r>
            <w:r>
              <w:rPr>
                <w:noProof/>
                <w:webHidden/>
              </w:rPr>
            </w:r>
            <w:r>
              <w:rPr>
                <w:noProof/>
                <w:webHidden/>
              </w:rPr>
              <w:fldChar w:fldCharType="separate"/>
            </w:r>
            <w:r w:rsidR="005A59B5">
              <w:rPr>
                <w:noProof/>
                <w:webHidden/>
              </w:rPr>
              <w:t>9</w:t>
            </w:r>
            <w:r>
              <w:rPr>
                <w:noProof/>
                <w:webHidden/>
              </w:rPr>
              <w:fldChar w:fldCharType="end"/>
            </w:r>
          </w:hyperlink>
        </w:p>
        <w:p w14:paraId="55587537" w14:textId="6F9328B7"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4" w:history="1">
            <w:r w:rsidRPr="004A6684">
              <w:rPr>
                <w:rStyle w:val="Hyperlink"/>
                <w:noProof/>
              </w:rPr>
              <w:t>3.2 Performance Dimensions</w:t>
            </w:r>
            <w:r>
              <w:rPr>
                <w:noProof/>
                <w:webHidden/>
              </w:rPr>
              <w:tab/>
            </w:r>
            <w:r>
              <w:rPr>
                <w:noProof/>
                <w:webHidden/>
              </w:rPr>
              <w:fldChar w:fldCharType="begin"/>
            </w:r>
            <w:r>
              <w:rPr>
                <w:noProof/>
                <w:webHidden/>
              </w:rPr>
              <w:instrText xml:space="preserve"> PAGEREF _Toc211333054 \h </w:instrText>
            </w:r>
            <w:r>
              <w:rPr>
                <w:noProof/>
                <w:webHidden/>
              </w:rPr>
            </w:r>
            <w:r>
              <w:rPr>
                <w:noProof/>
                <w:webHidden/>
              </w:rPr>
              <w:fldChar w:fldCharType="separate"/>
            </w:r>
            <w:r w:rsidR="005A59B5">
              <w:rPr>
                <w:noProof/>
                <w:webHidden/>
              </w:rPr>
              <w:t>9</w:t>
            </w:r>
            <w:r>
              <w:rPr>
                <w:noProof/>
                <w:webHidden/>
              </w:rPr>
              <w:fldChar w:fldCharType="end"/>
            </w:r>
          </w:hyperlink>
        </w:p>
        <w:p w14:paraId="3D95B37F" w14:textId="0B534467"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5" w:history="1">
            <w:r w:rsidRPr="004A6684">
              <w:rPr>
                <w:rStyle w:val="Hyperlink"/>
                <w:noProof/>
              </w:rPr>
              <w:t>3.3 Indicators</w:t>
            </w:r>
            <w:r>
              <w:rPr>
                <w:noProof/>
                <w:webHidden/>
              </w:rPr>
              <w:tab/>
            </w:r>
            <w:r>
              <w:rPr>
                <w:noProof/>
                <w:webHidden/>
              </w:rPr>
              <w:fldChar w:fldCharType="begin"/>
            </w:r>
            <w:r>
              <w:rPr>
                <w:noProof/>
                <w:webHidden/>
              </w:rPr>
              <w:instrText xml:space="preserve"> PAGEREF _Toc211333055 \h </w:instrText>
            </w:r>
            <w:r>
              <w:rPr>
                <w:noProof/>
                <w:webHidden/>
              </w:rPr>
            </w:r>
            <w:r>
              <w:rPr>
                <w:noProof/>
                <w:webHidden/>
              </w:rPr>
              <w:fldChar w:fldCharType="separate"/>
            </w:r>
            <w:r w:rsidR="005A59B5">
              <w:rPr>
                <w:noProof/>
                <w:webHidden/>
              </w:rPr>
              <w:t>10</w:t>
            </w:r>
            <w:r>
              <w:rPr>
                <w:noProof/>
                <w:webHidden/>
              </w:rPr>
              <w:fldChar w:fldCharType="end"/>
            </w:r>
          </w:hyperlink>
        </w:p>
        <w:p w14:paraId="3313D3EC" w14:textId="3BD6D78D"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6" w:history="1">
            <w:r w:rsidRPr="004A6684">
              <w:rPr>
                <w:rStyle w:val="Hyperlink"/>
                <w:noProof/>
              </w:rPr>
              <w:t>3.4 Agents and Targets of Change</w:t>
            </w:r>
            <w:r>
              <w:rPr>
                <w:noProof/>
                <w:webHidden/>
              </w:rPr>
              <w:tab/>
            </w:r>
            <w:r>
              <w:rPr>
                <w:noProof/>
                <w:webHidden/>
              </w:rPr>
              <w:fldChar w:fldCharType="begin"/>
            </w:r>
            <w:r>
              <w:rPr>
                <w:noProof/>
                <w:webHidden/>
              </w:rPr>
              <w:instrText xml:space="preserve"> PAGEREF _Toc211333056 \h </w:instrText>
            </w:r>
            <w:r>
              <w:rPr>
                <w:noProof/>
                <w:webHidden/>
              </w:rPr>
            </w:r>
            <w:r>
              <w:rPr>
                <w:noProof/>
                <w:webHidden/>
              </w:rPr>
              <w:fldChar w:fldCharType="separate"/>
            </w:r>
            <w:r w:rsidR="005A59B5">
              <w:rPr>
                <w:noProof/>
                <w:webHidden/>
              </w:rPr>
              <w:t>10</w:t>
            </w:r>
            <w:r>
              <w:rPr>
                <w:noProof/>
                <w:webHidden/>
              </w:rPr>
              <w:fldChar w:fldCharType="end"/>
            </w:r>
          </w:hyperlink>
        </w:p>
        <w:p w14:paraId="1AB5D4D6" w14:textId="0488E4AD"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7" w:history="1">
            <w:r w:rsidRPr="004A6684">
              <w:rPr>
                <w:rStyle w:val="Hyperlink"/>
                <w:noProof/>
              </w:rPr>
              <w:t>3.5 Core Functions and Program Dimensions</w:t>
            </w:r>
            <w:r>
              <w:rPr>
                <w:noProof/>
                <w:webHidden/>
              </w:rPr>
              <w:tab/>
            </w:r>
            <w:r>
              <w:rPr>
                <w:noProof/>
                <w:webHidden/>
              </w:rPr>
              <w:fldChar w:fldCharType="begin"/>
            </w:r>
            <w:r>
              <w:rPr>
                <w:noProof/>
                <w:webHidden/>
              </w:rPr>
              <w:instrText xml:space="preserve"> PAGEREF _Toc211333057 \h </w:instrText>
            </w:r>
            <w:r>
              <w:rPr>
                <w:noProof/>
                <w:webHidden/>
              </w:rPr>
            </w:r>
            <w:r>
              <w:rPr>
                <w:noProof/>
                <w:webHidden/>
              </w:rPr>
              <w:fldChar w:fldCharType="separate"/>
            </w:r>
            <w:r w:rsidR="005A59B5">
              <w:rPr>
                <w:noProof/>
                <w:webHidden/>
              </w:rPr>
              <w:t>11</w:t>
            </w:r>
            <w:r>
              <w:rPr>
                <w:noProof/>
                <w:webHidden/>
              </w:rPr>
              <w:fldChar w:fldCharType="end"/>
            </w:r>
          </w:hyperlink>
        </w:p>
        <w:p w14:paraId="4CB2CFE3" w14:textId="6FD2E445" w:rsidR="00795618" w:rsidRDefault="00795618">
          <w:pPr>
            <w:pStyle w:val="TOC2"/>
            <w:tabs>
              <w:tab w:val="left" w:pos="660"/>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8" w:history="1">
            <w:r w:rsidRPr="004A6684">
              <w:rPr>
                <w:rStyle w:val="Hyperlink"/>
                <w:noProof/>
              </w:rPr>
              <w:t>4.</w:t>
            </w:r>
            <w:r>
              <w:rPr>
                <w:rFonts w:asciiTheme="minorHAnsi" w:eastAsiaTheme="minorEastAsia" w:hAnsiTheme="minorHAnsi" w:cstheme="minorBidi"/>
                <w:noProof/>
                <w:color w:val="auto"/>
                <w:kern w:val="2"/>
                <w:sz w:val="24"/>
                <w:lang w:eastAsia="en-AU"/>
                <w14:ligatures w14:val="standardContextual"/>
              </w:rPr>
              <w:tab/>
            </w:r>
            <w:r w:rsidRPr="004A6684">
              <w:rPr>
                <w:rStyle w:val="Hyperlink"/>
                <w:noProof/>
              </w:rPr>
              <w:t>Framework Application</w:t>
            </w:r>
            <w:r>
              <w:rPr>
                <w:noProof/>
                <w:webHidden/>
              </w:rPr>
              <w:tab/>
            </w:r>
            <w:r>
              <w:rPr>
                <w:noProof/>
                <w:webHidden/>
              </w:rPr>
              <w:fldChar w:fldCharType="begin"/>
            </w:r>
            <w:r>
              <w:rPr>
                <w:noProof/>
                <w:webHidden/>
              </w:rPr>
              <w:instrText xml:space="preserve"> PAGEREF _Toc211333058 \h </w:instrText>
            </w:r>
            <w:r>
              <w:rPr>
                <w:noProof/>
                <w:webHidden/>
              </w:rPr>
            </w:r>
            <w:r>
              <w:rPr>
                <w:noProof/>
                <w:webHidden/>
              </w:rPr>
              <w:fldChar w:fldCharType="separate"/>
            </w:r>
            <w:r w:rsidR="005A59B5">
              <w:rPr>
                <w:noProof/>
                <w:webHidden/>
              </w:rPr>
              <w:t>13</w:t>
            </w:r>
            <w:r>
              <w:rPr>
                <w:noProof/>
                <w:webHidden/>
              </w:rPr>
              <w:fldChar w:fldCharType="end"/>
            </w:r>
          </w:hyperlink>
        </w:p>
        <w:p w14:paraId="02DE0F82" w14:textId="02AA1BBC"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59" w:history="1">
            <w:r w:rsidRPr="004A6684">
              <w:rPr>
                <w:rStyle w:val="Hyperlink"/>
                <w:noProof/>
              </w:rPr>
              <w:t>4.1 Interpreting Indicators</w:t>
            </w:r>
            <w:r>
              <w:rPr>
                <w:noProof/>
                <w:webHidden/>
              </w:rPr>
              <w:tab/>
            </w:r>
            <w:r>
              <w:rPr>
                <w:noProof/>
                <w:webHidden/>
              </w:rPr>
              <w:fldChar w:fldCharType="begin"/>
            </w:r>
            <w:r>
              <w:rPr>
                <w:noProof/>
                <w:webHidden/>
              </w:rPr>
              <w:instrText xml:space="preserve"> PAGEREF _Toc211333059 \h </w:instrText>
            </w:r>
            <w:r>
              <w:rPr>
                <w:noProof/>
                <w:webHidden/>
              </w:rPr>
            </w:r>
            <w:r>
              <w:rPr>
                <w:noProof/>
                <w:webHidden/>
              </w:rPr>
              <w:fldChar w:fldCharType="separate"/>
            </w:r>
            <w:r w:rsidR="005A59B5">
              <w:rPr>
                <w:noProof/>
                <w:webHidden/>
              </w:rPr>
              <w:t>13</w:t>
            </w:r>
            <w:r>
              <w:rPr>
                <w:noProof/>
                <w:webHidden/>
              </w:rPr>
              <w:fldChar w:fldCharType="end"/>
            </w:r>
          </w:hyperlink>
        </w:p>
        <w:p w14:paraId="1C05B21D" w14:textId="5AF5269D"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0" w:history="1">
            <w:r w:rsidRPr="004A6684">
              <w:rPr>
                <w:rStyle w:val="Hyperlink"/>
                <w:noProof/>
              </w:rPr>
              <w:t>4.2 Indicator Summary</w:t>
            </w:r>
            <w:r>
              <w:rPr>
                <w:noProof/>
                <w:webHidden/>
              </w:rPr>
              <w:tab/>
            </w:r>
            <w:r>
              <w:rPr>
                <w:noProof/>
                <w:webHidden/>
              </w:rPr>
              <w:fldChar w:fldCharType="begin"/>
            </w:r>
            <w:r>
              <w:rPr>
                <w:noProof/>
                <w:webHidden/>
              </w:rPr>
              <w:instrText xml:space="preserve"> PAGEREF _Toc211333060 \h </w:instrText>
            </w:r>
            <w:r>
              <w:rPr>
                <w:noProof/>
                <w:webHidden/>
              </w:rPr>
            </w:r>
            <w:r>
              <w:rPr>
                <w:noProof/>
                <w:webHidden/>
              </w:rPr>
              <w:fldChar w:fldCharType="separate"/>
            </w:r>
            <w:r w:rsidR="005A59B5">
              <w:rPr>
                <w:noProof/>
                <w:webHidden/>
              </w:rPr>
              <w:t>13</w:t>
            </w:r>
            <w:r>
              <w:rPr>
                <w:noProof/>
                <w:webHidden/>
              </w:rPr>
              <w:fldChar w:fldCharType="end"/>
            </w:r>
          </w:hyperlink>
        </w:p>
        <w:p w14:paraId="218ECBBF" w14:textId="215BBFF6"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1" w:history="1">
            <w:r w:rsidRPr="004A6684">
              <w:rPr>
                <w:rStyle w:val="Hyperlink"/>
                <w:noProof/>
              </w:rPr>
              <w:t>4.3 Commissioning Indicators</w:t>
            </w:r>
            <w:r>
              <w:rPr>
                <w:noProof/>
                <w:webHidden/>
              </w:rPr>
              <w:tab/>
            </w:r>
            <w:r>
              <w:rPr>
                <w:noProof/>
                <w:webHidden/>
              </w:rPr>
              <w:fldChar w:fldCharType="begin"/>
            </w:r>
            <w:r>
              <w:rPr>
                <w:noProof/>
                <w:webHidden/>
              </w:rPr>
              <w:instrText xml:space="preserve"> PAGEREF _Toc211333061 \h </w:instrText>
            </w:r>
            <w:r>
              <w:rPr>
                <w:noProof/>
                <w:webHidden/>
              </w:rPr>
            </w:r>
            <w:r>
              <w:rPr>
                <w:noProof/>
                <w:webHidden/>
              </w:rPr>
              <w:fldChar w:fldCharType="separate"/>
            </w:r>
            <w:r w:rsidR="005A59B5">
              <w:rPr>
                <w:noProof/>
                <w:webHidden/>
              </w:rPr>
              <w:t>15</w:t>
            </w:r>
            <w:r>
              <w:rPr>
                <w:noProof/>
                <w:webHidden/>
              </w:rPr>
              <w:fldChar w:fldCharType="end"/>
            </w:r>
          </w:hyperlink>
        </w:p>
        <w:p w14:paraId="7E2B1442" w14:textId="4674ED50"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2" w:history="1">
            <w:r w:rsidRPr="004A6684">
              <w:rPr>
                <w:rStyle w:val="Hyperlink"/>
                <w:noProof/>
              </w:rPr>
              <w:t>4.4 Deliverables</w:t>
            </w:r>
            <w:r>
              <w:rPr>
                <w:noProof/>
                <w:webHidden/>
              </w:rPr>
              <w:tab/>
            </w:r>
            <w:r>
              <w:rPr>
                <w:noProof/>
                <w:webHidden/>
              </w:rPr>
              <w:fldChar w:fldCharType="begin"/>
            </w:r>
            <w:r>
              <w:rPr>
                <w:noProof/>
                <w:webHidden/>
              </w:rPr>
              <w:instrText xml:space="preserve"> PAGEREF _Toc211333062 \h </w:instrText>
            </w:r>
            <w:r>
              <w:rPr>
                <w:noProof/>
                <w:webHidden/>
              </w:rPr>
            </w:r>
            <w:r>
              <w:rPr>
                <w:noProof/>
                <w:webHidden/>
              </w:rPr>
              <w:fldChar w:fldCharType="separate"/>
            </w:r>
            <w:r w:rsidR="005A59B5">
              <w:rPr>
                <w:noProof/>
                <w:webHidden/>
              </w:rPr>
              <w:t>16</w:t>
            </w:r>
            <w:r>
              <w:rPr>
                <w:noProof/>
                <w:webHidden/>
              </w:rPr>
              <w:fldChar w:fldCharType="end"/>
            </w:r>
          </w:hyperlink>
        </w:p>
        <w:p w14:paraId="55B518D1" w14:textId="19BD8E3B" w:rsidR="00795618" w:rsidRDefault="00795618">
          <w:pPr>
            <w:pStyle w:val="TOC2"/>
            <w:tabs>
              <w:tab w:val="left" w:pos="660"/>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3" w:history="1">
            <w:r w:rsidRPr="004A6684">
              <w:rPr>
                <w:rStyle w:val="Hyperlink"/>
                <w:noProof/>
              </w:rPr>
              <w:t>5.</w:t>
            </w:r>
            <w:r>
              <w:rPr>
                <w:rFonts w:asciiTheme="minorHAnsi" w:eastAsiaTheme="minorEastAsia" w:hAnsiTheme="minorHAnsi" w:cstheme="minorBidi"/>
                <w:noProof/>
                <w:color w:val="auto"/>
                <w:kern w:val="2"/>
                <w:sz w:val="24"/>
                <w:lang w:eastAsia="en-AU"/>
                <w14:ligatures w14:val="standardContextual"/>
              </w:rPr>
              <w:tab/>
            </w:r>
            <w:r w:rsidRPr="004A6684">
              <w:rPr>
                <w:rStyle w:val="Hyperlink"/>
                <w:noProof/>
              </w:rPr>
              <w:t>Assessment and Reporting</w:t>
            </w:r>
            <w:r>
              <w:rPr>
                <w:noProof/>
                <w:webHidden/>
              </w:rPr>
              <w:tab/>
            </w:r>
            <w:r>
              <w:rPr>
                <w:noProof/>
                <w:webHidden/>
              </w:rPr>
              <w:fldChar w:fldCharType="begin"/>
            </w:r>
            <w:r>
              <w:rPr>
                <w:noProof/>
                <w:webHidden/>
              </w:rPr>
              <w:instrText xml:space="preserve"> PAGEREF _Toc211333063 \h </w:instrText>
            </w:r>
            <w:r>
              <w:rPr>
                <w:noProof/>
                <w:webHidden/>
              </w:rPr>
            </w:r>
            <w:r>
              <w:rPr>
                <w:noProof/>
                <w:webHidden/>
              </w:rPr>
              <w:fldChar w:fldCharType="separate"/>
            </w:r>
            <w:r w:rsidR="005A59B5">
              <w:rPr>
                <w:noProof/>
                <w:webHidden/>
              </w:rPr>
              <w:t>16</w:t>
            </w:r>
            <w:r>
              <w:rPr>
                <w:noProof/>
                <w:webHidden/>
              </w:rPr>
              <w:fldChar w:fldCharType="end"/>
            </w:r>
          </w:hyperlink>
        </w:p>
        <w:p w14:paraId="1F85F90C" w14:textId="41EF30DD" w:rsidR="00795618" w:rsidRDefault="00795618">
          <w:pPr>
            <w:pStyle w:val="TOC3"/>
            <w:tabs>
              <w:tab w:val="left" w:pos="1200"/>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4" w:history="1">
            <w:r w:rsidRPr="004A6684">
              <w:rPr>
                <w:rStyle w:val="Hyperlink"/>
                <w:noProof/>
              </w:rPr>
              <w:t>5.1</w:t>
            </w:r>
            <w:r>
              <w:rPr>
                <w:rFonts w:asciiTheme="minorHAnsi" w:eastAsiaTheme="minorEastAsia" w:hAnsiTheme="minorHAnsi" w:cstheme="minorBidi"/>
                <w:noProof/>
                <w:color w:val="auto"/>
                <w:kern w:val="2"/>
                <w:sz w:val="24"/>
                <w:lang w:eastAsia="en-AU"/>
                <w14:ligatures w14:val="standardContextual"/>
              </w:rPr>
              <w:t xml:space="preserve"> </w:t>
            </w:r>
            <w:r w:rsidRPr="004A6684">
              <w:rPr>
                <w:rStyle w:val="Hyperlink"/>
                <w:noProof/>
              </w:rPr>
              <w:t>Implementation</w:t>
            </w:r>
            <w:r>
              <w:rPr>
                <w:noProof/>
                <w:webHidden/>
              </w:rPr>
              <w:tab/>
            </w:r>
            <w:r>
              <w:rPr>
                <w:noProof/>
                <w:webHidden/>
              </w:rPr>
              <w:fldChar w:fldCharType="begin"/>
            </w:r>
            <w:r>
              <w:rPr>
                <w:noProof/>
                <w:webHidden/>
              </w:rPr>
              <w:instrText xml:space="preserve"> PAGEREF _Toc211333064 \h </w:instrText>
            </w:r>
            <w:r>
              <w:rPr>
                <w:noProof/>
                <w:webHidden/>
              </w:rPr>
            </w:r>
            <w:r>
              <w:rPr>
                <w:noProof/>
                <w:webHidden/>
              </w:rPr>
              <w:fldChar w:fldCharType="separate"/>
            </w:r>
            <w:r w:rsidR="005A59B5">
              <w:rPr>
                <w:noProof/>
                <w:webHidden/>
              </w:rPr>
              <w:t>16</w:t>
            </w:r>
            <w:r>
              <w:rPr>
                <w:noProof/>
                <w:webHidden/>
              </w:rPr>
              <w:fldChar w:fldCharType="end"/>
            </w:r>
          </w:hyperlink>
        </w:p>
        <w:p w14:paraId="71B00325" w14:textId="78362C47"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5" w:history="1">
            <w:r w:rsidRPr="004A6684">
              <w:rPr>
                <w:rStyle w:val="Hyperlink"/>
                <w:noProof/>
              </w:rPr>
              <w:t>5.2 Peer Groups</w:t>
            </w:r>
            <w:r>
              <w:rPr>
                <w:noProof/>
                <w:webHidden/>
              </w:rPr>
              <w:tab/>
            </w:r>
            <w:r>
              <w:rPr>
                <w:noProof/>
                <w:webHidden/>
              </w:rPr>
              <w:fldChar w:fldCharType="begin"/>
            </w:r>
            <w:r>
              <w:rPr>
                <w:noProof/>
                <w:webHidden/>
              </w:rPr>
              <w:instrText xml:space="preserve"> PAGEREF _Toc211333065 \h </w:instrText>
            </w:r>
            <w:r>
              <w:rPr>
                <w:noProof/>
                <w:webHidden/>
              </w:rPr>
            </w:r>
            <w:r>
              <w:rPr>
                <w:noProof/>
                <w:webHidden/>
              </w:rPr>
              <w:fldChar w:fldCharType="separate"/>
            </w:r>
            <w:r w:rsidR="005A59B5">
              <w:rPr>
                <w:noProof/>
                <w:webHidden/>
              </w:rPr>
              <w:t>16</w:t>
            </w:r>
            <w:r>
              <w:rPr>
                <w:noProof/>
                <w:webHidden/>
              </w:rPr>
              <w:fldChar w:fldCharType="end"/>
            </w:r>
          </w:hyperlink>
        </w:p>
        <w:p w14:paraId="08758EB7" w14:textId="28C9595A" w:rsidR="00795618" w:rsidRDefault="00795618">
          <w:pPr>
            <w:pStyle w:val="TOC3"/>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6" w:history="1">
            <w:r w:rsidRPr="004A6684">
              <w:rPr>
                <w:rStyle w:val="Hyperlink"/>
                <w:noProof/>
              </w:rPr>
              <w:t>5.3 Framework Review</w:t>
            </w:r>
            <w:r>
              <w:rPr>
                <w:noProof/>
                <w:webHidden/>
              </w:rPr>
              <w:tab/>
            </w:r>
            <w:r>
              <w:rPr>
                <w:noProof/>
                <w:webHidden/>
              </w:rPr>
              <w:fldChar w:fldCharType="begin"/>
            </w:r>
            <w:r>
              <w:rPr>
                <w:noProof/>
                <w:webHidden/>
              </w:rPr>
              <w:instrText xml:space="preserve"> PAGEREF _Toc211333066 \h </w:instrText>
            </w:r>
            <w:r>
              <w:rPr>
                <w:noProof/>
                <w:webHidden/>
              </w:rPr>
            </w:r>
            <w:r>
              <w:rPr>
                <w:noProof/>
                <w:webHidden/>
              </w:rPr>
              <w:fldChar w:fldCharType="separate"/>
            </w:r>
            <w:r w:rsidR="005A59B5">
              <w:rPr>
                <w:noProof/>
                <w:webHidden/>
              </w:rPr>
              <w:t>17</w:t>
            </w:r>
            <w:r>
              <w:rPr>
                <w:noProof/>
                <w:webHidden/>
              </w:rPr>
              <w:fldChar w:fldCharType="end"/>
            </w:r>
          </w:hyperlink>
        </w:p>
        <w:p w14:paraId="20F0C817" w14:textId="6EF22792" w:rsidR="00795618" w:rsidRDefault="00795618">
          <w:pPr>
            <w:pStyle w:val="TOC1"/>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7" w:history="1">
            <w:r w:rsidRPr="004A6684">
              <w:rPr>
                <w:rStyle w:val="Hyperlink"/>
                <w:noProof/>
              </w:rPr>
              <w:t>Appendix</w:t>
            </w:r>
            <w:r>
              <w:rPr>
                <w:noProof/>
                <w:webHidden/>
              </w:rPr>
              <w:tab/>
            </w:r>
            <w:r>
              <w:rPr>
                <w:noProof/>
                <w:webHidden/>
              </w:rPr>
              <w:fldChar w:fldCharType="begin"/>
            </w:r>
            <w:r>
              <w:rPr>
                <w:noProof/>
                <w:webHidden/>
              </w:rPr>
              <w:instrText xml:space="preserve"> PAGEREF _Toc211333067 \h </w:instrText>
            </w:r>
            <w:r>
              <w:rPr>
                <w:noProof/>
                <w:webHidden/>
              </w:rPr>
            </w:r>
            <w:r>
              <w:rPr>
                <w:noProof/>
                <w:webHidden/>
              </w:rPr>
              <w:fldChar w:fldCharType="separate"/>
            </w:r>
            <w:r w:rsidR="005A59B5">
              <w:rPr>
                <w:noProof/>
                <w:webHidden/>
              </w:rPr>
              <w:t>18</w:t>
            </w:r>
            <w:r>
              <w:rPr>
                <w:noProof/>
                <w:webHidden/>
              </w:rPr>
              <w:fldChar w:fldCharType="end"/>
            </w:r>
          </w:hyperlink>
        </w:p>
        <w:p w14:paraId="5038EA61" w14:textId="1D86F58E" w:rsidR="00795618" w:rsidRDefault="00795618">
          <w:pPr>
            <w:pStyle w:val="TOC2"/>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8" w:history="1">
            <w:r w:rsidRPr="004A6684">
              <w:rPr>
                <w:rStyle w:val="Hyperlink"/>
                <w:noProof/>
              </w:rPr>
              <w:t>Acronyms and Abbreviations</w:t>
            </w:r>
            <w:r>
              <w:rPr>
                <w:noProof/>
                <w:webHidden/>
              </w:rPr>
              <w:tab/>
            </w:r>
            <w:r>
              <w:rPr>
                <w:noProof/>
                <w:webHidden/>
              </w:rPr>
              <w:fldChar w:fldCharType="begin"/>
            </w:r>
            <w:r>
              <w:rPr>
                <w:noProof/>
                <w:webHidden/>
              </w:rPr>
              <w:instrText xml:space="preserve"> PAGEREF _Toc211333068 \h </w:instrText>
            </w:r>
            <w:r>
              <w:rPr>
                <w:noProof/>
                <w:webHidden/>
              </w:rPr>
            </w:r>
            <w:r>
              <w:rPr>
                <w:noProof/>
                <w:webHidden/>
              </w:rPr>
              <w:fldChar w:fldCharType="separate"/>
            </w:r>
            <w:r w:rsidR="005A59B5">
              <w:rPr>
                <w:noProof/>
                <w:webHidden/>
              </w:rPr>
              <w:t>18</w:t>
            </w:r>
            <w:r>
              <w:rPr>
                <w:noProof/>
                <w:webHidden/>
              </w:rPr>
              <w:fldChar w:fldCharType="end"/>
            </w:r>
          </w:hyperlink>
        </w:p>
        <w:p w14:paraId="328464C7" w14:textId="20A5CAC9" w:rsidR="00795618" w:rsidRDefault="00795618">
          <w:pPr>
            <w:pStyle w:val="TOC2"/>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69" w:history="1">
            <w:r w:rsidRPr="004A6684">
              <w:rPr>
                <w:rStyle w:val="Hyperlink"/>
                <w:noProof/>
              </w:rPr>
              <w:t>References</w:t>
            </w:r>
            <w:r>
              <w:rPr>
                <w:noProof/>
                <w:webHidden/>
              </w:rPr>
              <w:tab/>
            </w:r>
            <w:r>
              <w:rPr>
                <w:noProof/>
                <w:webHidden/>
              </w:rPr>
              <w:fldChar w:fldCharType="begin"/>
            </w:r>
            <w:r>
              <w:rPr>
                <w:noProof/>
                <w:webHidden/>
              </w:rPr>
              <w:instrText xml:space="preserve"> PAGEREF _Toc211333069 \h </w:instrText>
            </w:r>
            <w:r>
              <w:rPr>
                <w:noProof/>
                <w:webHidden/>
              </w:rPr>
            </w:r>
            <w:r>
              <w:rPr>
                <w:noProof/>
                <w:webHidden/>
              </w:rPr>
              <w:fldChar w:fldCharType="separate"/>
            </w:r>
            <w:r w:rsidR="005A59B5">
              <w:rPr>
                <w:noProof/>
                <w:webHidden/>
              </w:rPr>
              <w:t>19</w:t>
            </w:r>
            <w:r>
              <w:rPr>
                <w:noProof/>
                <w:webHidden/>
              </w:rPr>
              <w:fldChar w:fldCharType="end"/>
            </w:r>
          </w:hyperlink>
        </w:p>
        <w:p w14:paraId="1C1B0275" w14:textId="15DC7EA5" w:rsidR="00795618" w:rsidRDefault="00795618">
          <w:pPr>
            <w:pStyle w:val="TOC2"/>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70" w:history="1">
            <w:r w:rsidRPr="004A6684">
              <w:rPr>
                <w:rStyle w:val="Hyperlink"/>
                <w:noProof/>
              </w:rPr>
              <w:t>Version History</w:t>
            </w:r>
            <w:r>
              <w:rPr>
                <w:noProof/>
                <w:webHidden/>
              </w:rPr>
              <w:tab/>
            </w:r>
            <w:r>
              <w:rPr>
                <w:noProof/>
                <w:webHidden/>
              </w:rPr>
              <w:fldChar w:fldCharType="begin"/>
            </w:r>
            <w:r>
              <w:rPr>
                <w:noProof/>
                <w:webHidden/>
              </w:rPr>
              <w:instrText xml:space="preserve"> PAGEREF _Toc211333070 \h </w:instrText>
            </w:r>
            <w:r>
              <w:rPr>
                <w:noProof/>
                <w:webHidden/>
              </w:rPr>
            </w:r>
            <w:r>
              <w:rPr>
                <w:noProof/>
                <w:webHidden/>
              </w:rPr>
              <w:fldChar w:fldCharType="separate"/>
            </w:r>
            <w:r w:rsidR="005A59B5">
              <w:rPr>
                <w:noProof/>
                <w:webHidden/>
              </w:rPr>
              <w:t>19</w:t>
            </w:r>
            <w:r>
              <w:rPr>
                <w:noProof/>
                <w:webHidden/>
              </w:rPr>
              <w:fldChar w:fldCharType="end"/>
            </w:r>
          </w:hyperlink>
        </w:p>
        <w:p w14:paraId="533A0603" w14:textId="7B9AFAF2" w:rsidR="00795618" w:rsidRDefault="00795618">
          <w:pPr>
            <w:pStyle w:val="TOC2"/>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11333071" w:history="1">
            <w:r w:rsidRPr="004A6684">
              <w:rPr>
                <w:rStyle w:val="Hyperlink"/>
                <w:noProof/>
              </w:rPr>
              <w:t>Primary Health Network (PHN) Program Logic</w:t>
            </w:r>
            <w:r>
              <w:rPr>
                <w:noProof/>
                <w:webHidden/>
              </w:rPr>
              <w:tab/>
            </w:r>
            <w:r>
              <w:rPr>
                <w:noProof/>
                <w:webHidden/>
              </w:rPr>
              <w:fldChar w:fldCharType="begin"/>
            </w:r>
            <w:r>
              <w:rPr>
                <w:noProof/>
                <w:webHidden/>
              </w:rPr>
              <w:instrText xml:space="preserve"> PAGEREF _Toc211333071 \h </w:instrText>
            </w:r>
            <w:r>
              <w:rPr>
                <w:noProof/>
                <w:webHidden/>
              </w:rPr>
            </w:r>
            <w:r>
              <w:rPr>
                <w:noProof/>
                <w:webHidden/>
              </w:rPr>
              <w:fldChar w:fldCharType="separate"/>
            </w:r>
            <w:r w:rsidR="005A59B5">
              <w:rPr>
                <w:noProof/>
                <w:webHidden/>
              </w:rPr>
              <w:t>19</w:t>
            </w:r>
            <w:r>
              <w:rPr>
                <w:noProof/>
                <w:webHidden/>
              </w:rPr>
              <w:fldChar w:fldCharType="end"/>
            </w:r>
          </w:hyperlink>
        </w:p>
        <w:p w14:paraId="71576D70" w14:textId="7405942D" w:rsidR="00C848E9" w:rsidRPr="00A069A2" w:rsidRDefault="00C848E9">
          <w:r w:rsidRPr="00A069A2">
            <w:rPr>
              <w:b/>
              <w:bCs/>
            </w:rPr>
            <w:fldChar w:fldCharType="end"/>
          </w:r>
        </w:p>
      </w:sdtContent>
    </w:sdt>
    <w:p w14:paraId="00BCE482" w14:textId="6996FF1B" w:rsidR="003B378F" w:rsidRPr="00A069A2" w:rsidRDefault="003B378F">
      <w:pPr>
        <w:spacing w:before="0" w:after="0" w:line="240" w:lineRule="auto"/>
      </w:pPr>
      <w:r w:rsidRPr="00A069A2">
        <w:br w:type="page"/>
      </w:r>
    </w:p>
    <w:p w14:paraId="091E25D5" w14:textId="5EFA46CD" w:rsidR="00950757" w:rsidRPr="00A069A2" w:rsidRDefault="00950757" w:rsidP="00950757">
      <w:pPr>
        <w:pStyle w:val="Heading1"/>
      </w:pPr>
      <w:bookmarkStart w:id="2" w:name="_Toc211333046"/>
      <w:r w:rsidRPr="00A069A2">
        <w:lastRenderedPageBreak/>
        <w:t>Table of Figures</w:t>
      </w:r>
      <w:bookmarkEnd w:id="2"/>
    </w:p>
    <w:p w14:paraId="4A92C20C" w14:textId="23F4AE1D" w:rsidR="0096370B" w:rsidRDefault="00FC161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r w:rsidRPr="00A069A2">
        <w:fldChar w:fldCharType="begin"/>
      </w:r>
      <w:r w:rsidRPr="00A069A2">
        <w:instrText xml:space="preserve"> TOC \h \z \c "Table" </w:instrText>
      </w:r>
      <w:r w:rsidRPr="00A069A2">
        <w:fldChar w:fldCharType="separate"/>
      </w:r>
      <w:hyperlink w:anchor="_Toc207613130" w:history="1">
        <w:r w:rsidR="0096370B" w:rsidRPr="00B429C4">
          <w:rPr>
            <w:rStyle w:val="Hyperlink"/>
            <w:noProof/>
          </w:rPr>
          <w:t>Table 1. PHN Program objectives and areas of scope</w:t>
        </w:r>
        <w:r w:rsidR="0096370B">
          <w:rPr>
            <w:noProof/>
            <w:webHidden/>
          </w:rPr>
          <w:tab/>
        </w:r>
        <w:r w:rsidR="0096370B">
          <w:rPr>
            <w:noProof/>
            <w:webHidden/>
          </w:rPr>
          <w:fldChar w:fldCharType="begin"/>
        </w:r>
        <w:r w:rsidR="0096370B">
          <w:rPr>
            <w:noProof/>
            <w:webHidden/>
          </w:rPr>
          <w:instrText xml:space="preserve"> PAGEREF _Toc207613130 \h </w:instrText>
        </w:r>
        <w:r w:rsidR="0096370B">
          <w:rPr>
            <w:noProof/>
            <w:webHidden/>
          </w:rPr>
        </w:r>
        <w:r w:rsidR="0096370B">
          <w:rPr>
            <w:noProof/>
            <w:webHidden/>
          </w:rPr>
          <w:fldChar w:fldCharType="separate"/>
        </w:r>
        <w:r w:rsidR="005A59B5">
          <w:rPr>
            <w:noProof/>
            <w:webHidden/>
          </w:rPr>
          <w:t>5</w:t>
        </w:r>
        <w:r w:rsidR="0096370B">
          <w:rPr>
            <w:noProof/>
            <w:webHidden/>
          </w:rPr>
          <w:fldChar w:fldCharType="end"/>
        </w:r>
      </w:hyperlink>
    </w:p>
    <w:p w14:paraId="7B2B2B22" w14:textId="2C95DC5D"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1" w:history="1">
        <w:r w:rsidRPr="00B429C4">
          <w:rPr>
            <w:rStyle w:val="Hyperlink"/>
            <w:noProof/>
          </w:rPr>
          <w:t>Table 2. PHN core functions and their descriptions</w:t>
        </w:r>
        <w:r>
          <w:rPr>
            <w:noProof/>
            <w:webHidden/>
          </w:rPr>
          <w:tab/>
        </w:r>
        <w:r>
          <w:rPr>
            <w:noProof/>
            <w:webHidden/>
          </w:rPr>
          <w:fldChar w:fldCharType="begin"/>
        </w:r>
        <w:r>
          <w:rPr>
            <w:noProof/>
            <w:webHidden/>
          </w:rPr>
          <w:instrText xml:space="preserve"> PAGEREF _Toc207613131 \h </w:instrText>
        </w:r>
        <w:r>
          <w:rPr>
            <w:noProof/>
            <w:webHidden/>
          </w:rPr>
        </w:r>
        <w:r>
          <w:rPr>
            <w:noProof/>
            <w:webHidden/>
          </w:rPr>
          <w:fldChar w:fldCharType="separate"/>
        </w:r>
        <w:r w:rsidR="005A59B5">
          <w:rPr>
            <w:noProof/>
            <w:webHidden/>
          </w:rPr>
          <w:t>6</w:t>
        </w:r>
        <w:r>
          <w:rPr>
            <w:noProof/>
            <w:webHidden/>
          </w:rPr>
          <w:fldChar w:fldCharType="end"/>
        </w:r>
      </w:hyperlink>
    </w:p>
    <w:p w14:paraId="4222C351" w14:textId="336D3398"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2" w:history="1">
        <w:r w:rsidRPr="00B429C4">
          <w:rPr>
            <w:rStyle w:val="Hyperlink"/>
            <w:noProof/>
          </w:rPr>
          <w:t>Table 3. Program dimensions and their definitions.</w:t>
        </w:r>
        <w:r>
          <w:rPr>
            <w:noProof/>
            <w:webHidden/>
          </w:rPr>
          <w:tab/>
        </w:r>
        <w:r>
          <w:rPr>
            <w:noProof/>
            <w:webHidden/>
          </w:rPr>
          <w:fldChar w:fldCharType="begin"/>
        </w:r>
        <w:r>
          <w:rPr>
            <w:noProof/>
            <w:webHidden/>
          </w:rPr>
          <w:instrText xml:space="preserve"> PAGEREF _Toc207613132 \h </w:instrText>
        </w:r>
        <w:r>
          <w:rPr>
            <w:noProof/>
            <w:webHidden/>
          </w:rPr>
        </w:r>
        <w:r>
          <w:rPr>
            <w:noProof/>
            <w:webHidden/>
          </w:rPr>
          <w:fldChar w:fldCharType="separate"/>
        </w:r>
        <w:r w:rsidR="005A59B5">
          <w:rPr>
            <w:noProof/>
            <w:webHidden/>
          </w:rPr>
          <w:t>9</w:t>
        </w:r>
        <w:r>
          <w:rPr>
            <w:noProof/>
            <w:webHidden/>
          </w:rPr>
          <w:fldChar w:fldCharType="end"/>
        </w:r>
      </w:hyperlink>
    </w:p>
    <w:p w14:paraId="4AABDFF4" w14:textId="4E86CAE5"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3" w:history="1">
        <w:r w:rsidRPr="00B429C4">
          <w:rPr>
            <w:rStyle w:val="Hyperlink"/>
            <w:noProof/>
          </w:rPr>
          <w:t>Table 4. Performance dimensions and their definitions.</w:t>
        </w:r>
        <w:r>
          <w:rPr>
            <w:noProof/>
            <w:webHidden/>
          </w:rPr>
          <w:tab/>
        </w:r>
        <w:r>
          <w:rPr>
            <w:noProof/>
            <w:webHidden/>
          </w:rPr>
          <w:fldChar w:fldCharType="begin"/>
        </w:r>
        <w:r>
          <w:rPr>
            <w:noProof/>
            <w:webHidden/>
          </w:rPr>
          <w:instrText xml:space="preserve"> PAGEREF _Toc207613133 \h </w:instrText>
        </w:r>
        <w:r>
          <w:rPr>
            <w:noProof/>
            <w:webHidden/>
          </w:rPr>
        </w:r>
        <w:r>
          <w:rPr>
            <w:noProof/>
            <w:webHidden/>
          </w:rPr>
          <w:fldChar w:fldCharType="separate"/>
        </w:r>
        <w:r w:rsidR="005A59B5">
          <w:rPr>
            <w:noProof/>
            <w:webHidden/>
          </w:rPr>
          <w:t>9</w:t>
        </w:r>
        <w:r>
          <w:rPr>
            <w:noProof/>
            <w:webHidden/>
          </w:rPr>
          <w:fldChar w:fldCharType="end"/>
        </w:r>
      </w:hyperlink>
    </w:p>
    <w:p w14:paraId="3EBB7233" w14:textId="5D863232"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4" w:history="1">
        <w:r w:rsidRPr="00B429C4">
          <w:rPr>
            <w:rStyle w:val="Hyperlink"/>
            <w:noProof/>
          </w:rPr>
          <w:t>Table 5. Indicator types and their definitions.</w:t>
        </w:r>
        <w:r>
          <w:rPr>
            <w:noProof/>
            <w:webHidden/>
          </w:rPr>
          <w:tab/>
        </w:r>
        <w:r>
          <w:rPr>
            <w:noProof/>
            <w:webHidden/>
          </w:rPr>
          <w:fldChar w:fldCharType="begin"/>
        </w:r>
        <w:r>
          <w:rPr>
            <w:noProof/>
            <w:webHidden/>
          </w:rPr>
          <w:instrText xml:space="preserve"> PAGEREF _Toc207613134 \h </w:instrText>
        </w:r>
        <w:r>
          <w:rPr>
            <w:noProof/>
            <w:webHidden/>
          </w:rPr>
        </w:r>
        <w:r>
          <w:rPr>
            <w:noProof/>
            <w:webHidden/>
          </w:rPr>
          <w:fldChar w:fldCharType="separate"/>
        </w:r>
        <w:r w:rsidR="005A59B5">
          <w:rPr>
            <w:noProof/>
            <w:webHidden/>
          </w:rPr>
          <w:t>10</w:t>
        </w:r>
        <w:r>
          <w:rPr>
            <w:noProof/>
            <w:webHidden/>
          </w:rPr>
          <w:fldChar w:fldCharType="end"/>
        </w:r>
      </w:hyperlink>
    </w:p>
    <w:p w14:paraId="3818F135" w14:textId="48DBCE9A"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5" w:history="1">
        <w:r w:rsidRPr="00B429C4">
          <w:rPr>
            <w:rStyle w:val="Hyperlink"/>
            <w:noProof/>
          </w:rPr>
          <w:t>Table 6. Identified agents and targets of change, by PHN function.</w:t>
        </w:r>
        <w:r>
          <w:rPr>
            <w:noProof/>
            <w:webHidden/>
          </w:rPr>
          <w:tab/>
        </w:r>
        <w:r>
          <w:rPr>
            <w:noProof/>
            <w:webHidden/>
          </w:rPr>
          <w:fldChar w:fldCharType="begin"/>
        </w:r>
        <w:r>
          <w:rPr>
            <w:noProof/>
            <w:webHidden/>
          </w:rPr>
          <w:instrText xml:space="preserve"> PAGEREF _Toc207613135 \h </w:instrText>
        </w:r>
        <w:r>
          <w:rPr>
            <w:noProof/>
            <w:webHidden/>
          </w:rPr>
        </w:r>
        <w:r>
          <w:rPr>
            <w:noProof/>
            <w:webHidden/>
          </w:rPr>
          <w:fldChar w:fldCharType="separate"/>
        </w:r>
        <w:r w:rsidR="005A59B5">
          <w:rPr>
            <w:noProof/>
            <w:webHidden/>
          </w:rPr>
          <w:t>11</w:t>
        </w:r>
        <w:r>
          <w:rPr>
            <w:noProof/>
            <w:webHidden/>
          </w:rPr>
          <w:fldChar w:fldCharType="end"/>
        </w:r>
      </w:hyperlink>
    </w:p>
    <w:p w14:paraId="2FEA6090" w14:textId="77817390"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6" w:history="1">
        <w:r w:rsidRPr="00B429C4">
          <w:rPr>
            <w:rStyle w:val="Hyperlink"/>
            <w:noProof/>
          </w:rPr>
          <w:t>Table 7. Relationship between core functions and compliance and impact indicators.</w:t>
        </w:r>
        <w:r>
          <w:rPr>
            <w:noProof/>
            <w:webHidden/>
          </w:rPr>
          <w:tab/>
        </w:r>
        <w:r>
          <w:rPr>
            <w:noProof/>
            <w:webHidden/>
          </w:rPr>
          <w:fldChar w:fldCharType="begin"/>
        </w:r>
        <w:r>
          <w:rPr>
            <w:noProof/>
            <w:webHidden/>
          </w:rPr>
          <w:instrText xml:space="preserve"> PAGEREF _Toc207613136 \h </w:instrText>
        </w:r>
        <w:r>
          <w:rPr>
            <w:noProof/>
            <w:webHidden/>
          </w:rPr>
        </w:r>
        <w:r>
          <w:rPr>
            <w:noProof/>
            <w:webHidden/>
          </w:rPr>
          <w:fldChar w:fldCharType="separate"/>
        </w:r>
        <w:r w:rsidR="005A59B5">
          <w:rPr>
            <w:noProof/>
            <w:webHidden/>
          </w:rPr>
          <w:t>11</w:t>
        </w:r>
        <w:r>
          <w:rPr>
            <w:noProof/>
            <w:webHidden/>
          </w:rPr>
          <w:fldChar w:fldCharType="end"/>
        </w:r>
      </w:hyperlink>
    </w:p>
    <w:p w14:paraId="4D8733C7" w14:textId="487E1361"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7" w:history="1">
        <w:r w:rsidRPr="00B429C4">
          <w:rPr>
            <w:rStyle w:val="Hyperlink"/>
            <w:noProof/>
          </w:rPr>
          <w:t>Table 8. Relationship between core functions and progress and performance indicators.</w:t>
        </w:r>
        <w:r>
          <w:rPr>
            <w:noProof/>
            <w:webHidden/>
          </w:rPr>
          <w:tab/>
        </w:r>
        <w:r>
          <w:rPr>
            <w:noProof/>
            <w:webHidden/>
          </w:rPr>
          <w:fldChar w:fldCharType="begin"/>
        </w:r>
        <w:r>
          <w:rPr>
            <w:noProof/>
            <w:webHidden/>
          </w:rPr>
          <w:instrText xml:space="preserve"> PAGEREF _Toc207613137 \h </w:instrText>
        </w:r>
        <w:r>
          <w:rPr>
            <w:noProof/>
            <w:webHidden/>
          </w:rPr>
        </w:r>
        <w:r>
          <w:rPr>
            <w:noProof/>
            <w:webHidden/>
          </w:rPr>
          <w:fldChar w:fldCharType="separate"/>
        </w:r>
        <w:r w:rsidR="005A59B5">
          <w:rPr>
            <w:noProof/>
            <w:webHidden/>
          </w:rPr>
          <w:t>12</w:t>
        </w:r>
        <w:r>
          <w:rPr>
            <w:noProof/>
            <w:webHidden/>
          </w:rPr>
          <w:fldChar w:fldCharType="end"/>
        </w:r>
      </w:hyperlink>
    </w:p>
    <w:p w14:paraId="56DA2D5D" w14:textId="2E882C28"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8" w:history="1">
        <w:r w:rsidRPr="00B429C4">
          <w:rPr>
            <w:rStyle w:val="Hyperlink"/>
            <w:noProof/>
          </w:rPr>
          <w:t>Table 9. Number of indicators by Program Dimensions</w:t>
        </w:r>
        <w:r>
          <w:rPr>
            <w:noProof/>
            <w:webHidden/>
          </w:rPr>
          <w:tab/>
        </w:r>
        <w:r>
          <w:rPr>
            <w:noProof/>
            <w:webHidden/>
          </w:rPr>
          <w:fldChar w:fldCharType="begin"/>
        </w:r>
        <w:r>
          <w:rPr>
            <w:noProof/>
            <w:webHidden/>
          </w:rPr>
          <w:instrText xml:space="preserve"> PAGEREF _Toc207613138 \h </w:instrText>
        </w:r>
        <w:r>
          <w:rPr>
            <w:noProof/>
            <w:webHidden/>
          </w:rPr>
        </w:r>
        <w:r>
          <w:rPr>
            <w:noProof/>
            <w:webHidden/>
          </w:rPr>
          <w:fldChar w:fldCharType="separate"/>
        </w:r>
        <w:r w:rsidR="005A59B5">
          <w:rPr>
            <w:noProof/>
            <w:webHidden/>
          </w:rPr>
          <w:t>13</w:t>
        </w:r>
        <w:r>
          <w:rPr>
            <w:noProof/>
            <w:webHidden/>
          </w:rPr>
          <w:fldChar w:fldCharType="end"/>
        </w:r>
      </w:hyperlink>
    </w:p>
    <w:p w14:paraId="0B0B1AFC" w14:textId="220B3674"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39" w:history="1">
        <w:r w:rsidRPr="00B429C4">
          <w:rPr>
            <w:rStyle w:val="Hyperlink"/>
            <w:noProof/>
          </w:rPr>
          <w:t>Table 10. Number of indicators by Core Function</w:t>
        </w:r>
        <w:r>
          <w:rPr>
            <w:noProof/>
            <w:webHidden/>
          </w:rPr>
          <w:tab/>
        </w:r>
        <w:r>
          <w:rPr>
            <w:noProof/>
            <w:webHidden/>
          </w:rPr>
          <w:fldChar w:fldCharType="begin"/>
        </w:r>
        <w:r>
          <w:rPr>
            <w:noProof/>
            <w:webHidden/>
          </w:rPr>
          <w:instrText xml:space="preserve"> PAGEREF _Toc207613139 \h </w:instrText>
        </w:r>
        <w:r>
          <w:rPr>
            <w:noProof/>
            <w:webHidden/>
          </w:rPr>
        </w:r>
        <w:r>
          <w:rPr>
            <w:noProof/>
            <w:webHidden/>
          </w:rPr>
          <w:fldChar w:fldCharType="separate"/>
        </w:r>
        <w:r w:rsidR="005A59B5">
          <w:rPr>
            <w:noProof/>
            <w:webHidden/>
          </w:rPr>
          <w:t>13</w:t>
        </w:r>
        <w:r>
          <w:rPr>
            <w:noProof/>
            <w:webHidden/>
          </w:rPr>
          <w:fldChar w:fldCharType="end"/>
        </w:r>
      </w:hyperlink>
    </w:p>
    <w:p w14:paraId="4416F2FD" w14:textId="3AEC42C4"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40" w:history="1">
        <w:r w:rsidRPr="00B429C4">
          <w:rPr>
            <w:rStyle w:val="Hyperlink"/>
            <w:noProof/>
          </w:rPr>
          <w:t>Table 11. Framework components and the corresponding indicators</w:t>
        </w:r>
        <w:r>
          <w:rPr>
            <w:noProof/>
            <w:webHidden/>
          </w:rPr>
          <w:tab/>
        </w:r>
        <w:r>
          <w:rPr>
            <w:noProof/>
            <w:webHidden/>
          </w:rPr>
          <w:fldChar w:fldCharType="begin"/>
        </w:r>
        <w:r>
          <w:rPr>
            <w:noProof/>
            <w:webHidden/>
          </w:rPr>
          <w:instrText xml:space="preserve"> PAGEREF _Toc207613140 \h </w:instrText>
        </w:r>
        <w:r>
          <w:rPr>
            <w:noProof/>
            <w:webHidden/>
          </w:rPr>
        </w:r>
        <w:r>
          <w:rPr>
            <w:noProof/>
            <w:webHidden/>
          </w:rPr>
          <w:fldChar w:fldCharType="separate"/>
        </w:r>
        <w:r w:rsidR="005A59B5">
          <w:rPr>
            <w:noProof/>
            <w:webHidden/>
          </w:rPr>
          <w:t>14</w:t>
        </w:r>
        <w:r>
          <w:rPr>
            <w:noProof/>
            <w:webHidden/>
          </w:rPr>
          <w:fldChar w:fldCharType="end"/>
        </w:r>
      </w:hyperlink>
    </w:p>
    <w:p w14:paraId="3F74ABA7" w14:textId="2A23B50B" w:rsidR="0096370B" w:rsidRDefault="0096370B">
      <w:pPr>
        <w:pStyle w:val="TableofFigures"/>
        <w:tabs>
          <w:tab w:val="right" w:leader="dot" w:pos="9016"/>
        </w:tabs>
        <w:rPr>
          <w:rFonts w:asciiTheme="minorHAnsi" w:eastAsiaTheme="minorEastAsia" w:hAnsiTheme="minorHAnsi" w:cstheme="minorBidi"/>
          <w:noProof/>
          <w:color w:val="auto"/>
          <w:kern w:val="2"/>
          <w:sz w:val="24"/>
          <w:lang w:eastAsia="en-AU"/>
          <w14:ligatures w14:val="standardContextual"/>
        </w:rPr>
      </w:pPr>
      <w:hyperlink w:anchor="_Toc207613141" w:history="1">
        <w:r w:rsidRPr="00B429C4">
          <w:rPr>
            <w:rStyle w:val="Hyperlink"/>
            <w:noProof/>
          </w:rPr>
          <w:t>Table 12. Matrix of indicators by Program Dimension and Indicator Type</w:t>
        </w:r>
        <w:r>
          <w:rPr>
            <w:noProof/>
            <w:webHidden/>
          </w:rPr>
          <w:tab/>
        </w:r>
        <w:r>
          <w:rPr>
            <w:noProof/>
            <w:webHidden/>
          </w:rPr>
          <w:fldChar w:fldCharType="begin"/>
        </w:r>
        <w:r>
          <w:rPr>
            <w:noProof/>
            <w:webHidden/>
          </w:rPr>
          <w:instrText xml:space="preserve"> PAGEREF _Toc207613141 \h </w:instrText>
        </w:r>
        <w:r>
          <w:rPr>
            <w:noProof/>
            <w:webHidden/>
          </w:rPr>
        </w:r>
        <w:r>
          <w:rPr>
            <w:noProof/>
            <w:webHidden/>
          </w:rPr>
          <w:fldChar w:fldCharType="separate"/>
        </w:r>
        <w:r w:rsidR="005A59B5">
          <w:rPr>
            <w:noProof/>
            <w:webHidden/>
          </w:rPr>
          <w:t>15</w:t>
        </w:r>
        <w:r>
          <w:rPr>
            <w:noProof/>
            <w:webHidden/>
          </w:rPr>
          <w:fldChar w:fldCharType="end"/>
        </w:r>
      </w:hyperlink>
    </w:p>
    <w:p w14:paraId="72664EB6" w14:textId="79E9F40A" w:rsidR="00D07608" w:rsidRPr="00A069A2" w:rsidRDefault="00FC161B">
      <w:pPr>
        <w:spacing w:before="0" w:after="0" w:line="240" w:lineRule="auto"/>
      </w:pPr>
      <w:r w:rsidRPr="00A069A2">
        <w:fldChar w:fldCharType="end"/>
      </w:r>
      <w:r w:rsidR="00D07608" w:rsidRPr="00A069A2">
        <w:br w:type="page"/>
      </w:r>
    </w:p>
    <w:p w14:paraId="29203C40" w14:textId="52C996B6" w:rsidR="00205A93" w:rsidRPr="00A069A2" w:rsidRDefault="00974CAF" w:rsidP="00974CAF">
      <w:pPr>
        <w:pStyle w:val="Heading1"/>
      </w:pPr>
      <w:bookmarkStart w:id="3" w:name="_Toc211333047"/>
      <w:r w:rsidRPr="00A069A2">
        <w:lastRenderedPageBreak/>
        <w:t>Introduction</w:t>
      </w:r>
      <w:bookmarkEnd w:id="3"/>
    </w:p>
    <w:p w14:paraId="277C024D" w14:textId="143FD901" w:rsidR="00DA573B" w:rsidRPr="00A069A2" w:rsidRDefault="00B45DFE" w:rsidP="0025176E">
      <w:pPr>
        <w:pStyle w:val="Heading2"/>
        <w:numPr>
          <w:ilvl w:val="0"/>
          <w:numId w:val="8"/>
        </w:numPr>
      </w:pPr>
      <w:bookmarkStart w:id="4" w:name="_Toc211333048"/>
      <w:r w:rsidRPr="00A069A2">
        <w:t>The Primary Health Network Program</w:t>
      </w:r>
      <w:bookmarkEnd w:id="4"/>
    </w:p>
    <w:p w14:paraId="53EF6282" w14:textId="0A9DEDAA" w:rsidR="00201023" w:rsidRPr="00A069A2" w:rsidRDefault="00020B87" w:rsidP="00B45DFE">
      <w:pPr>
        <w:pStyle w:val="Body"/>
      </w:pPr>
      <w:r w:rsidRPr="00A069A2">
        <w:t xml:space="preserve">The Primary Health Network Program (PHN Program) commenced in 2015 with the establishment of 31 Primary Health Networks (PHNs). </w:t>
      </w:r>
      <w:r w:rsidR="00D24636" w:rsidRPr="00A069A2">
        <w:t>Each</w:t>
      </w:r>
      <w:r w:rsidRPr="00A069A2">
        <w:t xml:space="preserve"> PHN </w:t>
      </w:r>
      <w:r w:rsidR="00D24636" w:rsidRPr="00A069A2">
        <w:t>is</w:t>
      </w:r>
      <w:r w:rsidRPr="00A069A2">
        <w:t xml:space="preserve"> responsible for identifying and addressing the primary health needs in their region through strategic planning, commissioning services, supporting </w:t>
      </w:r>
      <w:r w:rsidR="00201023" w:rsidRPr="00A069A2">
        <w:t>the primary care workforce</w:t>
      </w:r>
      <w:r w:rsidRPr="00A069A2">
        <w:t xml:space="preserve"> and </w:t>
      </w:r>
      <w:r w:rsidR="00883135" w:rsidRPr="00A069A2">
        <w:t>strengthening</w:t>
      </w:r>
      <w:r w:rsidRPr="00A069A2">
        <w:t xml:space="preserve"> the integration of local health care services.</w:t>
      </w:r>
      <w:r w:rsidR="002176F0" w:rsidRPr="00A069A2">
        <w:t xml:space="preserve"> </w:t>
      </w:r>
    </w:p>
    <w:p w14:paraId="2775C556" w14:textId="6D5F6850" w:rsidR="009526C8" w:rsidRPr="00A069A2" w:rsidRDefault="002176F0" w:rsidP="00B45DFE">
      <w:pPr>
        <w:pStyle w:val="Body"/>
      </w:pPr>
      <w:r w:rsidRPr="00A069A2">
        <w:t xml:space="preserve">PHNs </w:t>
      </w:r>
      <w:r w:rsidR="00201023" w:rsidRPr="00A069A2">
        <w:t xml:space="preserve">also </w:t>
      </w:r>
      <w:r w:rsidRPr="00A069A2">
        <w:t xml:space="preserve">play a crucial role in supporting health reform by driving local innovation and </w:t>
      </w:r>
      <w:r w:rsidR="00D81849" w:rsidRPr="00A069A2">
        <w:t>delivering national programs using a 'place-based' approach - tailoring initiatives to meet their local population's health needs.</w:t>
      </w:r>
      <w:r w:rsidR="002F6252" w:rsidRPr="00A069A2">
        <w:t xml:space="preserve"> </w:t>
      </w:r>
      <w:r w:rsidR="009526C8" w:rsidRPr="00A069A2">
        <w:t>The PHN Program has two objectives</w:t>
      </w:r>
      <w:r w:rsidR="00043E7D" w:rsidRPr="00A069A2">
        <w:t xml:space="preserve"> and </w:t>
      </w:r>
      <w:r w:rsidR="00F45DA5" w:rsidRPr="00A069A2">
        <w:t>eleven</w:t>
      </w:r>
      <w:r w:rsidR="00293E1D" w:rsidRPr="00A069A2">
        <w:t xml:space="preserve"> areas of scope</w:t>
      </w:r>
      <w:r w:rsidR="002F6252" w:rsidRPr="00A069A2">
        <w:t xml:space="preserve"> (Table 1).</w:t>
      </w:r>
    </w:p>
    <w:p w14:paraId="6B9E2DE1" w14:textId="77777777" w:rsidR="002F6252" w:rsidRPr="00A069A2" w:rsidRDefault="002F6252" w:rsidP="00B45DFE">
      <w:pPr>
        <w:pStyle w:val="Body"/>
      </w:pPr>
    </w:p>
    <w:p w14:paraId="1852EFC2" w14:textId="29681360" w:rsidR="002F6252" w:rsidRPr="00A069A2" w:rsidRDefault="002F6252" w:rsidP="002F6252">
      <w:pPr>
        <w:pStyle w:val="Caption"/>
        <w:keepNext/>
      </w:pPr>
      <w:bookmarkStart w:id="5" w:name="_Toc207613130"/>
      <w:r w:rsidRPr="00A069A2">
        <w:t xml:space="preserve">Table </w:t>
      </w:r>
      <w:r w:rsidRPr="00A069A2">
        <w:fldChar w:fldCharType="begin"/>
      </w:r>
      <w:r w:rsidRPr="00A069A2">
        <w:instrText xml:space="preserve"> SEQ Table \* ARABIC </w:instrText>
      </w:r>
      <w:r w:rsidRPr="00A069A2">
        <w:fldChar w:fldCharType="separate"/>
      </w:r>
      <w:r w:rsidR="005A59B5">
        <w:rPr>
          <w:noProof/>
        </w:rPr>
        <w:t>1</w:t>
      </w:r>
      <w:r w:rsidRPr="00A069A2">
        <w:fldChar w:fldCharType="end"/>
      </w:r>
      <w:r w:rsidRPr="00A069A2">
        <w:t>. PHN Program objectives and areas of scope</w:t>
      </w:r>
      <w:bookmarkEnd w:id="5"/>
    </w:p>
    <w:tbl>
      <w:tblPr>
        <w:tblStyle w:val="TableGrid"/>
        <w:tblW w:w="0" w:type="auto"/>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tblLook w:val="04A0" w:firstRow="1" w:lastRow="0" w:firstColumn="1" w:lastColumn="0" w:noHBand="0" w:noVBand="1"/>
        <w:tblCaption w:val="Table containing the PHN Program's 2 objectives and 11 areas of scope."/>
      </w:tblPr>
      <w:tblGrid>
        <w:gridCol w:w="3964"/>
        <w:gridCol w:w="5052"/>
      </w:tblGrid>
      <w:tr w:rsidR="00293E1D" w:rsidRPr="00A069A2" w14:paraId="3377523C" w14:textId="77777777" w:rsidTr="00545931">
        <w:trPr>
          <w:tblHeader/>
        </w:trPr>
        <w:tc>
          <w:tcPr>
            <w:tcW w:w="3964" w:type="dxa"/>
            <w:shd w:val="clear" w:color="auto" w:fill="3F4A75" w:themeFill="accent1"/>
            <w:vAlign w:val="center"/>
          </w:tcPr>
          <w:p w14:paraId="40C64E55" w14:textId="7EE33089" w:rsidR="00293E1D" w:rsidRPr="00A069A2" w:rsidRDefault="00293E1D" w:rsidP="00696A78">
            <w:pPr>
              <w:pStyle w:val="Body"/>
              <w:jc w:val="center"/>
              <w:rPr>
                <w:color w:val="FFFFFF" w:themeColor="background1"/>
                <w:sz w:val="20"/>
                <w:szCs w:val="20"/>
              </w:rPr>
            </w:pPr>
            <w:r w:rsidRPr="00A069A2">
              <w:rPr>
                <w:color w:val="FFFFFF" w:themeColor="background1"/>
                <w:sz w:val="20"/>
                <w:szCs w:val="20"/>
              </w:rPr>
              <w:t>PHN Program Objectives</w:t>
            </w:r>
          </w:p>
        </w:tc>
        <w:tc>
          <w:tcPr>
            <w:tcW w:w="5052" w:type="dxa"/>
            <w:shd w:val="clear" w:color="auto" w:fill="3F4A75" w:themeFill="accent1"/>
            <w:vAlign w:val="center"/>
          </w:tcPr>
          <w:p w14:paraId="12B7E275" w14:textId="6D4E20BE" w:rsidR="00293E1D" w:rsidRPr="00A069A2" w:rsidRDefault="00293E1D" w:rsidP="00696A78">
            <w:pPr>
              <w:pStyle w:val="Body"/>
              <w:jc w:val="center"/>
              <w:rPr>
                <w:color w:val="FFFFFF" w:themeColor="background1"/>
                <w:sz w:val="20"/>
                <w:szCs w:val="20"/>
              </w:rPr>
            </w:pPr>
            <w:r w:rsidRPr="00A069A2">
              <w:rPr>
                <w:color w:val="FFFFFF" w:themeColor="background1"/>
                <w:sz w:val="20"/>
                <w:szCs w:val="20"/>
              </w:rPr>
              <w:t>Areas of Scope</w:t>
            </w:r>
          </w:p>
        </w:tc>
      </w:tr>
      <w:tr w:rsidR="00293E1D" w:rsidRPr="00A069A2" w14:paraId="0FA7575E" w14:textId="77777777" w:rsidTr="0095689C">
        <w:trPr>
          <w:trHeight w:val="5568"/>
        </w:trPr>
        <w:tc>
          <w:tcPr>
            <w:tcW w:w="3964" w:type="dxa"/>
            <w:vAlign w:val="center"/>
          </w:tcPr>
          <w:p w14:paraId="4FFFBCCB" w14:textId="77777777" w:rsidR="00293E1D" w:rsidRPr="00A069A2" w:rsidRDefault="00293E1D" w:rsidP="0025176E">
            <w:pPr>
              <w:pStyle w:val="Body"/>
              <w:numPr>
                <w:ilvl w:val="0"/>
                <w:numId w:val="9"/>
              </w:numPr>
              <w:ind w:left="450"/>
              <w:rPr>
                <w:szCs w:val="22"/>
              </w:rPr>
            </w:pPr>
            <w:r w:rsidRPr="00A069A2">
              <w:rPr>
                <w:szCs w:val="22"/>
              </w:rPr>
              <w:t xml:space="preserve">Increase the efficiency and effectiveness of primary health care services for patients, particularly those at risk of poor health outcomes. </w:t>
            </w:r>
          </w:p>
          <w:p w14:paraId="20FAA6CB" w14:textId="77777777" w:rsidR="00293E1D" w:rsidRPr="00A069A2" w:rsidRDefault="00293E1D" w:rsidP="0025176E">
            <w:pPr>
              <w:pStyle w:val="Body"/>
              <w:numPr>
                <w:ilvl w:val="0"/>
                <w:numId w:val="9"/>
              </w:numPr>
              <w:ind w:left="450"/>
              <w:rPr>
                <w:szCs w:val="22"/>
              </w:rPr>
            </w:pPr>
            <w:r w:rsidRPr="00A069A2">
              <w:rPr>
                <w:szCs w:val="22"/>
              </w:rPr>
              <w:t xml:space="preserve">Improve coordination of health care to ensure patients receive the right care, in the right place, at the right time. </w:t>
            </w:r>
          </w:p>
          <w:p w14:paraId="039A9653" w14:textId="77777777" w:rsidR="00293E1D" w:rsidRPr="00A069A2" w:rsidRDefault="00293E1D" w:rsidP="00E229FD">
            <w:pPr>
              <w:pStyle w:val="Body"/>
              <w:rPr>
                <w:szCs w:val="22"/>
              </w:rPr>
            </w:pPr>
          </w:p>
        </w:tc>
        <w:tc>
          <w:tcPr>
            <w:tcW w:w="5052" w:type="dxa"/>
            <w:vAlign w:val="center"/>
          </w:tcPr>
          <w:p w14:paraId="59A8EE4F" w14:textId="77777777" w:rsidR="00F45DA5" w:rsidRPr="00A069A2" w:rsidRDefault="00F45DA5" w:rsidP="0025176E">
            <w:pPr>
              <w:pStyle w:val="Body"/>
              <w:numPr>
                <w:ilvl w:val="0"/>
                <w:numId w:val="9"/>
              </w:numPr>
              <w:rPr>
                <w:szCs w:val="22"/>
              </w:rPr>
            </w:pPr>
            <w:r w:rsidRPr="00A069A2">
              <w:rPr>
                <w:rFonts w:eastAsiaTheme="majorEastAsia"/>
                <w:szCs w:val="22"/>
              </w:rPr>
              <w:t>Population health</w:t>
            </w:r>
            <w:r w:rsidRPr="00A069A2">
              <w:rPr>
                <w:szCs w:val="22"/>
              </w:rPr>
              <w:t> </w:t>
            </w:r>
          </w:p>
          <w:p w14:paraId="40CB31ED" w14:textId="77777777" w:rsidR="00F45DA5" w:rsidRPr="00A069A2" w:rsidRDefault="00F45DA5" w:rsidP="0025176E">
            <w:pPr>
              <w:pStyle w:val="Body"/>
              <w:numPr>
                <w:ilvl w:val="0"/>
                <w:numId w:val="9"/>
              </w:numPr>
              <w:rPr>
                <w:szCs w:val="22"/>
              </w:rPr>
            </w:pPr>
            <w:r w:rsidRPr="00A069A2">
              <w:rPr>
                <w:rFonts w:eastAsiaTheme="majorEastAsia"/>
                <w:szCs w:val="22"/>
              </w:rPr>
              <w:t>Practice support</w:t>
            </w:r>
            <w:r w:rsidRPr="00A069A2">
              <w:rPr>
                <w:szCs w:val="22"/>
              </w:rPr>
              <w:t> </w:t>
            </w:r>
          </w:p>
          <w:p w14:paraId="4E473A26" w14:textId="77777777" w:rsidR="00F45DA5" w:rsidRPr="00A069A2" w:rsidRDefault="00F45DA5" w:rsidP="0025176E">
            <w:pPr>
              <w:pStyle w:val="Body"/>
              <w:numPr>
                <w:ilvl w:val="0"/>
                <w:numId w:val="9"/>
              </w:numPr>
              <w:rPr>
                <w:szCs w:val="22"/>
              </w:rPr>
            </w:pPr>
            <w:r w:rsidRPr="00A069A2">
              <w:rPr>
                <w:rFonts w:eastAsiaTheme="majorEastAsia"/>
                <w:szCs w:val="22"/>
              </w:rPr>
              <w:t>Digital health</w:t>
            </w:r>
            <w:r w:rsidRPr="00A069A2">
              <w:rPr>
                <w:szCs w:val="22"/>
              </w:rPr>
              <w:t> </w:t>
            </w:r>
          </w:p>
          <w:p w14:paraId="1D8E909C" w14:textId="77777777" w:rsidR="00F45DA5" w:rsidRPr="00A069A2" w:rsidRDefault="00F45DA5" w:rsidP="0025176E">
            <w:pPr>
              <w:pStyle w:val="Body"/>
              <w:numPr>
                <w:ilvl w:val="0"/>
                <w:numId w:val="9"/>
              </w:numPr>
              <w:rPr>
                <w:szCs w:val="22"/>
              </w:rPr>
            </w:pPr>
            <w:r w:rsidRPr="00A069A2">
              <w:rPr>
                <w:rFonts w:eastAsiaTheme="majorEastAsia"/>
                <w:szCs w:val="22"/>
              </w:rPr>
              <w:t>Emergency preparedness</w:t>
            </w:r>
            <w:r w:rsidRPr="00A069A2">
              <w:rPr>
                <w:szCs w:val="22"/>
              </w:rPr>
              <w:t> </w:t>
            </w:r>
          </w:p>
          <w:p w14:paraId="73850AEB" w14:textId="77777777" w:rsidR="00341C7C" w:rsidRPr="00A069A2" w:rsidRDefault="00341C7C" w:rsidP="0025176E">
            <w:pPr>
              <w:pStyle w:val="Body"/>
              <w:numPr>
                <w:ilvl w:val="0"/>
                <w:numId w:val="9"/>
              </w:numPr>
              <w:rPr>
                <w:szCs w:val="22"/>
              </w:rPr>
            </w:pPr>
            <w:r w:rsidRPr="00A069A2">
              <w:rPr>
                <w:rFonts w:eastAsiaTheme="majorEastAsia"/>
                <w:szCs w:val="22"/>
              </w:rPr>
              <w:t>Mental health and suicide prevention</w:t>
            </w:r>
            <w:r w:rsidRPr="00A069A2">
              <w:rPr>
                <w:szCs w:val="22"/>
              </w:rPr>
              <w:t> </w:t>
            </w:r>
          </w:p>
          <w:p w14:paraId="5200CA96" w14:textId="77777777" w:rsidR="00341C7C" w:rsidRPr="00A069A2" w:rsidRDefault="00341C7C" w:rsidP="0025176E">
            <w:pPr>
              <w:pStyle w:val="Body"/>
              <w:numPr>
                <w:ilvl w:val="0"/>
                <w:numId w:val="9"/>
              </w:numPr>
              <w:rPr>
                <w:szCs w:val="22"/>
              </w:rPr>
            </w:pPr>
            <w:r w:rsidRPr="00A069A2">
              <w:rPr>
                <w:rFonts w:eastAsiaTheme="majorEastAsia"/>
                <w:szCs w:val="22"/>
              </w:rPr>
              <w:t>Alcohol and other drugs</w:t>
            </w:r>
            <w:r w:rsidRPr="00A069A2">
              <w:rPr>
                <w:szCs w:val="22"/>
              </w:rPr>
              <w:t> </w:t>
            </w:r>
          </w:p>
          <w:p w14:paraId="0368C805" w14:textId="77777777" w:rsidR="00341C7C" w:rsidRPr="00A069A2" w:rsidRDefault="00341C7C" w:rsidP="0025176E">
            <w:pPr>
              <w:pStyle w:val="Body"/>
              <w:numPr>
                <w:ilvl w:val="0"/>
                <w:numId w:val="9"/>
              </w:numPr>
              <w:rPr>
                <w:szCs w:val="22"/>
              </w:rPr>
            </w:pPr>
            <w:r w:rsidRPr="00A069A2">
              <w:rPr>
                <w:rFonts w:eastAsiaTheme="majorEastAsia"/>
                <w:szCs w:val="22"/>
              </w:rPr>
              <w:t>Health services in aged care</w:t>
            </w:r>
            <w:r w:rsidRPr="00A069A2">
              <w:rPr>
                <w:szCs w:val="22"/>
              </w:rPr>
              <w:t> </w:t>
            </w:r>
          </w:p>
          <w:p w14:paraId="65CE0E07" w14:textId="77777777" w:rsidR="00341C7C" w:rsidRPr="00A069A2" w:rsidRDefault="00341C7C" w:rsidP="0025176E">
            <w:pPr>
              <w:pStyle w:val="Body"/>
              <w:numPr>
                <w:ilvl w:val="0"/>
                <w:numId w:val="9"/>
              </w:numPr>
              <w:rPr>
                <w:szCs w:val="22"/>
              </w:rPr>
            </w:pPr>
            <w:r w:rsidRPr="00A069A2">
              <w:rPr>
                <w:rFonts w:eastAsiaTheme="majorEastAsia"/>
                <w:szCs w:val="22"/>
              </w:rPr>
              <w:t>First Nations health</w:t>
            </w:r>
            <w:r w:rsidRPr="00A069A2">
              <w:rPr>
                <w:szCs w:val="22"/>
              </w:rPr>
              <w:t> </w:t>
            </w:r>
          </w:p>
          <w:p w14:paraId="2CFD14CF" w14:textId="77777777" w:rsidR="00341C7C" w:rsidRPr="00A069A2" w:rsidRDefault="00341C7C" w:rsidP="0025176E">
            <w:pPr>
              <w:pStyle w:val="Body"/>
              <w:numPr>
                <w:ilvl w:val="0"/>
                <w:numId w:val="9"/>
              </w:numPr>
              <w:rPr>
                <w:szCs w:val="22"/>
              </w:rPr>
            </w:pPr>
            <w:r w:rsidRPr="00A069A2">
              <w:rPr>
                <w:rFonts w:eastAsiaTheme="majorEastAsia"/>
                <w:szCs w:val="22"/>
              </w:rPr>
              <w:t>Workforce</w:t>
            </w:r>
            <w:r w:rsidRPr="00A069A2">
              <w:rPr>
                <w:szCs w:val="22"/>
              </w:rPr>
              <w:t> </w:t>
            </w:r>
          </w:p>
          <w:p w14:paraId="0414231E" w14:textId="77777777" w:rsidR="00341C7C" w:rsidRPr="00A069A2" w:rsidRDefault="00341C7C" w:rsidP="0025176E">
            <w:pPr>
              <w:pStyle w:val="Body"/>
              <w:numPr>
                <w:ilvl w:val="0"/>
                <w:numId w:val="9"/>
              </w:numPr>
              <w:rPr>
                <w:szCs w:val="22"/>
              </w:rPr>
            </w:pPr>
            <w:r w:rsidRPr="00A069A2">
              <w:rPr>
                <w:rFonts w:eastAsiaTheme="majorEastAsia"/>
                <w:szCs w:val="22"/>
              </w:rPr>
              <w:t>Emergency response (e.g., COVID-19, bushfires and floods)</w:t>
            </w:r>
            <w:r w:rsidRPr="00A069A2">
              <w:rPr>
                <w:szCs w:val="22"/>
              </w:rPr>
              <w:t> </w:t>
            </w:r>
          </w:p>
          <w:p w14:paraId="5C85AF6A" w14:textId="273C7AE6" w:rsidR="00293E1D" w:rsidRPr="00A069A2" w:rsidRDefault="00341C7C" w:rsidP="0025176E">
            <w:pPr>
              <w:pStyle w:val="Body"/>
              <w:numPr>
                <w:ilvl w:val="0"/>
                <w:numId w:val="9"/>
              </w:numPr>
              <w:rPr>
                <w:szCs w:val="22"/>
              </w:rPr>
            </w:pPr>
            <w:r w:rsidRPr="00A069A2">
              <w:rPr>
                <w:rFonts w:eastAsiaTheme="majorEastAsia"/>
                <w:szCs w:val="22"/>
              </w:rPr>
              <w:t>Medicare Urgent Care Clinics</w:t>
            </w:r>
            <w:r w:rsidRPr="00A069A2">
              <w:rPr>
                <w:szCs w:val="22"/>
              </w:rPr>
              <w:t> </w:t>
            </w:r>
          </w:p>
        </w:tc>
      </w:tr>
    </w:tbl>
    <w:p w14:paraId="74DE855F" w14:textId="77777777" w:rsidR="00293E1D" w:rsidRPr="00A069A2" w:rsidRDefault="00293E1D" w:rsidP="00B45DFE">
      <w:pPr>
        <w:pStyle w:val="Body"/>
      </w:pPr>
    </w:p>
    <w:p w14:paraId="1A1B907D" w14:textId="5B4DFEDD" w:rsidR="00152A90" w:rsidRPr="00A069A2" w:rsidRDefault="00F53606" w:rsidP="00BD58FF">
      <w:pPr>
        <w:pStyle w:val="Body"/>
      </w:pPr>
      <w:r w:rsidRPr="00A069A2">
        <w:t xml:space="preserve">The PHN Program has grown in size and breadth </w:t>
      </w:r>
      <w:r w:rsidR="00C2462A" w:rsidRPr="00A069A2">
        <w:t>in terms of the f</w:t>
      </w:r>
      <w:r w:rsidR="00BC32B5" w:rsidRPr="00A069A2">
        <w:t xml:space="preserve">unding and activities delivered through PHNs. </w:t>
      </w:r>
      <w:r w:rsidR="00487A1E" w:rsidRPr="00A069A2">
        <w:t xml:space="preserve">As of </w:t>
      </w:r>
      <w:r w:rsidR="00961E86" w:rsidRPr="00A069A2">
        <w:t xml:space="preserve">June 2025, the program has a total </w:t>
      </w:r>
      <w:r w:rsidR="00FE18F0" w:rsidRPr="00A069A2">
        <w:t xml:space="preserve">annual </w:t>
      </w:r>
      <w:r w:rsidR="00961E86" w:rsidRPr="00A069A2">
        <w:t>expenditure of approximately $2</w:t>
      </w:r>
      <w:r w:rsidR="001D008E" w:rsidRPr="00A069A2">
        <w:t xml:space="preserve"> </w:t>
      </w:r>
      <w:r w:rsidR="00961E86" w:rsidRPr="00A069A2">
        <w:t>b</w:t>
      </w:r>
      <w:r w:rsidR="001D008E" w:rsidRPr="00A069A2">
        <w:t>illion</w:t>
      </w:r>
      <w:r w:rsidR="00961E86" w:rsidRPr="00A069A2">
        <w:t xml:space="preserve"> and </w:t>
      </w:r>
      <w:r w:rsidR="00D73A8C" w:rsidRPr="00A069A2">
        <w:t xml:space="preserve">has a coverage of 43 policy areas, delivered through 82 funding streams. </w:t>
      </w:r>
    </w:p>
    <w:p w14:paraId="0C8F5383" w14:textId="5EE84AEF" w:rsidR="00C2462A" w:rsidRPr="00A069A2" w:rsidRDefault="00C2462A">
      <w:pPr>
        <w:spacing w:before="0" w:after="0" w:line="240" w:lineRule="auto"/>
      </w:pPr>
      <w:r w:rsidRPr="00A069A2">
        <w:br w:type="page"/>
      </w:r>
    </w:p>
    <w:p w14:paraId="0830E9D0" w14:textId="28741BB7" w:rsidR="004A5A56" w:rsidRPr="00A069A2" w:rsidRDefault="0068563A" w:rsidP="0068563A">
      <w:pPr>
        <w:pStyle w:val="Heading3"/>
        <w:rPr>
          <w:i/>
          <w:color w:val="358189" w:themeColor="accent2"/>
          <w:sz w:val="28"/>
        </w:rPr>
      </w:pPr>
      <w:bookmarkStart w:id="6" w:name="_Toc211333049"/>
      <w:r w:rsidRPr="00A069A2">
        <w:lastRenderedPageBreak/>
        <w:t xml:space="preserve">1.1 </w:t>
      </w:r>
      <w:r w:rsidR="004A5A56" w:rsidRPr="00A069A2">
        <w:t>Core Functions</w:t>
      </w:r>
      <w:bookmarkEnd w:id="6"/>
    </w:p>
    <w:p w14:paraId="578674AD" w14:textId="54A757C0" w:rsidR="004A5A56" w:rsidRPr="00A069A2" w:rsidRDefault="004A5A56" w:rsidP="00BC50D2">
      <w:pPr>
        <w:pStyle w:val="Body"/>
      </w:pPr>
      <w:r w:rsidRPr="00A069A2">
        <w:t>To meet the objectives of the PHN Program, PHNs undertake activities under three core functions: coordinate, commission, and capacity-build. Delivery of these functions is aimed to support and strengthen the local health system, to address identified needs and continually strive towards achieving the Quintuple Aim</w:t>
      </w:r>
      <w:r w:rsidR="00A17B14" w:rsidRPr="00A069A2">
        <w:t xml:space="preserve"> </w:t>
      </w:r>
      <w:r w:rsidR="005B70EF" w:rsidRPr="00A069A2">
        <w:t>f</w:t>
      </w:r>
      <w:r w:rsidR="00A17B14" w:rsidRPr="00A069A2">
        <w:t xml:space="preserve">or healthcare </w:t>
      </w:r>
      <w:r w:rsidR="00A520E8" w:rsidRPr="00A069A2">
        <w:t>reform</w:t>
      </w:r>
      <w:r w:rsidRPr="00A069A2">
        <w:t>. These functions generally correlate to activities that PHNs are funded to undertake. In most cases:</w:t>
      </w:r>
      <w:r w:rsidR="00BC0EBB" w:rsidRPr="00BC0EBB">
        <w:rPr>
          <w:noProof/>
        </w:rPr>
        <w:t xml:space="preserve"> </w:t>
      </w:r>
    </w:p>
    <w:p w14:paraId="5C36FFD1" w14:textId="77777777" w:rsidR="004A5A56" w:rsidRPr="00A069A2" w:rsidRDefault="004A5A56" w:rsidP="0025176E">
      <w:pPr>
        <w:pStyle w:val="ListParagraph"/>
        <w:numPr>
          <w:ilvl w:val="0"/>
          <w:numId w:val="7"/>
        </w:numPr>
        <w:spacing w:before="60" w:line="240" w:lineRule="auto"/>
        <w:jc w:val="both"/>
      </w:pPr>
      <w:r w:rsidRPr="00A069A2">
        <w:rPr>
          <w:b/>
          <w:bCs/>
        </w:rPr>
        <w:t>Core funding</w:t>
      </w:r>
      <w:r w:rsidRPr="00A069A2">
        <w:t xml:space="preserve"> is usually used to deliver </w:t>
      </w:r>
      <w:r w:rsidRPr="00A069A2">
        <w:rPr>
          <w:u w:val="single"/>
        </w:rPr>
        <w:t>coordination</w:t>
      </w:r>
      <w:r w:rsidRPr="00A069A2">
        <w:t xml:space="preserve"> and </w:t>
      </w:r>
      <w:r w:rsidRPr="00A069A2">
        <w:rPr>
          <w:u w:val="single"/>
        </w:rPr>
        <w:t>capacity-building</w:t>
      </w:r>
      <w:r w:rsidRPr="00A069A2">
        <w:t xml:space="preserve"> activities, and</w:t>
      </w:r>
    </w:p>
    <w:p w14:paraId="4500CF24" w14:textId="4F0A89B6" w:rsidR="004A5A56" w:rsidRPr="00A069A2" w:rsidRDefault="004A5A56" w:rsidP="0025176E">
      <w:pPr>
        <w:pStyle w:val="ListParagraph"/>
        <w:numPr>
          <w:ilvl w:val="0"/>
          <w:numId w:val="7"/>
        </w:numPr>
        <w:spacing w:line="240" w:lineRule="auto"/>
        <w:jc w:val="both"/>
      </w:pPr>
      <w:r w:rsidRPr="00A069A2">
        <w:rPr>
          <w:b/>
          <w:bCs/>
        </w:rPr>
        <w:t>Program funding</w:t>
      </w:r>
      <w:r w:rsidRPr="00A069A2">
        <w:t xml:space="preserve"> is usually used to deliver </w:t>
      </w:r>
      <w:r w:rsidRPr="00A069A2">
        <w:rPr>
          <w:u w:val="single"/>
        </w:rPr>
        <w:t>commission</w:t>
      </w:r>
      <w:r w:rsidR="002504C3" w:rsidRPr="00A069A2">
        <w:rPr>
          <w:u w:val="single"/>
        </w:rPr>
        <w:t xml:space="preserve">ed </w:t>
      </w:r>
      <w:r w:rsidR="002504C3" w:rsidRPr="00A069A2">
        <w:t>services</w:t>
      </w:r>
      <w:r w:rsidRPr="00A069A2">
        <w:t xml:space="preserve">. </w:t>
      </w:r>
    </w:p>
    <w:p w14:paraId="3835B477" w14:textId="77777777" w:rsidR="00BC0EBB" w:rsidRDefault="00BC0EBB" w:rsidP="00BC0EBB">
      <w:pPr>
        <w:spacing w:line="240" w:lineRule="auto"/>
        <w:jc w:val="both"/>
      </w:pPr>
    </w:p>
    <w:p w14:paraId="46E8A5A5" w14:textId="77777777" w:rsidR="00B0532F" w:rsidRDefault="00BC0EBB" w:rsidP="00B0532F">
      <w:pPr>
        <w:pStyle w:val="ListParagraph"/>
        <w:keepNext/>
        <w:spacing w:line="240" w:lineRule="auto"/>
        <w:ind w:left="360"/>
        <w:jc w:val="center"/>
      </w:pPr>
      <w:r w:rsidRPr="002030C2">
        <w:rPr>
          <w:noProof/>
        </w:rPr>
        <w:drawing>
          <wp:inline distT="0" distB="0" distL="0" distR="0" wp14:anchorId="38C58F28" wp14:editId="587D87C1">
            <wp:extent cx="2610464" cy="1730915"/>
            <wp:effectExtent l="0" t="0" r="0" b="3175"/>
            <wp:docPr id="172207685" name="Picture 3" descr="Diagram depicting  the quintuple aims of health system reform being improving the cost efficiency, peoples experience of care, the work life of providers and the health of populations all contributing to improved equity of access and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7685" name="Picture 3" descr="Diagram depicting  the quintuple aims of health system reform being improving the cost efficiency, peoples experience of care, the work life of providers and the health of populations all contributing to improved equity of access and outcomes."/>
                    <pic:cNvPicPr>
                      <a:picLocks noChangeAspect="1" noChangeArrowheads="1"/>
                    </pic:cNvPicPr>
                  </pic:nvPicPr>
                  <pic:blipFill rotWithShape="1">
                    <a:blip r:embed="rId22">
                      <a:extLst>
                        <a:ext uri="{28A0092B-C50C-407E-A947-70E740481C1C}">
                          <a14:useLocalDpi xmlns:a14="http://schemas.microsoft.com/office/drawing/2010/main" val="0"/>
                        </a:ext>
                      </a:extLst>
                    </a:blip>
                    <a:srcRect t="9427"/>
                    <a:stretch>
                      <a:fillRect/>
                    </a:stretch>
                  </pic:blipFill>
                  <pic:spPr bwMode="auto">
                    <a:xfrm>
                      <a:off x="0" y="0"/>
                      <a:ext cx="2629119" cy="1743285"/>
                    </a:xfrm>
                    <a:prstGeom prst="rect">
                      <a:avLst/>
                    </a:prstGeom>
                    <a:noFill/>
                    <a:ln>
                      <a:noFill/>
                    </a:ln>
                    <a:extLst>
                      <a:ext uri="{53640926-AAD7-44D8-BBD7-CCE9431645EC}">
                        <a14:shadowObscured xmlns:a14="http://schemas.microsoft.com/office/drawing/2010/main"/>
                      </a:ext>
                    </a:extLst>
                  </pic:spPr>
                </pic:pic>
              </a:graphicData>
            </a:graphic>
          </wp:inline>
        </w:drawing>
      </w:r>
    </w:p>
    <w:p w14:paraId="6103A691" w14:textId="37A9A23F" w:rsidR="00341C7C" w:rsidRPr="00A069A2" w:rsidRDefault="00B0532F" w:rsidP="00B0532F">
      <w:pPr>
        <w:pStyle w:val="Caption"/>
        <w:jc w:val="center"/>
      </w:pPr>
      <w:r>
        <w:t xml:space="preserve">Figure </w:t>
      </w:r>
      <w:r>
        <w:fldChar w:fldCharType="begin"/>
      </w:r>
      <w:r>
        <w:instrText xml:space="preserve"> SEQ Figure \* ARABIC </w:instrText>
      </w:r>
      <w:r>
        <w:fldChar w:fldCharType="separate"/>
      </w:r>
      <w:r w:rsidR="005A59B5">
        <w:rPr>
          <w:noProof/>
        </w:rPr>
        <w:t>1</w:t>
      </w:r>
      <w:r>
        <w:fldChar w:fldCharType="end"/>
      </w:r>
      <w:r>
        <w:t>.</w:t>
      </w:r>
      <w:r w:rsidRPr="007F283F">
        <w:t xml:space="preserve"> Quintuple aim of health system reform</w:t>
      </w:r>
    </w:p>
    <w:p w14:paraId="6647560A" w14:textId="7DB0965C" w:rsidR="00BC0EBB" w:rsidRDefault="00BC0EBB">
      <w:pPr>
        <w:spacing w:before="0" w:after="0" w:line="240" w:lineRule="auto"/>
      </w:pPr>
    </w:p>
    <w:p w14:paraId="4B17663A" w14:textId="62CF4048" w:rsidR="004A5A56" w:rsidRPr="00A069A2" w:rsidRDefault="004A5A56" w:rsidP="00FE18F0">
      <w:pPr>
        <w:pStyle w:val="Caption"/>
        <w:keepNext/>
      </w:pPr>
      <w:bookmarkStart w:id="7" w:name="_Toc207613131"/>
      <w:r w:rsidRPr="00A069A2">
        <w:t xml:space="preserve">Table </w:t>
      </w:r>
      <w:r w:rsidRPr="00A069A2">
        <w:fldChar w:fldCharType="begin"/>
      </w:r>
      <w:r w:rsidRPr="00A069A2">
        <w:instrText xml:space="preserve"> SEQ Table \* ARABIC </w:instrText>
      </w:r>
      <w:r w:rsidRPr="00A069A2">
        <w:fldChar w:fldCharType="separate"/>
      </w:r>
      <w:r w:rsidR="005A59B5">
        <w:rPr>
          <w:noProof/>
        </w:rPr>
        <w:t>2</w:t>
      </w:r>
      <w:r w:rsidRPr="00A069A2">
        <w:fldChar w:fldCharType="end"/>
      </w:r>
      <w:r w:rsidRPr="00A069A2">
        <w:t>. PHN core functions and their descriptions</w:t>
      </w:r>
      <w:bookmarkEnd w:id="7"/>
    </w:p>
    <w:tbl>
      <w:tblPr>
        <w:tblStyle w:val="PlainTable4"/>
        <w:tblW w:w="5000" w:type="pct"/>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shd w:val="clear" w:color="auto" w:fill="FFFFFF" w:themeFill="background1"/>
        <w:tblLook w:val="04A0" w:firstRow="1" w:lastRow="0" w:firstColumn="1" w:lastColumn="0" w:noHBand="0" w:noVBand="1"/>
        <w:tblCaption w:val="Table containing a description of the the 3 core functions of PHNs."/>
      </w:tblPr>
      <w:tblGrid>
        <w:gridCol w:w="1427"/>
        <w:gridCol w:w="7589"/>
      </w:tblGrid>
      <w:tr w:rsidR="004A5A56" w:rsidRPr="00A069A2" w14:paraId="04D22D90" w14:textId="77777777" w:rsidTr="00012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3" w:type="pct"/>
            <w:shd w:val="clear" w:color="auto" w:fill="3F4A75" w:themeFill="text2"/>
          </w:tcPr>
          <w:p w14:paraId="5BB9AA37" w14:textId="77777777" w:rsidR="004A5A56" w:rsidRPr="00A069A2" w:rsidRDefault="004A5A56">
            <w:pPr>
              <w:spacing w:before="40" w:after="40"/>
              <w:rPr>
                <w:rFonts w:cs="Arial"/>
                <w:color w:val="FFFFFF" w:themeColor="background1"/>
                <w:szCs w:val="22"/>
              </w:rPr>
            </w:pPr>
            <w:r w:rsidRPr="00A069A2">
              <w:rPr>
                <w:rFonts w:cs="Arial"/>
                <w:color w:val="FFFFFF" w:themeColor="background1"/>
                <w:szCs w:val="22"/>
              </w:rPr>
              <w:t>Function</w:t>
            </w:r>
          </w:p>
        </w:tc>
        <w:tc>
          <w:tcPr>
            <w:tcW w:w="4267" w:type="pct"/>
            <w:shd w:val="clear" w:color="auto" w:fill="3F4A75" w:themeFill="text2"/>
          </w:tcPr>
          <w:p w14:paraId="7CC3F670" w14:textId="77777777" w:rsidR="004A5A56" w:rsidRPr="00A069A2" w:rsidRDefault="004A5A56">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69A2">
              <w:rPr>
                <w:rFonts w:cs="Arial"/>
                <w:color w:val="FFFFFF" w:themeColor="background1"/>
                <w:szCs w:val="22"/>
              </w:rPr>
              <w:t>Description</w:t>
            </w:r>
          </w:p>
        </w:tc>
      </w:tr>
      <w:tr w:rsidR="004A5A56" w:rsidRPr="00A069A2" w14:paraId="19F6AAAF" w14:textId="77777777" w:rsidTr="00203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shd w:val="clear" w:color="auto" w:fill="FFFFFF" w:themeFill="background1"/>
            <w:vAlign w:val="center"/>
          </w:tcPr>
          <w:p w14:paraId="0E2A9EFE" w14:textId="77777777" w:rsidR="004A5A56" w:rsidRPr="00A069A2" w:rsidRDefault="004A5A56">
            <w:pPr>
              <w:spacing w:beforeLines="50" w:afterLines="50"/>
              <w:rPr>
                <w:rFonts w:cs="Arial"/>
                <w:b w:val="0"/>
                <w:bCs w:val="0"/>
                <w:szCs w:val="22"/>
              </w:rPr>
            </w:pPr>
            <w:r w:rsidRPr="00A069A2">
              <w:rPr>
                <w:rFonts w:cs="Arial"/>
                <w:b w:val="0"/>
                <w:bCs w:val="0"/>
                <w:szCs w:val="22"/>
              </w:rPr>
              <w:t>Coordinate</w:t>
            </w:r>
          </w:p>
        </w:tc>
        <w:tc>
          <w:tcPr>
            <w:tcW w:w="4267" w:type="pct"/>
            <w:shd w:val="clear" w:color="auto" w:fill="FFFFFF" w:themeFill="background1"/>
            <w:vAlign w:val="center"/>
          </w:tcPr>
          <w:p w14:paraId="14223A29" w14:textId="4DC98652" w:rsidR="004A5A56" w:rsidRPr="00A069A2" w:rsidRDefault="004A5A56" w:rsidP="002030C2">
            <w:pPr>
              <w:spacing w:line="264" w:lineRule="auto"/>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A069A2">
              <w:rPr>
                <w:rFonts w:cs="Arial"/>
                <w:color w:val="000000"/>
                <w:szCs w:val="22"/>
              </w:rPr>
              <w:t xml:space="preserve">Coordination activities integrate and build better connections between services across primary, secondary and tertiary levels of healthcare, as well as between public and private sectors. Objectives of these activities are generally aimed at improving processes that contribute to patient access, </w:t>
            </w:r>
            <w:r w:rsidR="00D615F3" w:rsidRPr="00A069A2">
              <w:rPr>
                <w:rFonts w:cs="Arial"/>
                <w:color w:val="000000"/>
                <w:szCs w:val="22"/>
              </w:rPr>
              <w:t xml:space="preserve">and the </w:t>
            </w:r>
            <w:r w:rsidRPr="00A069A2">
              <w:rPr>
                <w:rFonts w:cs="Arial"/>
                <w:color w:val="000000"/>
                <w:szCs w:val="22"/>
              </w:rPr>
              <w:t xml:space="preserve">continuity and quality of care. The desired outcome of coordination activities is to address gaps or barriers in a patient’s journey for receiving integrated care. Outcomes also seek to reduce duplication of services and (identify </w:t>
            </w:r>
            <w:r w:rsidR="00B90577" w:rsidRPr="00A069A2">
              <w:rPr>
                <w:rFonts w:cs="Arial"/>
                <w:color w:val="000000"/>
                <w:szCs w:val="22"/>
              </w:rPr>
              <w:t>and where possible implement</w:t>
            </w:r>
            <w:r w:rsidR="006043F5" w:rsidRPr="00A069A2">
              <w:rPr>
                <w:rFonts w:cs="Arial"/>
                <w:color w:val="000000"/>
                <w:szCs w:val="22"/>
              </w:rPr>
              <w:t xml:space="preserve"> </w:t>
            </w:r>
            <w:r w:rsidRPr="00A069A2">
              <w:rPr>
                <w:rFonts w:cs="Arial"/>
                <w:color w:val="000000"/>
                <w:szCs w:val="22"/>
              </w:rPr>
              <w:t xml:space="preserve">ways to) improve efficiency. </w:t>
            </w:r>
          </w:p>
          <w:p w14:paraId="001E001B" w14:textId="701B326E" w:rsidR="004A5A56" w:rsidRPr="00A069A2" w:rsidRDefault="004A5A56" w:rsidP="002030C2">
            <w:pPr>
              <w:spacing w:line="264" w:lineRule="auto"/>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A069A2">
              <w:rPr>
                <w:rFonts w:cs="Arial"/>
                <w:color w:val="000000"/>
                <w:szCs w:val="22"/>
              </w:rPr>
              <w:t>Coordination activities are directly delivered by PHNs in partnership with LHNs, AC</w:t>
            </w:r>
            <w:r w:rsidR="00026CD7" w:rsidRPr="00A069A2">
              <w:rPr>
                <w:rFonts w:cs="Arial"/>
                <w:color w:val="000000"/>
                <w:szCs w:val="22"/>
              </w:rPr>
              <w:t>C</w:t>
            </w:r>
            <w:r w:rsidRPr="00A069A2">
              <w:rPr>
                <w:rFonts w:cs="Arial"/>
                <w:color w:val="000000"/>
                <w:szCs w:val="22"/>
              </w:rPr>
              <w:t xml:space="preserve">HOs, or other stakeholders. These partnerships are characterised by agreed objectives that are supported through joint investment. </w:t>
            </w:r>
          </w:p>
        </w:tc>
      </w:tr>
      <w:tr w:rsidR="004A5A56" w:rsidRPr="00A069A2" w14:paraId="29C8077D" w14:textId="77777777" w:rsidTr="002030C2">
        <w:tc>
          <w:tcPr>
            <w:cnfStyle w:val="001000000000" w:firstRow="0" w:lastRow="0" w:firstColumn="1" w:lastColumn="0" w:oddVBand="0" w:evenVBand="0" w:oddHBand="0" w:evenHBand="0" w:firstRowFirstColumn="0" w:firstRowLastColumn="0" w:lastRowFirstColumn="0" w:lastRowLastColumn="0"/>
            <w:tcW w:w="733" w:type="pct"/>
            <w:shd w:val="clear" w:color="auto" w:fill="FFFFFF" w:themeFill="background1"/>
            <w:vAlign w:val="center"/>
          </w:tcPr>
          <w:p w14:paraId="26FEA8C2" w14:textId="77777777" w:rsidR="004A5A56" w:rsidRPr="00A069A2" w:rsidRDefault="004A5A56">
            <w:pPr>
              <w:spacing w:beforeLines="50" w:afterLines="50"/>
              <w:rPr>
                <w:rFonts w:cs="Arial"/>
                <w:b w:val="0"/>
                <w:bCs w:val="0"/>
                <w:szCs w:val="22"/>
              </w:rPr>
            </w:pPr>
            <w:r w:rsidRPr="00A069A2">
              <w:rPr>
                <w:rFonts w:cs="Arial"/>
                <w:b w:val="0"/>
                <w:bCs w:val="0"/>
                <w:szCs w:val="22"/>
              </w:rPr>
              <w:t>Commission</w:t>
            </w:r>
          </w:p>
        </w:tc>
        <w:tc>
          <w:tcPr>
            <w:tcW w:w="4267" w:type="pct"/>
            <w:shd w:val="clear" w:color="auto" w:fill="FFFFFF" w:themeFill="background1"/>
            <w:vAlign w:val="center"/>
          </w:tcPr>
          <w:p w14:paraId="129CF0A1" w14:textId="6F9217E4" w:rsidR="004A5A56" w:rsidRPr="00A069A2" w:rsidRDefault="004A5A56" w:rsidP="00696A78">
            <w:pPr>
              <w:spacing w:beforeLines="50" w:afterLines="50"/>
              <w:cnfStyle w:val="000000000000" w:firstRow="0" w:lastRow="0" w:firstColumn="0" w:lastColumn="0" w:oddVBand="0" w:evenVBand="0" w:oddHBand="0" w:evenHBand="0" w:firstRowFirstColumn="0" w:firstRowLastColumn="0" w:lastRowFirstColumn="0" w:lastRowLastColumn="0"/>
              <w:rPr>
                <w:rFonts w:cs="Arial"/>
                <w:szCs w:val="22"/>
              </w:rPr>
            </w:pPr>
            <w:r w:rsidRPr="00A069A2">
              <w:rPr>
                <w:rFonts w:cs="Arial"/>
                <w:szCs w:val="22"/>
              </w:rPr>
              <w:t>Commissioning is a continual and iterative cycle involving the development and implementation of services based on needs assessment, planning, co-design, procurement, monitoring and evaluation. Commissioning encompasses th</w:t>
            </w:r>
            <w:r w:rsidR="00B96036" w:rsidRPr="00A069A2">
              <w:rPr>
                <w:rFonts w:cs="Arial"/>
                <w:szCs w:val="22"/>
              </w:rPr>
              <w:t>ese</w:t>
            </w:r>
            <w:r w:rsidRPr="00A069A2">
              <w:rPr>
                <w:rFonts w:cs="Arial"/>
                <w:szCs w:val="22"/>
              </w:rPr>
              <w:t xml:space="preserve"> full range of activities, </w:t>
            </w:r>
            <w:r w:rsidR="002B738C" w:rsidRPr="00A069A2">
              <w:rPr>
                <w:rFonts w:cs="Arial"/>
                <w:szCs w:val="22"/>
              </w:rPr>
              <w:t xml:space="preserve">to </w:t>
            </w:r>
            <w:r w:rsidRPr="00A069A2">
              <w:rPr>
                <w:rFonts w:cs="Arial"/>
                <w:szCs w:val="22"/>
              </w:rPr>
              <w:t>deliver targeted interventions that address population health needs and/or gaps</w:t>
            </w:r>
            <w:r w:rsidR="00A520E8" w:rsidRPr="00A069A2">
              <w:rPr>
                <w:rFonts w:cs="Arial"/>
                <w:szCs w:val="22"/>
              </w:rPr>
              <w:t xml:space="preserve"> in services.</w:t>
            </w:r>
            <w:r w:rsidRPr="00A069A2">
              <w:rPr>
                <w:rFonts w:cs="Arial"/>
                <w:szCs w:val="22"/>
              </w:rPr>
              <w:t xml:space="preserve"> Targeted interventions are inclusive of activities beyond procured services and could include other activities</w:t>
            </w:r>
            <w:r w:rsidR="00E1382E" w:rsidRPr="00A069A2">
              <w:rPr>
                <w:rFonts w:cs="Arial"/>
                <w:szCs w:val="22"/>
              </w:rPr>
              <w:t xml:space="preserve"> (e.g. care coordination and capacity-building)</w:t>
            </w:r>
            <w:r w:rsidRPr="00A069A2">
              <w:rPr>
                <w:rFonts w:cs="Arial"/>
                <w:szCs w:val="22"/>
              </w:rPr>
              <w:t xml:space="preserve"> to secure the desired outcome. </w:t>
            </w:r>
          </w:p>
        </w:tc>
      </w:tr>
      <w:tr w:rsidR="004A5A56" w:rsidRPr="00A069A2" w14:paraId="5DC600F4" w14:textId="77777777" w:rsidTr="00203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 w:type="pct"/>
            <w:shd w:val="clear" w:color="auto" w:fill="FFFFFF" w:themeFill="background1"/>
            <w:vAlign w:val="center"/>
          </w:tcPr>
          <w:p w14:paraId="79D40652" w14:textId="77777777" w:rsidR="004A5A56" w:rsidRPr="00A069A2" w:rsidRDefault="004A5A56">
            <w:pPr>
              <w:spacing w:beforeLines="50" w:afterLines="50"/>
              <w:rPr>
                <w:rFonts w:cs="Arial"/>
                <w:b w:val="0"/>
                <w:bCs w:val="0"/>
                <w:szCs w:val="22"/>
              </w:rPr>
            </w:pPr>
            <w:r w:rsidRPr="00A069A2">
              <w:rPr>
                <w:rFonts w:cs="Arial"/>
                <w:b w:val="0"/>
                <w:bCs w:val="0"/>
                <w:szCs w:val="22"/>
              </w:rPr>
              <w:lastRenderedPageBreak/>
              <w:t>Capacity Build</w:t>
            </w:r>
          </w:p>
        </w:tc>
        <w:tc>
          <w:tcPr>
            <w:tcW w:w="4267" w:type="pct"/>
            <w:shd w:val="clear" w:color="auto" w:fill="FFFFFF" w:themeFill="background1"/>
            <w:vAlign w:val="center"/>
          </w:tcPr>
          <w:p w14:paraId="560375AB" w14:textId="14F05D69" w:rsidR="004A5A56" w:rsidRPr="00A069A2" w:rsidRDefault="004A5A56" w:rsidP="00696A78">
            <w:pPr>
              <w:spacing w:beforeLines="50" w:afterLines="50"/>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 xml:space="preserve">Capacity building activities delivered under this function aim to improve the capability of health care providers to deliver improved quality care. Capacity building activities are directly delivered or facilitated by PHNs and are inclusive of education or development in business practices, </w:t>
            </w:r>
            <w:r w:rsidR="00344E8F" w:rsidRPr="00A069A2">
              <w:rPr>
                <w:rFonts w:cs="Arial"/>
                <w:szCs w:val="22"/>
              </w:rPr>
              <w:t xml:space="preserve">continuous quality improvement (CQI), </w:t>
            </w:r>
            <w:r w:rsidRPr="00A069A2">
              <w:rPr>
                <w:rFonts w:cs="Arial"/>
                <w:szCs w:val="22"/>
              </w:rPr>
              <w:t xml:space="preserve">(innovative) models of care, workforce wellbeing, data and digital systems, and scope of clinical practice. </w:t>
            </w:r>
          </w:p>
        </w:tc>
      </w:tr>
    </w:tbl>
    <w:p w14:paraId="101F76B2" w14:textId="77777777" w:rsidR="004A5A56" w:rsidRPr="00A069A2" w:rsidRDefault="004A5A56" w:rsidP="004A5A56">
      <w:pPr>
        <w:pStyle w:val="Body"/>
      </w:pPr>
    </w:p>
    <w:p w14:paraId="30A615F3" w14:textId="7C755FAD" w:rsidR="00E15880" w:rsidRPr="00A069A2" w:rsidRDefault="00E15880" w:rsidP="0025176E">
      <w:pPr>
        <w:pStyle w:val="Heading2"/>
        <w:numPr>
          <w:ilvl w:val="0"/>
          <w:numId w:val="8"/>
        </w:numPr>
      </w:pPr>
      <w:bookmarkStart w:id="8" w:name="_Toc211333050"/>
      <w:r w:rsidRPr="00A069A2">
        <w:t>Purpose</w:t>
      </w:r>
      <w:r w:rsidR="00F17DE9" w:rsidRPr="00A069A2">
        <w:t xml:space="preserve"> of the Performance Measurement and Reporting Framework</w:t>
      </w:r>
      <w:bookmarkEnd w:id="8"/>
    </w:p>
    <w:p w14:paraId="4FD66452" w14:textId="77777777" w:rsidR="00FF3B48" w:rsidRPr="00A069A2" w:rsidRDefault="00743E16" w:rsidP="00895E3A">
      <w:pPr>
        <w:pStyle w:val="Body"/>
      </w:pPr>
      <w:r w:rsidRPr="00A069A2">
        <w:t>The</w:t>
      </w:r>
      <w:r w:rsidR="004A594D" w:rsidRPr="00A069A2">
        <w:t xml:space="preserve"> Performance Measurement and Reporting Framework (PMRF) </w:t>
      </w:r>
      <w:r w:rsidR="00193050" w:rsidRPr="00A069A2">
        <w:t>has been developed to reflect the growth and maturity of the PHN Program since it commenced. It incorporates a new conceptual model and an updated PHN Program Logic, ensuring there is closer alignment between</w:t>
      </w:r>
      <w:r w:rsidR="0013089F" w:rsidRPr="00A069A2">
        <w:t xml:space="preserve"> the </w:t>
      </w:r>
      <w:r w:rsidR="006E4486" w:rsidRPr="00A069A2">
        <w:t>Program’s</w:t>
      </w:r>
      <w:r w:rsidR="0013089F" w:rsidRPr="00A069A2">
        <w:t xml:space="preserve"> </w:t>
      </w:r>
      <w:r w:rsidR="00622ED4" w:rsidRPr="00A069A2">
        <w:t xml:space="preserve">objectives and </w:t>
      </w:r>
      <w:r w:rsidR="0013089F" w:rsidRPr="00A069A2">
        <w:t>activities</w:t>
      </w:r>
      <w:r w:rsidR="009353BF" w:rsidRPr="00A069A2">
        <w:t xml:space="preserve"> and how performance is measured.</w:t>
      </w:r>
    </w:p>
    <w:p w14:paraId="165FEE80" w14:textId="33F57489" w:rsidR="009353BF" w:rsidRPr="00A069A2" w:rsidRDefault="00FF3B48" w:rsidP="00895E3A">
      <w:pPr>
        <w:pStyle w:val="Body"/>
      </w:pPr>
      <w:r w:rsidRPr="00A069A2">
        <w:t xml:space="preserve">Its overall </w:t>
      </w:r>
      <w:r w:rsidR="00B32556" w:rsidRPr="00A069A2">
        <w:t xml:space="preserve">aim is </w:t>
      </w:r>
      <w:r w:rsidR="00826868" w:rsidRPr="00A069A2">
        <w:t xml:space="preserve">to </w:t>
      </w:r>
      <w:r w:rsidR="00B32556" w:rsidRPr="00A069A2">
        <w:t xml:space="preserve">determine how effectively individual PHNs and the PHN Program </w:t>
      </w:r>
      <w:r w:rsidR="0098464E" w:rsidRPr="00A069A2">
        <w:t xml:space="preserve">as a whole </w:t>
      </w:r>
      <w:r w:rsidR="00B32556" w:rsidRPr="00A069A2">
        <w:t>are achieving program objectives.</w:t>
      </w:r>
    </w:p>
    <w:p w14:paraId="4A006ADB" w14:textId="3FEAFE66" w:rsidR="004A594D" w:rsidRPr="00A069A2" w:rsidRDefault="009353BF" w:rsidP="00895E3A">
      <w:pPr>
        <w:pStyle w:val="Body"/>
      </w:pPr>
      <w:r w:rsidRPr="00A069A2">
        <w:t xml:space="preserve">The PMRF </w:t>
      </w:r>
      <w:r w:rsidR="00281E63" w:rsidRPr="00A069A2">
        <w:t>measures</w:t>
      </w:r>
      <w:r w:rsidR="00BC12FF" w:rsidRPr="00A069A2">
        <w:t xml:space="preserve"> </w:t>
      </w:r>
      <w:r w:rsidR="008D263F" w:rsidRPr="00A069A2">
        <w:t xml:space="preserve">performance at both an individual PHN and program-level, with a </w:t>
      </w:r>
      <w:r w:rsidR="00FA7D68" w:rsidRPr="00A069A2">
        <w:t>forward focus on the Quintuple Aim. It aims to provide a transparent and accurate representation of PHN performance, in direct relation to activities delivered, particularly across the three core function</w:t>
      </w:r>
      <w:r w:rsidR="00075EBD" w:rsidRPr="00A069A2">
        <w:t>s</w:t>
      </w:r>
      <w:r w:rsidR="00FA7D68" w:rsidRPr="00A069A2">
        <w:t xml:space="preserve"> of PHNs.</w:t>
      </w:r>
    </w:p>
    <w:p w14:paraId="680BEE51" w14:textId="77777777" w:rsidR="004A594D" w:rsidRPr="00A069A2" w:rsidRDefault="004A594D" w:rsidP="00FE18F0"/>
    <w:p w14:paraId="559F282B" w14:textId="77777777" w:rsidR="00FA7D68" w:rsidRPr="00A069A2" w:rsidRDefault="006813E0" w:rsidP="00FA7D68">
      <w:r w:rsidRPr="00A069A2">
        <w:t xml:space="preserve">The Framework </w:t>
      </w:r>
      <w:r w:rsidR="00FA7D68" w:rsidRPr="00A069A2">
        <w:t>is designed to:</w:t>
      </w:r>
    </w:p>
    <w:p w14:paraId="6122E324" w14:textId="1864F0A1" w:rsidR="00FA7D68" w:rsidRPr="00A069A2" w:rsidRDefault="00890A32" w:rsidP="0025176E">
      <w:pPr>
        <w:pStyle w:val="ListParagraph"/>
        <w:numPr>
          <w:ilvl w:val="0"/>
          <w:numId w:val="10"/>
        </w:numPr>
      </w:pPr>
      <w:r w:rsidRPr="00A069A2">
        <w:t>i</w:t>
      </w:r>
      <w:r w:rsidR="00FA7D68" w:rsidRPr="00A069A2">
        <w:t>dentify areas of strength and areas of improvement</w:t>
      </w:r>
      <w:r w:rsidR="00521019" w:rsidRPr="00A069A2">
        <w:t xml:space="preserve"> to support continuous improvement in achieving program objectives,</w:t>
      </w:r>
    </w:p>
    <w:p w14:paraId="5AA1CE5E" w14:textId="41630491" w:rsidR="00FA7D68" w:rsidRPr="00A069A2" w:rsidRDefault="00890A32" w:rsidP="0025176E">
      <w:pPr>
        <w:pStyle w:val="ListParagraph"/>
        <w:numPr>
          <w:ilvl w:val="0"/>
          <w:numId w:val="10"/>
        </w:numPr>
      </w:pPr>
      <w:r w:rsidRPr="00A069A2">
        <w:t>support</w:t>
      </w:r>
      <w:r w:rsidR="00FA7D68" w:rsidRPr="00A069A2">
        <w:t xml:space="preserve"> a culture of shared learning and collaboration across the network</w:t>
      </w:r>
      <w:r w:rsidR="00D51B15" w:rsidRPr="00A069A2">
        <w:t xml:space="preserve"> of PHNs</w:t>
      </w:r>
      <w:r w:rsidR="00FA7D68" w:rsidRPr="00A069A2">
        <w:t>;</w:t>
      </w:r>
    </w:p>
    <w:p w14:paraId="14EED417" w14:textId="62E4CBBF" w:rsidR="00FA7D68" w:rsidRPr="00A069A2" w:rsidRDefault="00890A32" w:rsidP="0025176E">
      <w:pPr>
        <w:pStyle w:val="ListParagraph"/>
        <w:numPr>
          <w:ilvl w:val="0"/>
          <w:numId w:val="10"/>
        </w:numPr>
      </w:pPr>
      <w:r w:rsidRPr="00A069A2">
        <w:t>r</w:t>
      </w:r>
      <w:r w:rsidR="00FA7D68" w:rsidRPr="00A069A2">
        <w:t xml:space="preserve">eflect the perspectives of key stakeholders for a </w:t>
      </w:r>
      <w:r w:rsidR="00521019" w:rsidRPr="00A069A2">
        <w:t xml:space="preserve">comprehensive view of </w:t>
      </w:r>
      <w:r w:rsidR="00C85D98" w:rsidRPr="00A069A2">
        <w:t>performance.</w:t>
      </w:r>
    </w:p>
    <w:p w14:paraId="3DD84263" w14:textId="467AED22" w:rsidR="003A5F71" w:rsidRPr="00A069A2" w:rsidRDefault="00C72293" w:rsidP="0025176E">
      <w:pPr>
        <w:pStyle w:val="ListParagraph"/>
        <w:numPr>
          <w:ilvl w:val="0"/>
          <w:numId w:val="10"/>
        </w:numPr>
      </w:pPr>
      <w:r w:rsidRPr="00A069A2">
        <w:t xml:space="preserve">be </w:t>
      </w:r>
      <w:r w:rsidR="003A5F71" w:rsidRPr="00A069A2">
        <w:t>adapt</w:t>
      </w:r>
      <w:r w:rsidRPr="00A069A2">
        <w:t>able</w:t>
      </w:r>
      <w:r w:rsidR="003A5F71" w:rsidRPr="00A069A2">
        <w:t xml:space="preserve"> and have </w:t>
      </w:r>
      <w:r w:rsidR="00090DC0" w:rsidRPr="00A069A2">
        <w:t xml:space="preserve">the </w:t>
      </w:r>
      <w:r w:rsidR="003A5F71" w:rsidRPr="00A069A2">
        <w:t xml:space="preserve">flexibility </w:t>
      </w:r>
      <w:r w:rsidR="00090DC0" w:rsidRPr="00A069A2">
        <w:t xml:space="preserve">to </w:t>
      </w:r>
      <w:r w:rsidR="003A5F71" w:rsidRPr="00A069A2">
        <w:t>accommodat</w:t>
      </w:r>
      <w:r w:rsidR="00090DC0" w:rsidRPr="00A069A2">
        <w:t>e</w:t>
      </w:r>
      <w:r w:rsidR="003A5F71" w:rsidRPr="00A069A2">
        <w:t xml:space="preserve"> new </w:t>
      </w:r>
      <w:r w:rsidR="00C85D98" w:rsidRPr="00A069A2">
        <w:t>activities.</w:t>
      </w:r>
    </w:p>
    <w:p w14:paraId="64935A73" w14:textId="177771F9" w:rsidR="00521019" w:rsidRPr="00A069A2" w:rsidRDefault="00890A32" w:rsidP="0025176E">
      <w:pPr>
        <w:pStyle w:val="ListParagraph"/>
        <w:numPr>
          <w:ilvl w:val="0"/>
          <w:numId w:val="10"/>
        </w:numPr>
      </w:pPr>
      <w:r w:rsidRPr="00A069A2">
        <w:t>c</w:t>
      </w:r>
      <w:r w:rsidR="00A61026" w:rsidRPr="00A069A2">
        <w:t xml:space="preserve">urb reporting burden </w:t>
      </w:r>
      <w:r w:rsidR="005E3E0D" w:rsidRPr="00A069A2">
        <w:t xml:space="preserve">resulting from </w:t>
      </w:r>
      <w:r w:rsidR="00A61026" w:rsidRPr="00A069A2">
        <w:t xml:space="preserve">growth of the </w:t>
      </w:r>
      <w:r w:rsidR="00C85D98" w:rsidRPr="00A069A2">
        <w:t>Program.</w:t>
      </w:r>
    </w:p>
    <w:p w14:paraId="1CBF976A" w14:textId="77777777" w:rsidR="00563FD3" w:rsidRPr="00A069A2" w:rsidRDefault="00563FD3" w:rsidP="00563FD3"/>
    <w:p w14:paraId="7A199C31" w14:textId="2AEEBD9D" w:rsidR="00563FD3" w:rsidRPr="00A069A2" w:rsidRDefault="0068563A" w:rsidP="00563FD3">
      <w:pPr>
        <w:pStyle w:val="Heading3"/>
      </w:pPr>
      <w:bookmarkStart w:id="9" w:name="_Toc211333051"/>
      <w:r w:rsidRPr="00A069A2">
        <w:t>2</w:t>
      </w:r>
      <w:r w:rsidR="00D672E7" w:rsidRPr="00A069A2">
        <w:t xml:space="preserve">.1 </w:t>
      </w:r>
      <w:r w:rsidR="00BA49BE" w:rsidRPr="00A069A2">
        <w:t xml:space="preserve">Framework </w:t>
      </w:r>
      <w:r w:rsidR="00D672E7" w:rsidRPr="00A069A2">
        <w:t>Principles</w:t>
      </w:r>
      <w:bookmarkEnd w:id="9"/>
    </w:p>
    <w:p w14:paraId="0F9ADF9C" w14:textId="15FDB0F5" w:rsidR="006813E0" w:rsidRPr="00A069A2" w:rsidRDefault="00F661AD" w:rsidP="00FE18F0">
      <w:r w:rsidRPr="00A069A2">
        <w:t xml:space="preserve">Principles have been developed to help guide and underpin decision-making and </w:t>
      </w:r>
      <w:r w:rsidR="00EA5089" w:rsidRPr="00A069A2">
        <w:t>inform the design</w:t>
      </w:r>
      <w:r w:rsidRPr="00A069A2">
        <w:t xml:space="preserve"> of the PMRF.</w:t>
      </w:r>
      <w:r w:rsidR="00C20ECD" w:rsidRPr="00A069A2">
        <w:t xml:space="preserve"> The principles will help to support the implementation of the Framework, consistent with the PHN Program Logic. </w:t>
      </w:r>
      <w:r w:rsidRPr="00A069A2">
        <w:t>These principles are described below</w:t>
      </w:r>
      <w:r w:rsidR="00E46B32" w:rsidRPr="00A069A2">
        <w:t xml:space="preserve"> and in Table 3</w:t>
      </w:r>
      <w:r w:rsidRPr="00A069A2">
        <w:t xml:space="preserve">. </w:t>
      </w:r>
    </w:p>
    <w:p w14:paraId="36AB05FE" w14:textId="72FCD242" w:rsidR="00FC7736" w:rsidRPr="00A069A2" w:rsidRDefault="00FC7736" w:rsidP="0025176E">
      <w:pPr>
        <w:pStyle w:val="ListParagraph"/>
        <w:numPr>
          <w:ilvl w:val="0"/>
          <w:numId w:val="11"/>
        </w:numPr>
      </w:pPr>
      <w:r w:rsidRPr="00A069A2">
        <w:rPr>
          <w:b/>
        </w:rPr>
        <w:t>Balanced</w:t>
      </w:r>
      <w:r w:rsidR="00A24BF8" w:rsidRPr="00A069A2">
        <w:t xml:space="preserve">: </w:t>
      </w:r>
      <w:r w:rsidRPr="00A069A2">
        <w:t>The Framework uses an appropriate range of indicators and data sources to support a balanced view of performance for individual programs, individual PHNs, and the PHN program.</w:t>
      </w:r>
    </w:p>
    <w:p w14:paraId="74CB5EA3" w14:textId="2BE846AE" w:rsidR="00FC7736" w:rsidRPr="00A069A2" w:rsidRDefault="00FC7736" w:rsidP="0025176E">
      <w:pPr>
        <w:pStyle w:val="ListParagraph"/>
        <w:numPr>
          <w:ilvl w:val="0"/>
          <w:numId w:val="11"/>
        </w:numPr>
      </w:pPr>
      <w:r w:rsidRPr="00A069A2">
        <w:rPr>
          <w:b/>
        </w:rPr>
        <w:lastRenderedPageBreak/>
        <w:t>Proportionate</w:t>
      </w:r>
      <w:r w:rsidR="00A24BF8" w:rsidRPr="00A069A2">
        <w:t xml:space="preserve">: </w:t>
      </w:r>
      <w:r w:rsidRPr="00A069A2">
        <w:t>The nature and extent of reporting is proportionate to the priority, value, scale, and risk profile of the program being reported on.</w:t>
      </w:r>
    </w:p>
    <w:p w14:paraId="7D1662B9" w14:textId="5D1FB136" w:rsidR="00FC7736" w:rsidRPr="00A069A2" w:rsidRDefault="00FC7736" w:rsidP="0025176E">
      <w:pPr>
        <w:pStyle w:val="ListParagraph"/>
        <w:numPr>
          <w:ilvl w:val="0"/>
          <w:numId w:val="11"/>
        </w:numPr>
      </w:pPr>
      <w:r w:rsidRPr="00A069A2">
        <w:rPr>
          <w:b/>
        </w:rPr>
        <w:t>Adaptable</w:t>
      </w:r>
      <w:r w:rsidR="00A24BF8" w:rsidRPr="00A069A2">
        <w:t xml:space="preserve">: </w:t>
      </w:r>
      <w:r w:rsidRPr="00A069A2">
        <w:t>The Framework is adaptable to all programs, and all stages of the program life cycle. It allows for measurement of performance across individual programs, individual PHNs, and the PHN program.</w:t>
      </w:r>
    </w:p>
    <w:p w14:paraId="4A05E29D" w14:textId="0B97E6A8" w:rsidR="006813E0" w:rsidRPr="00A069A2" w:rsidRDefault="00FC7736" w:rsidP="0025176E">
      <w:pPr>
        <w:pStyle w:val="ListParagraph"/>
        <w:numPr>
          <w:ilvl w:val="0"/>
          <w:numId w:val="11"/>
        </w:numPr>
      </w:pPr>
      <w:r w:rsidRPr="00A069A2">
        <w:rPr>
          <w:b/>
        </w:rPr>
        <w:t>Transparent</w:t>
      </w:r>
      <w:r w:rsidR="00A24BF8" w:rsidRPr="00A069A2">
        <w:t xml:space="preserve">: </w:t>
      </w:r>
      <w:r w:rsidRPr="00A069A2">
        <w:t>The Framework explains what information is being collected and why it is collected. It also convey</w:t>
      </w:r>
      <w:r w:rsidR="00A54055" w:rsidRPr="00A069A2">
        <w:t>s</w:t>
      </w:r>
      <w:r w:rsidRPr="00A069A2">
        <w:t xml:space="preserve"> how the information being collected links to </w:t>
      </w:r>
      <w:r w:rsidR="00EC0DCA" w:rsidRPr="00A069A2">
        <w:t xml:space="preserve">the </w:t>
      </w:r>
      <w:r w:rsidRPr="00A069A2">
        <w:t xml:space="preserve">Department’s objectives and outcomes. The Framework is clear on when </w:t>
      </w:r>
      <w:r w:rsidR="00EC0DCA" w:rsidRPr="00A069A2">
        <w:t xml:space="preserve">data collection </w:t>
      </w:r>
      <w:r w:rsidRPr="00A069A2">
        <w:t>will occur, how it will be reported and with whom the reporting will be shared.</w:t>
      </w:r>
    </w:p>
    <w:p w14:paraId="3B5AC797" w14:textId="77777777" w:rsidR="00447451" w:rsidRPr="00A069A2" w:rsidRDefault="00447451" w:rsidP="00447451">
      <w:pPr>
        <w:pStyle w:val="ListParagraph"/>
      </w:pPr>
    </w:p>
    <w:p w14:paraId="21D8DFA1" w14:textId="2AA7747B" w:rsidR="00951A3D" w:rsidRPr="00A069A2" w:rsidRDefault="00E15880" w:rsidP="0025176E">
      <w:pPr>
        <w:pStyle w:val="Heading2"/>
        <w:numPr>
          <w:ilvl w:val="0"/>
          <w:numId w:val="8"/>
        </w:numPr>
      </w:pPr>
      <w:bookmarkStart w:id="10" w:name="_Toc206512211"/>
      <w:bookmarkStart w:id="11" w:name="_Toc206520951"/>
      <w:bookmarkStart w:id="12" w:name="_Toc211333052"/>
      <w:bookmarkEnd w:id="10"/>
      <w:bookmarkEnd w:id="11"/>
      <w:r w:rsidRPr="00A069A2">
        <w:t>Conceptual Model</w:t>
      </w:r>
      <w:bookmarkEnd w:id="12"/>
    </w:p>
    <w:p w14:paraId="69B687F4" w14:textId="65A09D2B" w:rsidR="006E21AF" w:rsidRPr="00A069A2" w:rsidRDefault="002C1BAC" w:rsidP="00895E3A">
      <w:pPr>
        <w:pStyle w:val="Body"/>
      </w:pPr>
      <w:r w:rsidRPr="00A069A2">
        <w:t>The purpose of the Conceptual Model is t</w:t>
      </w:r>
      <w:r w:rsidR="006E21AF" w:rsidRPr="00A069A2">
        <w:t xml:space="preserve">o provide a systematic approach to measuring and reporting on individual and whole of PHN Program performance. The </w:t>
      </w:r>
      <w:r w:rsidR="00873427" w:rsidRPr="00A069A2">
        <w:t>Model</w:t>
      </w:r>
      <w:r w:rsidR="006E21AF" w:rsidRPr="00A069A2">
        <w:t xml:space="preserve"> builds on the PHN Program Strategy 2023-24 and PHN Program Logic 202</w:t>
      </w:r>
      <w:r w:rsidR="1B779F25" w:rsidRPr="00A069A2">
        <w:t>5</w:t>
      </w:r>
      <w:r w:rsidR="00F65D8D" w:rsidRPr="00A069A2">
        <w:t xml:space="preserve"> and</w:t>
      </w:r>
      <w:r w:rsidR="006E21AF" w:rsidRPr="00A069A2">
        <w:t xml:space="preserve"> seeks to reflect the relationships that support the program’s Theory of Change</w:t>
      </w:r>
      <w:r w:rsidR="006E21AF" w:rsidRPr="00A069A2">
        <w:rPr>
          <w:vertAlign w:val="superscript"/>
        </w:rPr>
        <w:footnoteReference w:id="2"/>
      </w:r>
      <w:r w:rsidR="006E21AF" w:rsidRPr="00A069A2">
        <w:t xml:space="preserve"> using a structured cascading methodology. The structure consists of key dimensions that describe the unique roles that PHNs perform, their diversity and the variability in program delivery. These dimensions </w:t>
      </w:r>
      <w:r w:rsidR="00D60267" w:rsidRPr="00A069A2">
        <w:t>define</w:t>
      </w:r>
      <w:r w:rsidR="006E21AF" w:rsidRPr="00A069A2">
        <w:t xml:space="preserve"> what </w:t>
      </w:r>
      <w:r w:rsidR="00D60267" w:rsidRPr="00A069A2">
        <w:t>is being measure</w:t>
      </w:r>
      <w:r w:rsidR="00FE37C2" w:rsidRPr="00A069A2">
        <w:t xml:space="preserve">d </w:t>
      </w:r>
      <w:r w:rsidR="006E21AF" w:rsidRPr="00A069A2">
        <w:t xml:space="preserve">and how the Framework </w:t>
      </w:r>
      <w:r w:rsidR="00F85121" w:rsidRPr="00A069A2">
        <w:t xml:space="preserve">assesses </w:t>
      </w:r>
      <w:r w:rsidR="006E21AF" w:rsidRPr="00A069A2">
        <w:t xml:space="preserve">performance </w:t>
      </w:r>
      <w:r w:rsidR="007C0E64" w:rsidRPr="00A069A2">
        <w:t xml:space="preserve">to </w:t>
      </w:r>
      <w:r w:rsidR="006E21AF" w:rsidRPr="00A069A2">
        <w:t>provide a holistic and multi-faceted perspective. The Framework offers a standardised but flexible approach that is applicable to all PHN activities, including existing and future core and program funded activities.</w:t>
      </w:r>
    </w:p>
    <w:p w14:paraId="47EFA6B9" w14:textId="06CDF75D" w:rsidR="0033557A" w:rsidRPr="00A069A2" w:rsidRDefault="00A81657" w:rsidP="00DF44DC">
      <w:pPr>
        <w:pStyle w:val="Body"/>
      </w:pPr>
      <w:r w:rsidRPr="00A069A2">
        <w:rPr>
          <w:noProof/>
        </w:rPr>
        <mc:AlternateContent>
          <mc:Choice Requires="wps">
            <w:drawing>
              <wp:anchor distT="0" distB="0" distL="114300" distR="114300" simplePos="0" relativeHeight="251658240" behindDoc="1" locked="0" layoutInCell="1" allowOverlap="1" wp14:anchorId="7B65A4B5" wp14:editId="23A40511">
                <wp:simplePos x="0" y="0"/>
                <wp:positionH relativeFrom="column">
                  <wp:posOffset>-10795</wp:posOffset>
                </wp:positionH>
                <wp:positionV relativeFrom="paragraph">
                  <wp:posOffset>16510</wp:posOffset>
                </wp:positionV>
                <wp:extent cx="8667750" cy="635"/>
                <wp:effectExtent l="0" t="0" r="0" b="0"/>
                <wp:wrapNone/>
                <wp:docPr id="514822953" name="Text Box 1"/>
                <wp:cNvGraphicFramePr/>
                <a:graphic xmlns:a="http://schemas.openxmlformats.org/drawingml/2006/main">
                  <a:graphicData uri="http://schemas.microsoft.com/office/word/2010/wordprocessingShape">
                    <wps:wsp>
                      <wps:cNvSpPr txBox="1"/>
                      <wps:spPr>
                        <a:xfrm>
                          <a:off x="0" y="0"/>
                          <a:ext cx="8667750" cy="635"/>
                        </a:xfrm>
                        <a:prstGeom prst="rect">
                          <a:avLst/>
                        </a:prstGeom>
                        <a:solidFill>
                          <a:prstClr val="white"/>
                        </a:solidFill>
                        <a:ln>
                          <a:noFill/>
                        </a:ln>
                      </wps:spPr>
                      <wps:txbx>
                        <w:txbxContent>
                          <w:p w14:paraId="17AD6BBB" w14:textId="5FD2E211" w:rsidR="00DF44DC" w:rsidRPr="005815D3" w:rsidRDefault="00DF44DC" w:rsidP="005815D3">
                            <w:pPr>
                              <w:pStyle w:val="Caption"/>
                              <w:keepNext/>
                              <w:spacing w:after="0"/>
                            </w:pPr>
                            <w:r>
                              <w:t xml:space="preserve">Figure </w:t>
                            </w:r>
                            <w:r>
                              <w:fldChar w:fldCharType="begin"/>
                            </w:r>
                            <w:r>
                              <w:instrText xml:space="preserve"> SEQ Figure \* ARABIC </w:instrText>
                            </w:r>
                            <w:r>
                              <w:fldChar w:fldCharType="separate"/>
                            </w:r>
                            <w:r w:rsidR="005A59B5">
                              <w:rPr>
                                <w:noProof/>
                              </w:rPr>
                              <w:t>2</w:t>
                            </w:r>
                            <w:r>
                              <w:fldChar w:fldCharType="end"/>
                            </w:r>
                            <w:r w:rsidRPr="005E482E">
                              <w:t>: Key conceptual dimensions of the Performance Measurement and Reporting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B65A4B5" id="_x0000_t202" coordsize="21600,21600" o:spt="202" path="m,l,21600r21600,l21600,xe">
                <v:stroke joinstyle="miter"/>
                <v:path gradientshapeok="t" o:connecttype="rect"/>
              </v:shapetype>
              <v:shape id="Text Box 1" o:spid="_x0000_s1026" type="#_x0000_t202" style="position:absolute;margin-left:-.85pt;margin-top:1.3pt;width:682.5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" stroked="f">
                <v:textbox style="mso-fit-shape-to-text:t" inset="0,0,0,0">
                  <w:txbxContent>
                    <w:p w14:paraId="17AD6BBB" w14:textId="5FD2E211" w:rsidR="00DF44DC" w:rsidRPr="005815D3" w:rsidRDefault="00DF44DC" w:rsidP="005815D3">
                      <w:pPr>
                        <w:pStyle w:val="Caption"/>
                        <w:keepNext/>
                        <w:spacing w:after="0"/>
                      </w:pPr>
                      <w:r>
                        <w:t xml:space="preserve">Figure </w:t>
                      </w:r>
                      <w:r>
                        <w:fldChar w:fldCharType="begin"/>
                      </w:r>
                      <w:r>
                        <w:instrText xml:space="preserve"> SEQ Figure \* ARABIC </w:instrText>
                      </w:r>
                      <w:r>
                        <w:fldChar w:fldCharType="separate"/>
                      </w:r>
                      <w:r w:rsidR="005A59B5">
                        <w:rPr>
                          <w:noProof/>
                        </w:rPr>
                        <w:t>2</w:t>
                      </w:r>
                      <w:r>
                        <w:fldChar w:fldCharType="end"/>
                      </w:r>
                      <w:r w:rsidRPr="005E482E">
                        <w:t>: Key conceptual dimensions of the Performance Measurement and Reporting Framework.</w:t>
                      </w:r>
                    </w:p>
                  </w:txbxContent>
                </v:textbox>
              </v:shape>
            </w:pict>
          </mc:Fallback>
        </mc:AlternateContent>
      </w:r>
    </w:p>
    <w:p w14:paraId="6867F436" w14:textId="569B318E" w:rsidR="00FD63D3" w:rsidRPr="00A069A2" w:rsidRDefault="002B00C1" w:rsidP="009811F5">
      <w:pPr>
        <w:pStyle w:val="Body"/>
        <w:rPr>
          <w:rFonts w:cs="Arial"/>
          <w:b/>
          <w:bCs/>
          <w:color w:val="358189"/>
          <w:sz w:val="32"/>
          <w:szCs w:val="26"/>
        </w:rPr>
      </w:pPr>
      <w:r w:rsidRPr="00A069A2">
        <w:rPr>
          <w:noProof/>
        </w:rPr>
        <w:drawing>
          <wp:inline distT="0" distB="0" distL="0" distR="0" wp14:anchorId="1DC78928" wp14:editId="04FC3F7C">
            <wp:extent cx="6046422" cy="2743200"/>
            <wp:effectExtent l="0" t="0" r="0" b="0"/>
            <wp:docPr id="963923794" name="Picture 1" descr="A diagram showing the key conceptual dimensions of the Performance Measurement and Reporting Framework. It shows overarching program objectives and what is being measured and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23794" name="Picture 1" descr="A diagram showing the key conceptual dimensions of the Performance Measurement and Reporting Framework. It shows overarching program objectives and what is being measured and how."/>
                    <pic:cNvPicPr/>
                  </pic:nvPicPr>
                  <pic:blipFill>
                    <a:blip r:embed="rId23">
                      <a:extLst>
                        <a:ext uri="{28A0092B-C50C-407E-A947-70E740481C1C}">
                          <a14:useLocalDpi xmlns:a14="http://schemas.microsoft.com/office/drawing/2010/main" val="0"/>
                        </a:ext>
                      </a:extLst>
                    </a:blip>
                    <a:stretch>
                      <a:fillRect/>
                    </a:stretch>
                  </pic:blipFill>
                  <pic:spPr>
                    <a:xfrm>
                      <a:off x="0" y="0"/>
                      <a:ext cx="6061483" cy="2750033"/>
                    </a:xfrm>
                    <a:prstGeom prst="rect">
                      <a:avLst/>
                    </a:prstGeom>
                  </pic:spPr>
                </pic:pic>
              </a:graphicData>
            </a:graphic>
          </wp:inline>
        </w:drawing>
      </w:r>
      <w:r w:rsidR="00FD63D3" w:rsidRPr="00A069A2">
        <w:br w:type="page"/>
      </w:r>
    </w:p>
    <w:p w14:paraId="6091255A" w14:textId="57B8D248" w:rsidR="005272E5" w:rsidRPr="00A069A2" w:rsidRDefault="0068563A" w:rsidP="00932DCC">
      <w:pPr>
        <w:pStyle w:val="Heading3"/>
      </w:pPr>
      <w:bookmarkStart w:id="13" w:name="_Toc211333053"/>
      <w:r w:rsidRPr="00A069A2">
        <w:lastRenderedPageBreak/>
        <w:t>3</w:t>
      </w:r>
      <w:r w:rsidR="001409DE" w:rsidRPr="00A069A2">
        <w:t xml:space="preserve">.1 </w:t>
      </w:r>
      <w:r w:rsidR="005272E5" w:rsidRPr="00A069A2">
        <w:t>Program Dimensions</w:t>
      </w:r>
      <w:bookmarkEnd w:id="13"/>
    </w:p>
    <w:p w14:paraId="3B52EA74" w14:textId="372C48D0" w:rsidR="00155DAD" w:rsidRPr="00A069A2" w:rsidRDefault="005272E5" w:rsidP="00895E3A">
      <w:pPr>
        <w:pStyle w:val="Body"/>
      </w:pPr>
      <w:r w:rsidRPr="00A069A2">
        <w:t>For the PHN Program to meet its objectives, the performance of PHNs across the continuum of program delivery must be measured. The continuum encompasses the inputs or organisational activities that contribute to the operations of a PHN, through to the outputs and outcomes of functions or services delivered. This continuum is reflective of the stages in which PHN</w:t>
      </w:r>
      <w:r w:rsidR="00892C07" w:rsidRPr="00A069A2">
        <w:t>s</w:t>
      </w:r>
      <w:r w:rsidRPr="00A069A2">
        <w:t xml:space="preserve"> engage or contribute to and has been divided into four dimensions.</w:t>
      </w:r>
    </w:p>
    <w:p w14:paraId="76F9282C" w14:textId="33C767B2" w:rsidR="005272E5" w:rsidRPr="00A069A2" w:rsidRDefault="005272E5" w:rsidP="00553096">
      <w:pPr>
        <w:pStyle w:val="Caption"/>
        <w:keepNext/>
      </w:pPr>
      <w:bookmarkStart w:id="14" w:name="_Toc207613132"/>
      <w:r w:rsidRPr="00A069A2">
        <w:t xml:space="preserve">Table </w:t>
      </w:r>
      <w:r w:rsidRPr="00A069A2">
        <w:fldChar w:fldCharType="begin"/>
      </w:r>
      <w:r w:rsidRPr="00A069A2">
        <w:instrText xml:space="preserve"> SEQ Table \* ARABIC </w:instrText>
      </w:r>
      <w:r w:rsidRPr="00A069A2">
        <w:fldChar w:fldCharType="separate"/>
      </w:r>
      <w:r w:rsidR="005A59B5">
        <w:rPr>
          <w:noProof/>
        </w:rPr>
        <w:t>3</w:t>
      </w:r>
      <w:r w:rsidRPr="00A069A2">
        <w:fldChar w:fldCharType="end"/>
      </w:r>
      <w:r w:rsidRPr="00A069A2">
        <w:t>. Program dimensions and their definitions.</w:t>
      </w:r>
      <w:bookmarkEnd w:id="14"/>
    </w:p>
    <w:tbl>
      <w:tblPr>
        <w:tblStyle w:val="PlainTable4"/>
        <w:tblW w:w="5000" w:type="pct"/>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shd w:val="clear" w:color="auto" w:fill="FFFFFF" w:themeFill="background1"/>
        <w:tblLook w:val="04A0" w:firstRow="1" w:lastRow="0" w:firstColumn="1" w:lastColumn="0" w:noHBand="0" w:noVBand="1"/>
        <w:tblCaption w:val="Table conatining definitions of the 4 program dimensions."/>
      </w:tblPr>
      <w:tblGrid>
        <w:gridCol w:w="1476"/>
        <w:gridCol w:w="7540"/>
      </w:tblGrid>
      <w:tr w:rsidR="005272E5" w:rsidRPr="00A069A2" w14:paraId="7B9C3E5D" w14:textId="77777777" w:rsidTr="000128B6">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000" w:firstRow="0" w:lastRow="0" w:firstColumn="1" w:lastColumn="0" w:oddVBand="0" w:evenVBand="0" w:oddHBand="0" w:evenHBand="0" w:firstRowFirstColumn="0" w:firstRowLastColumn="0" w:lastRowFirstColumn="0" w:lastRowLastColumn="0"/>
            <w:tcW w:w="759" w:type="pct"/>
            <w:shd w:val="clear" w:color="auto" w:fill="3F4A75" w:themeFill="text2"/>
          </w:tcPr>
          <w:p w14:paraId="4F871D7D" w14:textId="77777777" w:rsidR="005272E5" w:rsidRPr="00A069A2" w:rsidRDefault="005272E5">
            <w:pPr>
              <w:spacing w:before="40" w:after="40"/>
              <w:rPr>
                <w:rFonts w:cs="Arial"/>
                <w:color w:val="FFFFFF" w:themeColor="background1"/>
                <w:szCs w:val="22"/>
              </w:rPr>
            </w:pPr>
            <w:r w:rsidRPr="00A069A2">
              <w:rPr>
                <w:rFonts w:cs="Arial"/>
                <w:color w:val="FFFFFF" w:themeColor="background1"/>
                <w:szCs w:val="22"/>
              </w:rPr>
              <w:t>Dimension</w:t>
            </w:r>
          </w:p>
        </w:tc>
        <w:tc>
          <w:tcPr>
            <w:tcW w:w="4241" w:type="pct"/>
            <w:shd w:val="clear" w:color="auto" w:fill="3F4A75" w:themeFill="text2"/>
          </w:tcPr>
          <w:p w14:paraId="0D8327D8" w14:textId="77777777" w:rsidR="005272E5" w:rsidRPr="00A069A2" w:rsidRDefault="005272E5">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69A2">
              <w:rPr>
                <w:rFonts w:cs="Arial"/>
                <w:color w:val="FFFFFF" w:themeColor="background1"/>
                <w:szCs w:val="22"/>
              </w:rPr>
              <w:t>Definition</w:t>
            </w:r>
          </w:p>
        </w:tc>
      </w:tr>
      <w:tr w:rsidR="005272E5" w:rsidRPr="00A069A2" w14:paraId="21FA500D" w14:textId="77777777" w:rsidTr="00A7011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759" w:type="pct"/>
            <w:shd w:val="clear" w:color="auto" w:fill="FFFFFF" w:themeFill="background1"/>
            <w:vAlign w:val="center"/>
          </w:tcPr>
          <w:p w14:paraId="34117F21" w14:textId="77777777" w:rsidR="005272E5" w:rsidRPr="00A069A2" w:rsidRDefault="005272E5" w:rsidP="00A70113">
            <w:pPr>
              <w:spacing w:beforeLines="50" w:afterLines="50"/>
              <w:rPr>
                <w:rFonts w:cs="Arial"/>
                <w:b w:val="0"/>
                <w:bCs w:val="0"/>
                <w:szCs w:val="22"/>
              </w:rPr>
            </w:pPr>
            <w:r w:rsidRPr="00A069A2">
              <w:rPr>
                <w:rFonts w:cs="Arial"/>
                <w:b w:val="0"/>
                <w:bCs w:val="0"/>
                <w:szCs w:val="22"/>
              </w:rPr>
              <w:t>Compliance</w:t>
            </w:r>
          </w:p>
        </w:tc>
        <w:tc>
          <w:tcPr>
            <w:tcW w:w="4241" w:type="pct"/>
            <w:shd w:val="clear" w:color="auto" w:fill="FFFFFF" w:themeFill="background1"/>
            <w:vAlign w:val="center"/>
          </w:tcPr>
          <w:p w14:paraId="1E46ECE2" w14:textId="77777777" w:rsidR="005272E5" w:rsidRPr="00A069A2" w:rsidRDefault="005272E5" w:rsidP="00A70113">
            <w:pPr>
              <w:spacing w:beforeLines="50" w:afterLines="50"/>
              <w:cnfStyle w:val="000000100000" w:firstRow="0" w:lastRow="0" w:firstColumn="0" w:lastColumn="0" w:oddVBand="0" w:evenVBand="0" w:oddHBand="1" w:evenHBand="0" w:firstRowFirstColumn="0" w:firstRowLastColumn="0" w:lastRowFirstColumn="0" w:lastRowLastColumn="0"/>
              <w:rPr>
                <w:rFonts w:cs="Arial"/>
                <w:i/>
                <w:iCs/>
                <w:color w:val="000000"/>
                <w:szCs w:val="22"/>
              </w:rPr>
            </w:pPr>
            <w:r w:rsidRPr="00A069A2">
              <w:rPr>
                <w:rFonts w:cs="Arial"/>
                <w:color w:val="000000"/>
                <w:szCs w:val="22"/>
              </w:rPr>
              <w:t xml:space="preserve">Measures the extent to which PHNs are meeting their core contractual and </w:t>
            </w:r>
            <w:r w:rsidRPr="00A069A2">
              <w:rPr>
                <w:rFonts w:cs="Arial"/>
                <w:szCs w:val="22"/>
              </w:rPr>
              <w:t xml:space="preserve">organisational </w:t>
            </w:r>
            <w:r w:rsidRPr="00A069A2">
              <w:rPr>
                <w:rFonts w:cs="Arial"/>
                <w:color w:val="000000"/>
                <w:szCs w:val="22"/>
              </w:rPr>
              <w:t xml:space="preserve">obligations. </w:t>
            </w:r>
          </w:p>
        </w:tc>
      </w:tr>
      <w:tr w:rsidR="005272E5" w:rsidRPr="00A069A2" w14:paraId="5A7EB62E" w14:textId="77777777" w:rsidTr="00A70113">
        <w:tc>
          <w:tcPr>
            <w:cnfStyle w:val="001000000000" w:firstRow="0" w:lastRow="0" w:firstColumn="1" w:lastColumn="0" w:oddVBand="0" w:evenVBand="0" w:oddHBand="0" w:evenHBand="0" w:firstRowFirstColumn="0" w:firstRowLastColumn="0" w:lastRowFirstColumn="0" w:lastRowLastColumn="0"/>
            <w:tcW w:w="759" w:type="pct"/>
            <w:shd w:val="clear" w:color="auto" w:fill="FFFFFF" w:themeFill="background1"/>
            <w:vAlign w:val="center"/>
          </w:tcPr>
          <w:p w14:paraId="1ADDD42C" w14:textId="77777777" w:rsidR="005272E5" w:rsidRPr="00A069A2" w:rsidRDefault="005272E5" w:rsidP="00A70113">
            <w:pPr>
              <w:spacing w:beforeLines="50" w:afterLines="50"/>
              <w:rPr>
                <w:rFonts w:cs="Arial"/>
                <w:b w:val="0"/>
                <w:bCs w:val="0"/>
                <w:szCs w:val="22"/>
              </w:rPr>
            </w:pPr>
            <w:r w:rsidRPr="00A069A2">
              <w:rPr>
                <w:rFonts w:cs="Arial"/>
                <w:b w:val="0"/>
                <w:bCs w:val="0"/>
                <w:szCs w:val="22"/>
              </w:rPr>
              <w:t>Progress</w:t>
            </w:r>
          </w:p>
        </w:tc>
        <w:tc>
          <w:tcPr>
            <w:tcW w:w="4241" w:type="pct"/>
            <w:shd w:val="clear" w:color="auto" w:fill="FFFFFF" w:themeFill="background1"/>
            <w:vAlign w:val="center"/>
          </w:tcPr>
          <w:p w14:paraId="4B216078" w14:textId="77777777" w:rsidR="005272E5" w:rsidRPr="00A069A2" w:rsidRDefault="005272E5" w:rsidP="00A70113">
            <w:pPr>
              <w:spacing w:beforeLines="50" w:afterLines="50"/>
              <w:cnfStyle w:val="000000000000" w:firstRow="0" w:lastRow="0" w:firstColumn="0" w:lastColumn="0" w:oddVBand="0" w:evenVBand="0" w:oddHBand="0" w:evenHBand="0" w:firstRowFirstColumn="0" w:firstRowLastColumn="0" w:lastRowFirstColumn="0" w:lastRowLastColumn="0"/>
              <w:rPr>
                <w:rFonts w:cs="Arial"/>
                <w:i/>
                <w:iCs/>
                <w:color w:val="FF0000"/>
                <w:szCs w:val="22"/>
              </w:rPr>
            </w:pPr>
            <w:r w:rsidRPr="00A069A2">
              <w:rPr>
                <w:rFonts w:cs="Arial"/>
                <w:color w:val="000000"/>
                <w:szCs w:val="22"/>
              </w:rPr>
              <w:t xml:space="preserve">Measures how PHNs are implementing their core functions of capacity-building, commissioning and coordination. </w:t>
            </w:r>
          </w:p>
        </w:tc>
      </w:tr>
      <w:tr w:rsidR="005272E5" w:rsidRPr="00A069A2" w14:paraId="77DDA0CB" w14:textId="77777777" w:rsidTr="00A70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pct"/>
            <w:shd w:val="clear" w:color="auto" w:fill="FFFFFF" w:themeFill="background1"/>
            <w:vAlign w:val="center"/>
          </w:tcPr>
          <w:p w14:paraId="4A1FF3B4" w14:textId="77777777" w:rsidR="005272E5" w:rsidRPr="00A069A2" w:rsidRDefault="005272E5" w:rsidP="00A70113">
            <w:pPr>
              <w:spacing w:beforeLines="50" w:afterLines="50"/>
              <w:rPr>
                <w:rFonts w:cs="Arial"/>
                <w:b w:val="0"/>
                <w:bCs w:val="0"/>
                <w:szCs w:val="22"/>
              </w:rPr>
            </w:pPr>
            <w:r w:rsidRPr="00A069A2">
              <w:rPr>
                <w:rFonts w:cs="Arial"/>
                <w:b w:val="0"/>
                <w:bCs w:val="0"/>
                <w:szCs w:val="22"/>
              </w:rPr>
              <w:t>Performance</w:t>
            </w:r>
          </w:p>
        </w:tc>
        <w:tc>
          <w:tcPr>
            <w:tcW w:w="4241" w:type="pct"/>
            <w:shd w:val="clear" w:color="auto" w:fill="FFFFFF" w:themeFill="background1"/>
            <w:vAlign w:val="center"/>
          </w:tcPr>
          <w:p w14:paraId="46D516EF" w14:textId="77777777" w:rsidR="005272E5" w:rsidRPr="00A069A2" w:rsidRDefault="005272E5" w:rsidP="00A70113">
            <w:pPr>
              <w:spacing w:beforeLines="50" w:afterLines="50"/>
              <w:cnfStyle w:val="000000100000" w:firstRow="0" w:lastRow="0" w:firstColumn="0" w:lastColumn="0" w:oddVBand="0" w:evenVBand="0" w:oddHBand="1" w:evenHBand="0" w:firstRowFirstColumn="0" w:firstRowLastColumn="0" w:lastRowFirstColumn="0" w:lastRowLastColumn="0"/>
              <w:rPr>
                <w:rFonts w:cs="Arial"/>
                <w:i/>
                <w:iCs/>
                <w:szCs w:val="22"/>
              </w:rPr>
            </w:pPr>
            <w:r w:rsidRPr="00A069A2">
              <w:rPr>
                <w:rFonts w:cs="Arial"/>
                <w:color w:val="000000"/>
                <w:szCs w:val="22"/>
              </w:rPr>
              <w:t xml:space="preserve">Measures the extent to which PHN activities are achieving the intended outcomes of delivering quality care. </w:t>
            </w:r>
          </w:p>
        </w:tc>
      </w:tr>
      <w:tr w:rsidR="005272E5" w:rsidRPr="00A069A2" w14:paraId="7B1A517F" w14:textId="77777777" w:rsidTr="00A70113">
        <w:tc>
          <w:tcPr>
            <w:cnfStyle w:val="001000000000" w:firstRow="0" w:lastRow="0" w:firstColumn="1" w:lastColumn="0" w:oddVBand="0" w:evenVBand="0" w:oddHBand="0" w:evenHBand="0" w:firstRowFirstColumn="0" w:firstRowLastColumn="0" w:lastRowFirstColumn="0" w:lastRowLastColumn="0"/>
            <w:tcW w:w="759" w:type="pct"/>
            <w:shd w:val="clear" w:color="auto" w:fill="FFFFFF" w:themeFill="background1"/>
            <w:vAlign w:val="center"/>
          </w:tcPr>
          <w:p w14:paraId="0C6E8103" w14:textId="77777777" w:rsidR="005272E5" w:rsidRPr="00A069A2" w:rsidRDefault="005272E5" w:rsidP="00A70113">
            <w:pPr>
              <w:spacing w:beforeLines="50" w:afterLines="50"/>
              <w:rPr>
                <w:rFonts w:cs="Arial"/>
                <w:b w:val="0"/>
                <w:bCs w:val="0"/>
                <w:szCs w:val="22"/>
              </w:rPr>
            </w:pPr>
            <w:r w:rsidRPr="00A069A2">
              <w:rPr>
                <w:rFonts w:cs="Arial"/>
                <w:b w:val="0"/>
                <w:bCs w:val="0"/>
                <w:szCs w:val="22"/>
              </w:rPr>
              <w:t>Impact</w:t>
            </w:r>
          </w:p>
        </w:tc>
        <w:tc>
          <w:tcPr>
            <w:tcW w:w="4241" w:type="pct"/>
            <w:shd w:val="clear" w:color="auto" w:fill="FFFFFF" w:themeFill="background1"/>
            <w:vAlign w:val="center"/>
          </w:tcPr>
          <w:p w14:paraId="06580DE9" w14:textId="77777777" w:rsidR="005272E5" w:rsidRPr="00A069A2" w:rsidRDefault="005272E5" w:rsidP="00A70113">
            <w:pPr>
              <w:spacing w:beforeLines="50" w:afterLines="50"/>
              <w:cnfStyle w:val="000000000000" w:firstRow="0" w:lastRow="0" w:firstColumn="0" w:lastColumn="0" w:oddVBand="0" w:evenVBand="0" w:oddHBand="0" w:evenHBand="0" w:firstRowFirstColumn="0" w:firstRowLastColumn="0" w:lastRowFirstColumn="0" w:lastRowLastColumn="0"/>
              <w:rPr>
                <w:rFonts w:cs="Arial"/>
                <w:i/>
                <w:iCs/>
                <w:szCs w:val="22"/>
              </w:rPr>
            </w:pPr>
            <w:r w:rsidRPr="00A069A2">
              <w:rPr>
                <w:rFonts w:cs="Arial"/>
                <w:color w:val="000000"/>
                <w:szCs w:val="22"/>
              </w:rPr>
              <w:t xml:space="preserve">Measures the extent to which PHNs are working towards achieving the long-term goal of the program. It therefore focuses on system-centric activities. </w:t>
            </w:r>
          </w:p>
        </w:tc>
      </w:tr>
    </w:tbl>
    <w:p w14:paraId="16132CA8" w14:textId="77777777" w:rsidR="00324A22" w:rsidRPr="00A069A2" w:rsidRDefault="00324A22" w:rsidP="00324A22">
      <w:pPr>
        <w:pStyle w:val="Body"/>
      </w:pPr>
    </w:p>
    <w:p w14:paraId="016AF7FC" w14:textId="2E318068" w:rsidR="0045375F" w:rsidRPr="00A069A2" w:rsidRDefault="0068563A" w:rsidP="001409DE">
      <w:pPr>
        <w:pStyle w:val="Heading3"/>
      </w:pPr>
      <w:bookmarkStart w:id="15" w:name="_Toc211333054"/>
      <w:r w:rsidRPr="00A069A2">
        <w:t>3</w:t>
      </w:r>
      <w:r w:rsidR="001409DE" w:rsidRPr="00A069A2">
        <w:t xml:space="preserve">.2 </w:t>
      </w:r>
      <w:r w:rsidR="0045375F" w:rsidRPr="00A069A2">
        <w:t>Performance Dimensions</w:t>
      </w:r>
      <w:bookmarkEnd w:id="15"/>
    </w:p>
    <w:p w14:paraId="7FB823A2" w14:textId="625FAFB2" w:rsidR="0045375F" w:rsidRPr="00A069A2" w:rsidRDefault="0045375F" w:rsidP="005D72B4">
      <w:pPr>
        <w:pStyle w:val="Body"/>
      </w:pPr>
      <w:r w:rsidRPr="00A069A2">
        <w:t>Performance dimensions refer to the qualities of performance that are being assessed. In literature and in the context of healthcare, quality healthcare is accepted as consisting of a range of attributes that are considered important in achieving desired outcomes</w:t>
      </w:r>
      <w:r w:rsidR="0006035C" w:rsidRPr="00A069A2">
        <w:t xml:space="preserve"> (AIHW 2017)</w:t>
      </w:r>
      <w:r w:rsidRPr="00A069A2">
        <w:t xml:space="preserve">. </w:t>
      </w:r>
    </w:p>
    <w:p w14:paraId="563BFAAF" w14:textId="797DE29C" w:rsidR="0045375F" w:rsidRPr="00A069A2" w:rsidRDefault="0045375F" w:rsidP="005D72B4">
      <w:pPr>
        <w:pStyle w:val="Body"/>
      </w:pPr>
      <w:r w:rsidRPr="00A069A2">
        <w:t xml:space="preserve">The selection of performance dimensions for this Framework </w:t>
      </w:r>
      <w:r w:rsidR="00EE0BB6" w:rsidRPr="00A069A2">
        <w:t>reflects</w:t>
      </w:r>
      <w:r w:rsidRPr="00A069A2">
        <w:t xml:space="preserve"> the attributes explicitly listed or implied in the Program objectives as outlined in the PHN Program Logic 2024. They are also aligned with health system domains developed as part of the </w:t>
      </w:r>
      <w:r w:rsidR="006C4FF4" w:rsidRPr="00A069A2">
        <w:t>AIHW</w:t>
      </w:r>
      <w:r w:rsidRPr="00A069A2">
        <w:t xml:space="preserve"> Australian Health Performance Framework</w:t>
      </w:r>
      <w:r w:rsidR="00C952EA" w:rsidRPr="00A069A2">
        <w:t xml:space="preserve"> (AIHW 2017)</w:t>
      </w:r>
      <w:r w:rsidRPr="00A069A2">
        <w:t>. These dimensions are described below.</w:t>
      </w:r>
    </w:p>
    <w:p w14:paraId="560CE21E" w14:textId="2EBC63E7" w:rsidR="0045375F" w:rsidRPr="00A069A2" w:rsidRDefault="0045375F" w:rsidP="00553096">
      <w:pPr>
        <w:pStyle w:val="Caption"/>
        <w:keepNext/>
      </w:pPr>
      <w:bookmarkStart w:id="16" w:name="_Toc207613133"/>
      <w:r w:rsidRPr="00A069A2">
        <w:t xml:space="preserve">Table </w:t>
      </w:r>
      <w:r w:rsidRPr="00A069A2">
        <w:fldChar w:fldCharType="begin"/>
      </w:r>
      <w:r w:rsidRPr="00A069A2">
        <w:instrText xml:space="preserve"> SEQ Table \* ARABIC </w:instrText>
      </w:r>
      <w:r w:rsidRPr="00A069A2">
        <w:fldChar w:fldCharType="separate"/>
      </w:r>
      <w:r w:rsidR="005A59B5">
        <w:rPr>
          <w:noProof/>
        </w:rPr>
        <w:t>4</w:t>
      </w:r>
      <w:r w:rsidRPr="00A069A2">
        <w:fldChar w:fldCharType="end"/>
      </w:r>
      <w:r w:rsidRPr="00A069A2">
        <w:t>. Performance dimensions and their definitions.</w:t>
      </w:r>
      <w:bookmarkEnd w:id="16"/>
    </w:p>
    <w:tbl>
      <w:tblPr>
        <w:tblStyle w:val="PlainTable4"/>
        <w:tblW w:w="5000" w:type="pct"/>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shd w:val="clear" w:color="auto" w:fill="FFFFFF" w:themeFill="background1"/>
        <w:tblLook w:val="04A0" w:firstRow="1" w:lastRow="0" w:firstColumn="1" w:lastColumn="0" w:noHBand="0" w:noVBand="1"/>
        <w:tblCaption w:val="Table containing definitions of the 5 performance dimensions."/>
      </w:tblPr>
      <w:tblGrid>
        <w:gridCol w:w="1415"/>
        <w:gridCol w:w="7601"/>
      </w:tblGrid>
      <w:tr w:rsidR="0045375F" w:rsidRPr="00A069A2" w14:paraId="14E8BDC0" w14:textId="77777777" w:rsidTr="000128B6">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000" w:firstRow="0" w:lastRow="0" w:firstColumn="1" w:lastColumn="0" w:oddVBand="0" w:evenVBand="0" w:oddHBand="0" w:evenHBand="0" w:firstRowFirstColumn="0" w:firstRowLastColumn="0" w:lastRowFirstColumn="0" w:lastRowLastColumn="0"/>
            <w:tcW w:w="676" w:type="pct"/>
            <w:shd w:val="clear" w:color="auto" w:fill="3F4A75" w:themeFill="text2"/>
          </w:tcPr>
          <w:p w14:paraId="474B6ADF" w14:textId="77777777" w:rsidR="0045375F" w:rsidRPr="00A069A2" w:rsidRDefault="0045375F">
            <w:pPr>
              <w:spacing w:before="40" w:after="40"/>
              <w:rPr>
                <w:rFonts w:cs="Arial"/>
                <w:color w:val="FFFFFF" w:themeColor="background1"/>
                <w:szCs w:val="22"/>
              </w:rPr>
            </w:pPr>
            <w:r w:rsidRPr="00A069A2">
              <w:rPr>
                <w:rFonts w:cs="Arial"/>
                <w:color w:val="FFFFFF" w:themeColor="background1"/>
                <w:szCs w:val="22"/>
              </w:rPr>
              <w:t>Dimension</w:t>
            </w:r>
          </w:p>
        </w:tc>
        <w:tc>
          <w:tcPr>
            <w:tcW w:w="4324" w:type="pct"/>
            <w:shd w:val="clear" w:color="auto" w:fill="3F4A75" w:themeFill="text2"/>
          </w:tcPr>
          <w:p w14:paraId="334FBBEA" w14:textId="77777777" w:rsidR="0045375F" w:rsidRPr="00A069A2" w:rsidRDefault="0045375F">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69A2">
              <w:rPr>
                <w:rFonts w:cs="Arial"/>
                <w:color w:val="FFFFFF" w:themeColor="background1"/>
                <w:szCs w:val="22"/>
              </w:rPr>
              <w:t>Definition</w:t>
            </w:r>
          </w:p>
        </w:tc>
      </w:tr>
      <w:tr w:rsidR="0045375F" w:rsidRPr="00A069A2" w14:paraId="0DFC88CE" w14:textId="77777777" w:rsidTr="002922B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vAlign w:val="center"/>
          </w:tcPr>
          <w:p w14:paraId="3FC43C00" w14:textId="77777777" w:rsidR="0045375F" w:rsidRPr="00A069A2" w:rsidRDefault="0045375F" w:rsidP="00A70113">
            <w:pPr>
              <w:spacing w:before="40" w:after="40"/>
              <w:rPr>
                <w:rFonts w:cs="Arial"/>
                <w:b w:val="0"/>
                <w:bCs w:val="0"/>
                <w:szCs w:val="22"/>
              </w:rPr>
            </w:pPr>
            <w:r w:rsidRPr="00A069A2">
              <w:rPr>
                <w:rFonts w:cs="Arial"/>
                <w:b w:val="0"/>
                <w:bCs w:val="0"/>
                <w:szCs w:val="22"/>
              </w:rPr>
              <w:t>Accessible</w:t>
            </w:r>
          </w:p>
        </w:tc>
        <w:tc>
          <w:tcPr>
            <w:tcW w:w="4324" w:type="pct"/>
            <w:shd w:val="clear" w:color="auto" w:fill="FFFFFF" w:themeFill="background1"/>
            <w:vAlign w:val="center"/>
          </w:tcPr>
          <w:p w14:paraId="663EB041" w14:textId="32CFCA4D" w:rsidR="0045375F" w:rsidRPr="00A069A2" w:rsidRDefault="0045375F" w:rsidP="00A70113">
            <w:pPr>
              <w:spacing w:before="50" w:after="50"/>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 xml:space="preserve">The ability of people to obtain care </w:t>
            </w:r>
            <w:r w:rsidR="0020163C" w:rsidRPr="00A069A2">
              <w:rPr>
                <w:rFonts w:cs="Arial"/>
                <w:szCs w:val="22"/>
              </w:rPr>
              <w:t xml:space="preserve">in </w:t>
            </w:r>
            <w:r w:rsidRPr="00A069A2">
              <w:rPr>
                <w:rFonts w:cs="Arial"/>
                <w:szCs w:val="22"/>
              </w:rPr>
              <w:t xml:space="preserve">the right place and </w:t>
            </w:r>
            <w:r w:rsidR="0020163C" w:rsidRPr="00A069A2">
              <w:rPr>
                <w:rFonts w:cs="Arial"/>
                <w:szCs w:val="22"/>
              </w:rPr>
              <w:t xml:space="preserve">at the </w:t>
            </w:r>
            <w:r w:rsidRPr="00A069A2">
              <w:rPr>
                <w:rFonts w:cs="Arial"/>
                <w:szCs w:val="22"/>
              </w:rPr>
              <w:t>right time.</w:t>
            </w:r>
          </w:p>
        </w:tc>
      </w:tr>
      <w:tr w:rsidR="0045375F" w:rsidRPr="00A069A2" w14:paraId="35E82484" w14:textId="77777777" w:rsidTr="002922B0">
        <w:trPr>
          <w:trHeight w:val="582"/>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vAlign w:val="center"/>
          </w:tcPr>
          <w:p w14:paraId="2C18FC7C" w14:textId="77777777" w:rsidR="0045375F" w:rsidRPr="00A069A2" w:rsidRDefault="0045375F" w:rsidP="00A70113">
            <w:pPr>
              <w:spacing w:before="40" w:after="40"/>
              <w:rPr>
                <w:rFonts w:cs="Arial"/>
                <w:b w:val="0"/>
                <w:bCs w:val="0"/>
                <w:szCs w:val="22"/>
              </w:rPr>
            </w:pPr>
            <w:r w:rsidRPr="00A069A2">
              <w:rPr>
                <w:rFonts w:cs="Arial"/>
                <w:b w:val="0"/>
                <w:bCs w:val="0"/>
                <w:szCs w:val="22"/>
              </w:rPr>
              <w:t>Coordinated</w:t>
            </w:r>
          </w:p>
        </w:tc>
        <w:tc>
          <w:tcPr>
            <w:tcW w:w="4324" w:type="pct"/>
            <w:shd w:val="clear" w:color="auto" w:fill="FFFFFF" w:themeFill="background1"/>
            <w:vAlign w:val="center"/>
          </w:tcPr>
          <w:p w14:paraId="559AFCFC" w14:textId="77777777" w:rsidR="0045375F" w:rsidRPr="00A069A2" w:rsidRDefault="0045375F" w:rsidP="00A70113">
            <w:pPr>
              <w:spacing w:before="50" w:after="50"/>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A069A2">
              <w:rPr>
                <w:rFonts w:cs="Arial"/>
                <w:szCs w:val="22"/>
              </w:rPr>
              <w:t>The ability to provide uninterrupted, coordinated care across programs, practitioners, organisations and levels over time.</w:t>
            </w:r>
          </w:p>
        </w:tc>
      </w:tr>
      <w:tr w:rsidR="0045375F" w:rsidRPr="00A069A2" w14:paraId="2E44055B" w14:textId="77777777" w:rsidTr="002922B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vAlign w:val="center"/>
          </w:tcPr>
          <w:p w14:paraId="25CDB50B" w14:textId="77777777" w:rsidR="0045375F" w:rsidRPr="00A069A2" w:rsidRDefault="0045375F" w:rsidP="00A70113">
            <w:pPr>
              <w:spacing w:before="40" w:after="40"/>
              <w:rPr>
                <w:rFonts w:cs="Arial"/>
                <w:b w:val="0"/>
                <w:bCs w:val="0"/>
                <w:szCs w:val="22"/>
              </w:rPr>
            </w:pPr>
            <w:r w:rsidRPr="00A069A2">
              <w:rPr>
                <w:rFonts w:cs="Arial"/>
                <w:b w:val="0"/>
                <w:bCs w:val="0"/>
                <w:szCs w:val="22"/>
              </w:rPr>
              <w:t>Effective</w:t>
            </w:r>
          </w:p>
        </w:tc>
        <w:tc>
          <w:tcPr>
            <w:tcW w:w="4324" w:type="pct"/>
            <w:shd w:val="clear" w:color="auto" w:fill="FFFFFF" w:themeFill="background1"/>
            <w:vAlign w:val="center"/>
          </w:tcPr>
          <w:p w14:paraId="5FA73FB6" w14:textId="0E915568" w:rsidR="0045375F" w:rsidRPr="00A069A2" w:rsidRDefault="0045375F" w:rsidP="00A70113">
            <w:pPr>
              <w:spacing w:before="50" w:after="50"/>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Care, intervention or action achieves</w:t>
            </w:r>
            <w:r w:rsidR="00D34FAF" w:rsidRPr="00A069A2">
              <w:rPr>
                <w:rFonts w:cs="Arial"/>
                <w:szCs w:val="22"/>
              </w:rPr>
              <w:t xml:space="preserve"> the</w:t>
            </w:r>
            <w:r w:rsidRPr="00A069A2">
              <w:rPr>
                <w:rFonts w:cs="Arial"/>
                <w:szCs w:val="22"/>
              </w:rPr>
              <w:t xml:space="preserve"> desired outcome.</w:t>
            </w:r>
          </w:p>
        </w:tc>
      </w:tr>
      <w:tr w:rsidR="0045375F" w:rsidRPr="00A069A2" w14:paraId="3549B8E1" w14:textId="77777777" w:rsidTr="002922B0">
        <w:trPr>
          <w:trHeight w:val="582"/>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vAlign w:val="center"/>
          </w:tcPr>
          <w:p w14:paraId="028E3E8B" w14:textId="77777777" w:rsidR="0045375F" w:rsidRPr="00A069A2" w:rsidRDefault="0045375F" w:rsidP="00A70113">
            <w:pPr>
              <w:spacing w:before="40" w:after="40"/>
              <w:rPr>
                <w:rFonts w:cs="Arial"/>
                <w:b w:val="0"/>
                <w:bCs w:val="0"/>
                <w:szCs w:val="22"/>
              </w:rPr>
            </w:pPr>
            <w:r w:rsidRPr="00A069A2">
              <w:rPr>
                <w:rFonts w:cs="Arial"/>
                <w:b w:val="0"/>
                <w:bCs w:val="0"/>
                <w:szCs w:val="22"/>
              </w:rPr>
              <w:t>Efficient</w:t>
            </w:r>
          </w:p>
        </w:tc>
        <w:tc>
          <w:tcPr>
            <w:tcW w:w="4324" w:type="pct"/>
            <w:shd w:val="clear" w:color="auto" w:fill="FFFFFF" w:themeFill="background1"/>
            <w:vAlign w:val="center"/>
          </w:tcPr>
          <w:p w14:paraId="2601FCBE" w14:textId="77777777" w:rsidR="0045375F" w:rsidRPr="00A069A2" w:rsidRDefault="0045375F" w:rsidP="00A70113">
            <w:pPr>
              <w:spacing w:before="50" w:after="50"/>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A069A2">
              <w:rPr>
                <w:rFonts w:cs="Arial"/>
                <w:szCs w:val="22"/>
              </w:rPr>
              <w:t>Achieving desired results with the most cost-effective use of resources.</w:t>
            </w:r>
          </w:p>
        </w:tc>
      </w:tr>
      <w:tr w:rsidR="0045375F" w:rsidRPr="00A069A2" w14:paraId="5930638C" w14:textId="77777777" w:rsidTr="002922B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676" w:type="pct"/>
            <w:shd w:val="clear" w:color="auto" w:fill="FFFFFF" w:themeFill="background1"/>
            <w:vAlign w:val="center"/>
          </w:tcPr>
          <w:p w14:paraId="68464E87" w14:textId="77777777" w:rsidR="0045375F" w:rsidRPr="00A069A2" w:rsidRDefault="0045375F" w:rsidP="00A70113">
            <w:pPr>
              <w:spacing w:before="40" w:after="40"/>
              <w:rPr>
                <w:rFonts w:cs="Arial"/>
                <w:b w:val="0"/>
                <w:bCs w:val="0"/>
                <w:szCs w:val="22"/>
              </w:rPr>
            </w:pPr>
            <w:r w:rsidRPr="00A069A2">
              <w:rPr>
                <w:rFonts w:cs="Arial"/>
                <w:b w:val="0"/>
                <w:bCs w:val="0"/>
                <w:szCs w:val="22"/>
              </w:rPr>
              <w:t>Equitable</w:t>
            </w:r>
          </w:p>
        </w:tc>
        <w:tc>
          <w:tcPr>
            <w:tcW w:w="4324" w:type="pct"/>
            <w:shd w:val="clear" w:color="auto" w:fill="FFFFFF" w:themeFill="background1"/>
            <w:vAlign w:val="center"/>
          </w:tcPr>
          <w:p w14:paraId="6C3F731F" w14:textId="4B222C60" w:rsidR="0045375F" w:rsidRPr="00A069A2" w:rsidRDefault="00807CBB" w:rsidP="00A70113">
            <w:pPr>
              <w:spacing w:before="50" w:after="50"/>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The minimisation of avoidable differences between groups or individuals.</w:t>
            </w:r>
          </w:p>
        </w:tc>
      </w:tr>
    </w:tbl>
    <w:p w14:paraId="3067D24B" w14:textId="0132B744" w:rsidR="0045375F" w:rsidRPr="00A069A2" w:rsidRDefault="0045375F" w:rsidP="0045375F">
      <w:pPr>
        <w:pStyle w:val="Footer"/>
        <w:spacing w:before="60"/>
        <w:rPr>
          <w:rFonts w:asciiTheme="minorHAnsi" w:hAnsiTheme="minorHAnsi" w:cstheme="minorHAnsi"/>
          <w:i/>
          <w:iCs/>
          <w:sz w:val="16"/>
          <w:szCs w:val="16"/>
        </w:rPr>
      </w:pPr>
      <w:r w:rsidRPr="00A069A2">
        <w:rPr>
          <w:rFonts w:asciiTheme="minorHAnsi" w:hAnsiTheme="minorHAnsi" w:cstheme="minorHAnsi"/>
          <w:i/>
          <w:iCs/>
          <w:sz w:val="16"/>
          <w:szCs w:val="16"/>
        </w:rPr>
        <w:lastRenderedPageBreak/>
        <w:t xml:space="preserve">Source: The Australian Health Performance Framework </w:t>
      </w:r>
      <w:r w:rsidR="00645C0A" w:rsidRPr="00A069A2">
        <w:rPr>
          <w:rFonts w:asciiTheme="minorHAnsi" w:hAnsiTheme="minorHAnsi" w:cstheme="minorHAnsi"/>
          <w:i/>
          <w:iCs/>
          <w:sz w:val="16"/>
          <w:szCs w:val="16"/>
        </w:rPr>
        <w:t>(</w:t>
      </w:r>
      <w:r w:rsidRPr="00A069A2">
        <w:rPr>
          <w:rFonts w:asciiTheme="minorHAnsi" w:hAnsiTheme="minorHAnsi" w:cstheme="minorHAnsi"/>
          <w:i/>
          <w:iCs/>
          <w:sz w:val="16"/>
          <w:szCs w:val="16"/>
        </w:rPr>
        <w:t>20</w:t>
      </w:r>
      <w:r w:rsidR="00E550BF" w:rsidRPr="00A069A2">
        <w:rPr>
          <w:rFonts w:asciiTheme="minorHAnsi" w:hAnsiTheme="minorHAnsi" w:cstheme="minorHAnsi"/>
          <w:i/>
          <w:iCs/>
          <w:sz w:val="16"/>
          <w:szCs w:val="16"/>
        </w:rPr>
        <w:t>17</w:t>
      </w:r>
      <w:r w:rsidR="00645C0A" w:rsidRPr="00A069A2">
        <w:rPr>
          <w:rFonts w:asciiTheme="minorHAnsi" w:hAnsiTheme="minorHAnsi" w:cstheme="minorHAnsi"/>
          <w:i/>
          <w:iCs/>
          <w:sz w:val="16"/>
          <w:szCs w:val="16"/>
        </w:rPr>
        <w:t>)</w:t>
      </w:r>
    </w:p>
    <w:p w14:paraId="19FB5852" w14:textId="4E2DA25E" w:rsidR="0045375F" w:rsidRPr="00A069A2" w:rsidRDefault="0045375F" w:rsidP="005D72B4">
      <w:pPr>
        <w:pStyle w:val="Body"/>
      </w:pPr>
      <w:r w:rsidRPr="00A069A2">
        <w:t xml:space="preserve">Note that these performance dimensions are intended to compliment and support achievement of the Quintuple Aim. The five performance dimensions provide a basis to drive improvement in the context of the PHN Program in the short to medium term. Over time, improving these qualities will in theory contribute to achieving the Quintuple Aim through the </w:t>
      </w:r>
      <w:r w:rsidR="00F67B05" w:rsidRPr="00A069A2">
        <w:t>elem</w:t>
      </w:r>
      <w:r w:rsidR="00F967C3" w:rsidRPr="00A069A2">
        <w:t>en</w:t>
      </w:r>
      <w:r w:rsidR="00F67B05" w:rsidRPr="00A069A2">
        <w:t>ts</w:t>
      </w:r>
      <w:r w:rsidRPr="00A069A2">
        <w:t xml:space="preserve"> of the health system </w:t>
      </w:r>
      <w:r w:rsidR="00F967C3" w:rsidRPr="00A069A2">
        <w:t xml:space="preserve">with which </w:t>
      </w:r>
      <w:r w:rsidRPr="00A069A2">
        <w:t>PHNs interact.</w:t>
      </w:r>
    </w:p>
    <w:p w14:paraId="64E88F8A" w14:textId="77777777" w:rsidR="00E43418" w:rsidRPr="00A069A2" w:rsidRDefault="00E43418" w:rsidP="005D72B4">
      <w:pPr>
        <w:pStyle w:val="Body"/>
      </w:pPr>
      <w:r w:rsidRPr="00A069A2">
        <w:t>The Framework consists of indicators grouped against the program dimensions. This ensures there is broad coverage in measuring PHN performance and activity.</w:t>
      </w:r>
    </w:p>
    <w:p w14:paraId="11AE7D83" w14:textId="77777777" w:rsidR="00E43418" w:rsidRPr="00A069A2" w:rsidRDefault="00E43418" w:rsidP="00A70113">
      <w:pPr>
        <w:spacing w:line="264" w:lineRule="auto"/>
        <w:jc w:val="both"/>
      </w:pPr>
    </w:p>
    <w:p w14:paraId="73170365" w14:textId="74274265" w:rsidR="00B62534" w:rsidRPr="00A069A2" w:rsidRDefault="00B62534" w:rsidP="00B62534">
      <w:pPr>
        <w:pStyle w:val="Heading3"/>
      </w:pPr>
      <w:bookmarkStart w:id="17" w:name="_Toc211333055"/>
      <w:r w:rsidRPr="00A069A2">
        <w:t>3.3 Indicators</w:t>
      </w:r>
      <w:bookmarkEnd w:id="17"/>
    </w:p>
    <w:p w14:paraId="54EA2177" w14:textId="61C7372C" w:rsidR="00B62534" w:rsidRPr="00A069A2" w:rsidRDefault="00B62534" w:rsidP="005D72B4">
      <w:pPr>
        <w:pStyle w:val="Body"/>
      </w:pPr>
      <w:r w:rsidRPr="00A069A2">
        <w:t xml:space="preserve">Indicators are the metrics for how performance is quantified or evidenced against objectives. Within this Framework, indicators have been developed against </w:t>
      </w:r>
      <w:r w:rsidRPr="0000678A">
        <w:t>each performance</w:t>
      </w:r>
      <w:r w:rsidRPr="00A069A2">
        <w:t xml:space="preserve"> and program dimension. Indicators can be defined as a measure of ‘output’ or ‘outcome</w:t>
      </w:r>
      <w:r w:rsidR="00280F45" w:rsidRPr="00A069A2">
        <w:t>.’</w:t>
      </w:r>
      <w:r w:rsidRPr="00A069A2">
        <w:t xml:space="preserve"> The distinction between the two </w:t>
      </w:r>
      <w:r w:rsidR="00533DEB" w:rsidRPr="00A069A2">
        <w:t xml:space="preserve">is </w:t>
      </w:r>
      <w:r w:rsidRPr="00A069A2">
        <w:t>described below.</w:t>
      </w:r>
    </w:p>
    <w:p w14:paraId="3512C219" w14:textId="5841DB41" w:rsidR="00B62534" w:rsidRPr="00A069A2" w:rsidRDefault="00B62534" w:rsidP="00B62534">
      <w:pPr>
        <w:pStyle w:val="Caption"/>
        <w:keepNext/>
      </w:pPr>
      <w:bookmarkStart w:id="18" w:name="_Toc207613134"/>
      <w:r w:rsidRPr="00A069A2">
        <w:t xml:space="preserve">Table </w:t>
      </w:r>
      <w:r w:rsidRPr="00A069A2">
        <w:fldChar w:fldCharType="begin"/>
      </w:r>
      <w:r w:rsidRPr="00A069A2">
        <w:instrText xml:space="preserve"> SEQ Table \* ARABIC </w:instrText>
      </w:r>
      <w:r w:rsidRPr="00A069A2">
        <w:fldChar w:fldCharType="separate"/>
      </w:r>
      <w:r w:rsidR="005A59B5">
        <w:rPr>
          <w:noProof/>
        </w:rPr>
        <w:t>5</w:t>
      </w:r>
      <w:r w:rsidRPr="00A069A2">
        <w:fldChar w:fldCharType="end"/>
      </w:r>
      <w:r w:rsidRPr="00A069A2">
        <w:t>. Indicator types and their definitions.</w:t>
      </w:r>
      <w:bookmarkEnd w:id="18"/>
    </w:p>
    <w:tbl>
      <w:tblPr>
        <w:tblStyle w:val="PlainTable4"/>
        <w:tblW w:w="5000" w:type="pct"/>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shd w:val="clear" w:color="auto" w:fill="FFFFFF" w:themeFill="background1"/>
        <w:tblLook w:val="04A0" w:firstRow="1" w:lastRow="0" w:firstColumn="1" w:lastColumn="0" w:noHBand="0" w:noVBand="1"/>
        <w:tblCaption w:val="Table defining definitions of output and outcome indicators."/>
      </w:tblPr>
      <w:tblGrid>
        <w:gridCol w:w="1109"/>
        <w:gridCol w:w="7907"/>
      </w:tblGrid>
      <w:tr w:rsidR="00B62534" w:rsidRPr="00A069A2" w14:paraId="6A72C390" w14:textId="77777777" w:rsidTr="000128B6">
        <w:trPr>
          <w:cnfStyle w:val="100000000000" w:firstRow="1" w:lastRow="0" w:firstColumn="0" w:lastColumn="0" w:oddVBand="0" w:evenVBand="0" w:oddHBand="0" w:evenHBand="0" w:firstRowFirstColumn="0" w:firstRowLastColumn="0" w:lastRowFirstColumn="0" w:lastRowLastColumn="0"/>
          <w:cantSplit/>
          <w:trHeight w:val="372"/>
          <w:tblHeader/>
        </w:trPr>
        <w:tc>
          <w:tcPr>
            <w:cnfStyle w:val="001000000000" w:firstRow="0" w:lastRow="0" w:firstColumn="1" w:lastColumn="0" w:oddVBand="0" w:evenVBand="0" w:oddHBand="0" w:evenHBand="0" w:firstRowFirstColumn="0" w:firstRowLastColumn="0" w:lastRowFirstColumn="0" w:lastRowLastColumn="0"/>
            <w:tcW w:w="615" w:type="pct"/>
            <w:shd w:val="clear" w:color="auto" w:fill="3F4A75" w:themeFill="text2"/>
          </w:tcPr>
          <w:p w14:paraId="2BAD1A31" w14:textId="77777777" w:rsidR="00B62534" w:rsidRPr="00A069A2" w:rsidRDefault="00B62534">
            <w:pPr>
              <w:spacing w:before="40" w:after="40"/>
              <w:rPr>
                <w:rFonts w:cs="Arial"/>
                <w:color w:val="FFFFFF" w:themeColor="background1"/>
                <w:szCs w:val="22"/>
              </w:rPr>
            </w:pPr>
            <w:r w:rsidRPr="00A069A2">
              <w:rPr>
                <w:rFonts w:cs="Arial"/>
                <w:color w:val="FFFFFF" w:themeColor="background1"/>
                <w:szCs w:val="22"/>
              </w:rPr>
              <w:t>Type</w:t>
            </w:r>
          </w:p>
        </w:tc>
        <w:tc>
          <w:tcPr>
            <w:tcW w:w="4385" w:type="pct"/>
            <w:shd w:val="clear" w:color="auto" w:fill="3F4A75" w:themeFill="text2"/>
          </w:tcPr>
          <w:p w14:paraId="2AD28CDD" w14:textId="77777777" w:rsidR="00B62534" w:rsidRPr="00A069A2" w:rsidRDefault="00B62534">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69A2">
              <w:rPr>
                <w:rFonts w:cs="Arial"/>
                <w:color w:val="FFFFFF" w:themeColor="background1"/>
                <w:szCs w:val="22"/>
              </w:rPr>
              <w:t>Definition</w:t>
            </w:r>
          </w:p>
        </w:tc>
      </w:tr>
      <w:tr w:rsidR="00B62534" w:rsidRPr="00A069A2" w14:paraId="1DA3236B" w14:textId="77777777" w:rsidTr="00B408D7">
        <w:trPr>
          <w:cnfStyle w:val="000000100000" w:firstRow="0" w:lastRow="0" w:firstColumn="0" w:lastColumn="0" w:oddVBand="0" w:evenVBand="0" w:oddHBand="1" w:evenHBand="0" w:firstRowFirstColumn="0" w:firstRowLastColumn="0" w:lastRowFirstColumn="0" w:lastRowLastColumn="0"/>
          <w:cantSplit/>
          <w:trHeight w:val="1088"/>
        </w:trPr>
        <w:tc>
          <w:tcPr>
            <w:cnfStyle w:val="001000000000" w:firstRow="0" w:lastRow="0" w:firstColumn="1" w:lastColumn="0" w:oddVBand="0" w:evenVBand="0" w:oddHBand="0" w:evenHBand="0" w:firstRowFirstColumn="0" w:firstRowLastColumn="0" w:lastRowFirstColumn="0" w:lastRowLastColumn="0"/>
            <w:tcW w:w="615" w:type="pct"/>
            <w:shd w:val="clear" w:color="auto" w:fill="FFFFFF" w:themeFill="background1"/>
            <w:vAlign w:val="center"/>
          </w:tcPr>
          <w:p w14:paraId="4FC55DE1" w14:textId="77777777" w:rsidR="00B62534" w:rsidRPr="00A069A2" w:rsidRDefault="00B62534">
            <w:pPr>
              <w:spacing w:beforeLines="50" w:afterLines="50"/>
              <w:rPr>
                <w:rFonts w:cs="Arial"/>
                <w:b w:val="0"/>
                <w:bCs w:val="0"/>
                <w:szCs w:val="22"/>
              </w:rPr>
            </w:pPr>
            <w:r w:rsidRPr="00A069A2">
              <w:rPr>
                <w:rFonts w:cs="Arial"/>
                <w:b w:val="0"/>
                <w:bCs w:val="0"/>
                <w:szCs w:val="22"/>
              </w:rPr>
              <w:t>Output</w:t>
            </w:r>
          </w:p>
        </w:tc>
        <w:tc>
          <w:tcPr>
            <w:tcW w:w="4385" w:type="pct"/>
            <w:shd w:val="clear" w:color="auto" w:fill="FFFFFF" w:themeFill="background1"/>
            <w:vAlign w:val="center"/>
          </w:tcPr>
          <w:p w14:paraId="61AF5029" w14:textId="47BACC16" w:rsidR="00B62534" w:rsidRPr="00A069A2" w:rsidRDefault="00B62534">
            <w:pPr>
              <w:spacing w:before="0" w:after="0"/>
              <w:cnfStyle w:val="000000100000" w:firstRow="0" w:lastRow="0" w:firstColumn="0" w:lastColumn="0" w:oddVBand="0" w:evenVBand="0" w:oddHBand="1" w:evenHBand="0" w:firstRowFirstColumn="0" w:firstRowLastColumn="0" w:lastRowFirstColumn="0" w:lastRowLastColumn="0"/>
              <w:rPr>
                <w:rFonts w:cs="Arial"/>
                <w:i/>
                <w:iCs/>
                <w:color w:val="000000"/>
                <w:szCs w:val="22"/>
              </w:rPr>
            </w:pPr>
            <w:r w:rsidRPr="00A069A2">
              <w:rPr>
                <w:rFonts w:cs="Arial"/>
                <w:color w:val="000000"/>
                <w:szCs w:val="22"/>
              </w:rPr>
              <w:t xml:space="preserve">The tangible products or deliverables of program activities. E.g., the number of referral resources published for clinicians. </w:t>
            </w:r>
          </w:p>
        </w:tc>
      </w:tr>
      <w:tr w:rsidR="00B62534" w:rsidRPr="00A069A2" w14:paraId="5119DD3C" w14:textId="77777777" w:rsidTr="00B408D7">
        <w:trPr>
          <w:cantSplit/>
          <w:trHeight w:val="1543"/>
        </w:trPr>
        <w:tc>
          <w:tcPr>
            <w:cnfStyle w:val="001000000000" w:firstRow="0" w:lastRow="0" w:firstColumn="1" w:lastColumn="0" w:oddVBand="0" w:evenVBand="0" w:oddHBand="0" w:evenHBand="0" w:firstRowFirstColumn="0" w:firstRowLastColumn="0" w:lastRowFirstColumn="0" w:lastRowLastColumn="0"/>
            <w:tcW w:w="615" w:type="pct"/>
            <w:shd w:val="clear" w:color="auto" w:fill="FFFFFF" w:themeFill="background1"/>
            <w:vAlign w:val="center"/>
          </w:tcPr>
          <w:p w14:paraId="16927047" w14:textId="77777777" w:rsidR="00B62534" w:rsidRPr="00A069A2" w:rsidRDefault="00B62534">
            <w:pPr>
              <w:spacing w:beforeLines="50" w:afterLines="50"/>
              <w:rPr>
                <w:rFonts w:cs="Arial"/>
                <w:b w:val="0"/>
                <w:bCs w:val="0"/>
                <w:szCs w:val="22"/>
              </w:rPr>
            </w:pPr>
            <w:r w:rsidRPr="00A069A2">
              <w:rPr>
                <w:rFonts w:cs="Arial"/>
                <w:b w:val="0"/>
                <w:bCs w:val="0"/>
                <w:szCs w:val="22"/>
              </w:rPr>
              <w:t>Outcome</w:t>
            </w:r>
          </w:p>
        </w:tc>
        <w:tc>
          <w:tcPr>
            <w:tcW w:w="4385" w:type="pct"/>
            <w:shd w:val="clear" w:color="auto" w:fill="FFFFFF" w:themeFill="background1"/>
            <w:vAlign w:val="center"/>
          </w:tcPr>
          <w:p w14:paraId="0AEA144F" w14:textId="64343CF6" w:rsidR="00B62534" w:rsidRPr="00A069A2" w:rsidRDefault="00B62534">
            <w:pPr>
              <w:spacing w:before="0" w:after="0"/>
              <w:cnfStyle w:val="000000000000" w:firstRow="0" w:lastRow="0" w:firstColumn="0" w:lastColumn="0" w:oddVBand="0" w:evenVBand="0" w:oddHBand="0" w:evenHBand="0" w:firstRowFirstColumn="0" w:firstRowLastColumn="0" w:lastRowFirstColumn="0" w:lastRowLastColumn="0"/>
              <w:rPr>
                <w:rFonts w:cs="Arial"/>
                <w:i/>
                <w:iCs/>
                <w:color w:val="FF0000"/>
                <w:szCs w:val="22"/>
              </w:rPr>
            </w:pPr>
            <w:r w:rsidRPr="00A069A2">
              <w:rPr>
                <w:rFonts w:cs="Arial"/>
                <w:color w:val="000000"/>
                <w:szCs w:val="22"/>
              </w:rPr>
              <w:t>The actual results achieved by a program. This may include knowledge transferred or behaviours changed. Outcomes are the differences or benefits made by the outputs. e.g., an increased number of clinicians using the referral resources.</w:t>
            </w:r>
          </w:p>
        </w:tc>
      </w:tr>
    </w:tbl>
    <w:p w14:paraId="68492C06" w14:textId="6C58D2C7" w:rsidR="00B62534" w:rsidRPr="00A069A2" w:rsidRDefault="00B408D7" w:rsidP="003A4AD4">
      <w:pPr>
        <w:pStyle w:val="Footer"/>
        <w:spacing w:before="60"/>
        <w:rPr>
          <w:rFonts w:asciiTheme="minorHAnsi" w:hAnsiTheme="minorHAnsi" w:cstheme="minorHAnsi"/>
          <w:i/>
          <w:iCs/>
          <w:sz w:val="16"/>
          <w:szCs w:val="16"/>
        </w:rPr>
      </w:pPr>
      <w:r w:rsidRPr="00A069A2">
        <w:rPr>
          <w:rFonts w:asciiTheme="minorHAnsi" w:hAnsiTheme="minorHAnsi" w:cstheme="minorHAnsi"/>
          <w:i/>
          <w:iCs/>
          <w:sz w:val="16"/>
          <w:szCs w:val="16"/>
        </w:rPr>
        <w:t>Source: Busse et al</w:t>
      </w:r>
      <w:r w:rsidR="00816E44" w:rsidRPr="00A069A2">
        <w:rPr>
          <w:rFonts w:asciiTheme="minorHAnsi" w:hAnsiTheme="minorHAnsi" w:cstheme="minorHAnsi"/>
          <w:i/>
          <w:iCs/>
          <w:sz w:val="16"/>
          <w:szCs w:val="16"/>
        </w:rPr>
        <w:t>.</w:t>
      </w:r>
      <w:r w:rsidR="00645C0A" w:rsidRPr="00A069A2">
        <w:rPr>
          <w:rFonts w:asciiTheme="minorHAnsi" w:hAnsiTheme="minorHAnsi" w:cstheme="minorHAnsi"/>
          <w:i/>
          <w:iCs/>
          <w:sz w:val="16"/>
          <w:szCs w:val="16"/>
        </w:rPr>
        <w:t xml:space="preserve"> (</w:t>
      </w:r>
      <w:r w:rsidRPr="00A069A2">
        <w:rPr>
          <w:rFonts w:asciiTheme="minorHAnsi" w:hAnsiTheme="minorHAnsi" w:cstheme="minorHAnsi"/>
          <w:i/>
          <w:iCs/>
          <w:sz w:val="16"/>
          <w:szCs w:val="16"/>
        </w:rPr>
        <w:t>2019</w:t>
      </w:r>
      <w:r w:rsidR="00645C0A" w:rsidRPr="00A069A2">
        <w:rPr>
          <w:rFonts w:asciiTheme="minorHAnsi" w:hAnsiTheme="minorHAnsi" w:cstheme="minorHAnsi"/>
          <w:i/>
          <w:iCs/>
          <w:sz w:val="16"/>
          <w:szCs w:val="16"/>
        </w:rPr>
        <w:t>)</w:t>
      </w:r>
    </w:p>
    <w:p w14:paraId="5A2ACB3A" w14:textId="77777777" w:rsidR="00B62534" w:rsidRPr="00A069A2" w:rsidRDefault="00B62534" w:rsidP="00B62534">
      <w:pPr>
        <w:spacing w:before="0" w:after="0" w:line="240" w:lineRule="auto"/>
      </w:pPr>
    </w:p>
    <w:p w14:paraId="694507A2" w14:textId="01B22785" w:rsidR="00C126E1" w:rsidRPr="00A069A2" w:rsidRDefault="0068563A" w:rsidP="00CC7BE9">
      <w:pPr>
        <w:pStyle w:val="Heading3"/>
      </w:pPr>
      <w:bookmarkStart w:id="19" w:name="_Toc211333056"/>
      <w:r w:rsidRPr="00A069A2">
        <w:t>3</w:t>
      </w:r>
      <w:r w:rsidR="00CC7BE9" w:rsidRPr="00A069A2">
        <w:t xml:space="preserve">.4 </w:t>
      </w:r>
      <w:r w:rsidR="00C126E1" w:rsidRPr="00A069A2">
        <w:t>Agents and Targets of Change</w:t>
      </w:r>
      <w:bookmarkEnd w:id="19"/>
    </w:p>
    <w:p w14:paraId="1842D0A2" w14:textId="6F9837A2" w:rsidR="00C126E1" w:rsidRPr="00A069A2" w:rsidRDefault="00C126E1" w:rsidP="005D72B4">
      <w:pPr>
        <w:pStyle w:val="Body"/>
      </w:pPr>
      <w:r w:rsidRPr="00A069A2">
        <w:t>Agents and targets of change help identify who contributes to</w:t>
      </w:r>
      <w:r w:rsidR="001245DB" w:rsidRPr="00A069A2">
        <w:t>,</w:t>
      </w:r>
      <w:r w:rsidRPr="00A069A2">
        <w:t xml:space="preserve"> and who are the beneficiaries of</w:t>
      </w:r>
      <w:r w:rsidR="001245DB" w:rsidRPr="00A069A2">
        <w:t>,</w:t>
      </w:r>
      <w:r w:rsidRPr="00A069A2">
        <w:t xml:space="preserve"> intended change. </w:t>
      </w:r>
    </w:p>
    <w:p w14:paraId="564A9737" w14:textId="77777777" w:rsidR="00C126E1" w:rsidRPr="00A069A2" w:rsidRDefault="00C126E1" w:rsidP="0025176E">
      <w:pPr>
        <w:pStyle w:val="ListParagraph"/>
        <w:numPr>
          <w:ilvl w:val="0"/>
          <w:numId w:val="15"/>
        </w:numPr>
        <w:spacing w:before="60" w:line="240" w:lineRule="auto"/>
        <w:jc w:val="both"/>
      </w:pPr>
      <w:r w:rsidRPr="00A069A2">
        <w:rPr>
          <w:b/>
          <w:bCs/>
        </w:rPr>
        <w:t xml:space="preserve">Agents of Change: </w:t>
      </w:r>
      <w:r w:rsidRPr="00A069A2">
        <w:t xml:space="preserve">those who influence or contribute to (resolving) the issue or problem. </w:t>
      </w:r>
    </w:p>
    <w:p w14:paraId="0697F3F2" w14:textId="71CCAC97" w:rsidR="00C126E1" w:rsidRPr="00A069A2" w:rsidRDefault="00C126E1" w:rsidP="0025176E">
      <w:pPr>
        <w:pStyle w:val="ListParagraph"/>
        <w:numPr>
          <w:ilvl w:val="0"/>
          <w:numId w:val="15"/>
        </w:numPr>
        <w:spacing w:before="60" w:line="240" w:lineRule="auto"/>
        <w:jc w:val="both"/>
      </w:pPr>
      <w:r w:rsidRPr="00A069A2">
        <w:rPr>
          <w:b/>
          <w:bCs/>
        </w:rPr>
        <w:t>Targets of Change:</w:t>
      </w:r>
      <w:r w:rsidRPr="00A069A2">
        <w:t xml:space="preserve"> people or cohorts who are at-risk of or are experiencing an issue or problem.</w:t>
      </w:r>
    </w:p>
    <w:p w14:paraId="0E765206" w14:textId="0DFEF0E1" w:rsidR="00A70113" w:rsidRPr="00A069A2" w:rsidRDefault="00C126E1" w:rsidP="005D72B4">
      <w:pPr>
        <w:pStyle w:val="Body"/>
      </w:pPr>
      <w:r w:rsidRPr="00A069A2">
        <w:t xml:space="preserve">Generally, the three core functions delivered by PHNs also have distinct agents and targets of change. Examples of these are outlined in Table </w:t>
      </w:r>
      <w:r w:rsidR="007C3AA9" w:rsidRPr="00A069A2">
        <w:t>7</w:t>
      </w:r>
      <w:r w:rsidRPr="00A069A2">
        <w:t xml:space="preserve"> </w:t>
      </w:r>
      <w:r w:rsidR="007D40D7" w:rsidRPr="00A069A2">
        <w:t xml:space="preserve">although this </w:t>
      </w:r>
      <w:r w:rsidRPr="00A069A2">
        <w:t>is not an exhaustive list. Identifying these participants informs how progress or performance is assessed. This is because output and outcome measures are dependent on participants and their role. As a result, each core function has a set of progress and performance indicators which align to actions undertaken by the agent or target of change.</w:t>
      </w:r>
    </w:p>
    <w:p w14:paraId="02A943CC" w14:textId="77777777" w:rsidR="00A70113" w:rsidRPr="00A069A2" w:rsidRDefault="00A70113">
      <w:pPr>
        <w:spacing w:before="0" w:after="0" w:line="240" w:lineRule="auto"/>
      </w:pPr>
      <w:r w:rsidRPr="00A069A2">
        <w:br w:type="page"/>
      </w:r>
    </w:p>
    <w:p w14:paraId="6C35721D" w14:textId="02BD208A" w:rsidR="00C126E1" w:rsidRPr="00A069A2" w:rsidRDefault="00C126E1" w:rsidP="00553096">
      <w:pPr>
        <w:pStyle w:val="Caption"/>
        <w:keepNext/>
      </w:pPr>
      <w:bookmarkStart w:id="20" w:name="_Toc207613135"/>
      <w:r w:rsidRPr="00A069A2">
        <w:lastRenderedPageBreak/>
        <w:t xml:space="preserve">Table </w:t>
      </w:r>
      <w:r w:rsidRPr="00A069A2">
        <w:fldChar w:fldCharType="begin"/>
      </w:r>
      <w:r w:rsidRPr="00A069A2">
        <w:instrText xml:space="preserve"> SEQ Table \* ARABIC </w:instrText>
      </w:r>
      <w:r w:rsidRPr="00A069A2">
        <w:fldChar w:fldCharType="separate"/>
      </w:r>
      <w:r w:rsidR="005A59B5">
        <w:rPr>
          <w:noProof/>
        </w:rPr>
        <w:t>6</w:t>
      </w:r>
      <w:r w:rsidRPr="00A069A2">
        <w:fldChar w:fldCharType="end"/>
      </w:r>
      <w:r w:rsidRPr="00A069A2">
        <w:t>. Identified agents and targets of change, by PHN function.</w:t>
      </w:r>
      <w:bookmarkEnd w:id="20"/>
      <w:r w:rsidRPr="00A069A2">
        <w:t xml:space="preserve"> </w:t>
      </w:r>
    </w:p>
    <w:tbl>
      <w:tblPr>
        <w:tblStyle w:val="PlainTable4"/>
        <w:tblW w:w="5000" w:type="pct"/>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shd w:val="clear" w:color="auto" w:fill="FFFFFF" w:themeFill="background1"/>
        <w:tblLook w:val="04A0" w:firstRow="1" w:lastRow="0" w:firstColumn="1" w:lastColumn="0" w:noHBand="0" w:noVBand="1"/>
        <w:tblCaption w:val="Table containing the agents and targets of change by each of the 3 PHN function."/>
      </w:tblPr>
      <w:tblGrid>
        <w:gridCol w:w="1837"/>
        <w:gridCol w:w="3120"/>
        <w:gridCol w:w="4059"/>
      </w:tblGrid>
      <w:tr w:rsidR="00AC2C86" w:rsidRPr="00A069A2" w14:paraId="698C0B1C" w14:textId="77777777" w:rsidTr="000128B6">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000" w:firstRow="0" w:lastRow="0" w:firstColumn="1" w:lastColumn="0" w:oddVBand="0" w:evenVBand="0" w:oddHBand="0" w:evenHBand="0" w:firstRowFirstColumn="0" w:firstRowLastColumn="0" w:lastRowFirstColumn="0" w:lastRowLastColumn="0"/>
            <w:tcW w:w="1019" w:type="pct"/>
            <w:shd w:val="clear" w:color="auto" w:fill="3F4A75" w:themeFill="text2"/>
          </w:tcPr>
          <w:p w14:paraId="5967BCBE" w14:textId="7F8F42ED" w:rsidR="00C126E1" w:rsidRPr="00A069A2" w:rsidRDefault="00AC2C86" w:rsidP="00A70113">
            <w:pPr>
              <w:spacing w:before="40" w:after="40"/>
              <w:rPr>
                <w:rFonts w:cs="Arial"/>
                <w:color w:val="FFFFFF" w:themeColor="background1"/>
                <w:szCs w:val="22"/>
              </w:rPr>
            </w:pPr>
            <w:r w:rsidRPr="00A069A2">
              <w:rPr>
                <w:rFonts w:cs="Arial"/>
                <w:color w:val="FFFFFF" w:themeColor="background1"/>
                <w:szCs w:val="22"/>
              </w:rPr>
              <w:t>Core Function</w:t>
            </w:r>
          </w:p>
        </w:tc>
        <w:tc>
          <w:tcPr>
            <w:tcW w:w="1730" w:type="pct"/>
            <w:shd w:val="clear" w:color="auto" w:fill="3F4A75" w:themeFill="text2"/>
          </w:tcPr>
          <w:p w14:paraId="7BC0A8C0" w14:textId="77777777" w:rsidR="00C126E1" w:rsidRPr="00A069A2" w:rsidRDefault="00C126E1" w:rsidP="00A70113">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69A2">
              <w:rPr>
                <w:rFonts w:cs="Arial"/>
                <w:color w:val="FFFFFF" w:themeColor="background1"/>
                <w:szCs w:val="22"/>
              </w:rPr>
              <w:t>Agent of Change</w:t>
            </w:r>
          </w:p>
        </w:tc>
        <w:tc>
          <w:tcPr>
            <w:tcW w:w="2251" w:type="pct"/>
            <w:shd w:val="clear" w:color="auto" w:fill="3F4A75" w:themeFill="text2"/>
          </w:tcPr>
          <w:p w14:paraId="2916C4E3" w14:textId="338B86C9" w:rsidR="00C126E1" w:rsidRPr="00A069A2" w:rsidRDefault="00C126E1" w:rsidP="00A70113">
            <w:pPr>
              <w:spacing w:before="40" w:after="4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69A2">
              <w:rPr>
                <w:rFonts w:cs="Arial"/>
                <w:color w:val="FFFFFF" w:themeColor="background1"/>
                <w:szCs w:val="22"/>
              </w:rPr>
              <w:t>Targets of Change</w:t>
            </w:r>
          </w:p>
        </w:tc>
      </w:tr>
      <w:tr w:rsidR="00AC2C86" w:rsidRPr="00A069A2" w14:paraId="6B7BDEF4" w14:textId="77777777" w:rsidTr="00AC2C86">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019" w:type="pct"/>
            <w:shd w:val="clear" w:color="auto" w:fill="FFFFFF" w:themeFill="background1"/>
            <w:vAlign w:val="center"/>
          </w:tcPr>
          <w:p w14:paraId="3C93186C" w14:textId="77777777" w:rsidR="00C126E1" w:rsidRPr="00A069A2" w:rsidRDefault="00C126E1" w:rsidP="00A70113">
            <w:pPr>
              <w:spacing w:before="40" w:after="40"/>
              <w:rPr>
                <w:rFonts w:cs="Arial"/>
                <w:b w:val="0"/>
                <w:bCs w:val="0"/>
                <w:szCs w:val="22"/>
              </w:rPr>
            </w:pPr>
            <w:r w:rsidRPr="00A069A2">
              <w:rPr>
                <w:rFonts w:cs="Arial"/>
                <w:b w:val="0"/>
                <w:bCs w:val="0"/>
                <w:szCs w:val="22"/>
              </w:rPr>
              <w:t>Coordinate</w:t>
            </w:r>
          </w:p>
        </w:tc>
        <w:tc>
          <w:tcPr>
            <w:tcW w:w="1730" w:type="pct"/>
            <w:shd w:val="clear" w:color="auto" w:fill="FFFFFF" w:themeFill="background1"/>
            <w:vAlign w:val="center"/>
          </w:tcPr>
          <w:p w14:paraId="721CCC9C" w14:textId="77777777" w:rsidR="00C126E1" w:rsidRPr="00A069A2" w:rsidRDefault="00C126E1" w:rsidP="00A70113">
            <w:pPr>
              <w:spacing w:before="80" w:after="80"/>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PHNs; LHNs; peak bodies</w:t>
            </w:r>
          </w:p>
        </w:tc>
        <w:tc>
          <w:tcPr>
            <w:tcW w:w="2251" w:type="pct"/>
            <w:shd w:val="clear" w:color="auto" w:fill="FFFFFF" w:themeFill="background1"/>
            <w:vAlign w:val="center"/>
          </w:tcPr>
          <w:p w14:paraId="55E273A8" w14:textId="77777777" w:rsidR="00C126E1" w:rsidRPr="00A069A2" w:rsidRDefault="00C126E1" w:rsidP="00A70113">
            <w:pPr>
              <w:spacing w:before="80" w:after="80"/>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 xml:space="preserve">Healthcare practitioners; service providers; consumers; families; carers. </w:t>
            </w:r>
          </w:p>
        </w:tc>
      </w:tr>
      <w:tr w:rsidR="00C126E1" w:rsidRPr="00A069A2" w14:paraId="0768BEAC" w14:textId="77777777" w:rsidTr="00AC2C86">
        <w:trPr>
          <w:trHeight w:val="934"/>
        </w:trPr>
        <w:tc>
          <w:tcPr>
            <w:cnfStyle w:val="001000000000" w:firstRow="0" w:lastRow="0" w:firstColumn="1" w:lastColumn="0" w:oddVBand="0" w:evenVBand="0" w:oddHBand="0" w:evenHBand="0" w:firstRowFirstColumn="0" w:firstRowLastColumn="0" w:lastRowFirstColumn="0" w:lastRowLastColumn="0"/>
            <w:tcW w:w="1019" w:type="pct"/>
            <w:shd w:val="clear" w:color="auto" w:fill="FFFFFF" w:themeFill="background1"/>
            <w:vAlign w:val="center"/>
          </w:tcPr>
          <w:p w14:paraId="0A251833" w14:textId="77777777" w:rsidR="00C126E1" w:rsidRPr="00A069A2" w:rsidRDefault="00C126E1" w:rsidP="00A70113">
            <w:pPr>
              <w:spacing w:before="40" w:after="40"/>
              <w:rPr>
                <w:rFonts w:cs="Arial"/>
                <w:b w:val="0"/>
                <w:bCs w:val="0"/>
                <w:szCs w:val="22"/>
              </w:rPr>
            </w:pPr>
            <w:r w:rsidRPr="00A069A2">
              <w:rPr>
                <w:rFonts w:cs="Arial"/>
                <w:b w:val="0"/>
                <w:bCs w:val="0"/>
                <w:szCs w:val="22"/>
              </w:rPr>
              <w:t>Commission</w:t>
            </w:r>
          </w:p>
        </w:tc>
        <w:tc>
          <w:tcPr>
            <w:tcW w:w="1730" w:type="pct"/>
            <w:shd w:val="clear" w:color="auto" w:fill="FFFFFF" w:themeFill="background1"/>
            <w:vAlign w:val="center"/>
          </w:tcPr>
          <w:p w14:paraId="4C1E232F" w14:textId="77777777" w:rsidR="00C126E1" w:rsidRPr="00A069A2" w:rsidRDefault="00C126E1" w:rsidP="00A70113">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A069A2">
              <w:rPr>
                <w:rFonts w:cs="Arial"/>
                <w:szCs w:val="22"/>
              </w:rPr>
              <w:t>PHNs; Commissioned service providers</w:t>
            </w:r>
          </w:p>
        </w:tc>
        <w:tc>
          <w:tcPr>
            <w:tcW w:w="2251" w:type="pct"/>
            <w:shd w:val="clear" w:color="auto" w:fill="FFFFFF" w:themeFill="background1"/>
            <w:vAlign w:val="center"/>
          </w:tcPr>
          <w:p w14:paraId="3B38A6EE" w14:textId="77777777" w:rsidR="00C126E1" w:rsidRPr="00A069A2" w:rsidRDefault="00C126E1" w:rsidP="00A70113">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A069A2">
              <w:rPr>
                <w:rFonts w:cs="Arial"/>
                <w:szCs w:val="22"/>
              </w:rPr>
              <w:t>Consumers; families; carers.</w:t>
            </w:r>
          </w:p>
        </w:tc>
      </w:tr>
      <w:tr w:rsidR="00C126E1" w:rsidRPr="00A069A2" w14:paraId="39088FE3" w14:textId="77777777" w:rsidTr="00AC2C8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19" w:type="pct"/>
            <w:shd w:val="clear" w:color="auto" w:fill="FFFFFF" w:themeFill="background1"/>
            <w:vAlign w:val="center"/>
          </w:tcPr>
          <w:p w14:paraId="58678787" w14:textId="77777777" w:rsidR="00C126E1" w:rsidRPr="00A069A2" w:rsidRDefault="00C126E1" w:rsidP="00A70113">
            <w:pPr>
              <w:spacing w:before="40" w:after="40"/>
              <w:rPr>
                <w:rFonts w:cs="Arial"/>
                <w:b w:val="0"/>
                <w:bCs w:val="0"/>
                <w:szCs w:val="22"/>
              </w:rPr>
            </w:pPr>
            <w:r w:rsidRPr="00A069A2">
              <w:rPr>
                <w:rFonts w:cs="Arial"/>
                <w:b w:val="0"/>
                <w:bCs w:val="0"/>
                <w:szCs w:val="22"/>
              </w:rPr>
              <w:t>Capacity Build</w:t>
            </w:r>
          </w:p>
        </w:tc>
        <w:tc>
          <w:tcPr>
            <w:tcW w:w="1730" w:type="pct"/>
            <w:shd w:val="clear" w:color="auto" w:fill="FFFFFF" w:themeFill="background1"/>
            <w:vAlign w:val="center"/>
          </w:tcPr>
          <w:p w14:paraId="16C724FB" w14:textId="77777777" w:rsidR="00C126E1" w:rsidRPr="00A069A2" w:rsidRDefault="00C126E1" w:rsidP="00A70113">
            <w:pPr>
              <w:spacing w:before="80" w:after="80"/>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PHNs</w:t>
            </w:r>
          </w:p>
        </w:tc>
        <w:tc>
          <w:tcPr>
            <w:tcW w:w="2251" w:type="pct"/>
            <w:shd w:val="clear" w:color="auto" w:fill="FFFFFF" w:themeFill="background1"/>
            <w:vAlign w:val="center"/>
          </w:tcPr>
          <w:p w14:paraId="70E269FA" w14:textId="77777777" w:rsidR="00C126E1" w:rsidRPr="00A069A2" w:rsidRDefault="00C126E1" w:rsidP="00A70113">
            <w:pPr>
              <w:spacing w:before="80" w:after="80"/>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A069A2">
              <w:rPr>
                <w:rFonts w:cs="Arial"/>
                <w:szCs w:val="22"/>
              </w:rPr>
              <w:t>Healthcare practitioners and service providers</w:t>
            </w:r>
          </w:p>
        </w:tc>
      </w:tr>
    </w:tbl>
    <w:p w14:paraId="1A738C97" w14:textId="4EF2DCC2" w:rsidR="00AA31A5" w:rsidRPr="00A069A2" w:rsidRDefault="00AA31A5" w:rsidP="00CF4823">
      <w:pPr>
        <w:pStyle w:val="Body"/>
      </w:pPr>
    </w:p>
    <w:p w14:paraId="76F674F5" w14:textId="40BD0EC2" w:rsidR="00CC158E" w:rsidRPr="00A069A2" w:rsidRDefault="0068563A" w:rsidP="00AA00BB">
      <w:pPr>
        <w:pStyle w:val="Heading3"/>
      </w:pPr>
      <w:bookmarkStart w:id="21" w:name="_Toc211333057"/>
      <w:r w:rsidRPr="00A069A2">
        <w:t>3</w:t>
      </w:r>
      <w:r w:rsidR="006677D2" w:rsidRPr="00A069A2">
        <w:t xml:space="preserve">.5 </w:t>
      </w:r>
      <w:r w:rsidR="00CC158E" w:rsidRPr="00A069A2">
        <w:t>Core Functions and Program Dimensions</w:t>
      </w:r>
      <w:bookmarkEnd w:id="21"/>
      <w:r w:rsidR="00CC158E" w:rsidRPr="00A069A2">
        <w:t> </w:t>
      </w:r>
    </w:p>
    <w:p w14:paraId="67F1E4CC" w14:textId="5E809B38" w:rsidR="00CC158E" w:rsidRPr="00A069A2" w:rsidRDefault="00CC158E" w:rsidP="005D72B4">
      <w:pPr>
        <w:pStyle w:val="Body"/>
      </w:pPr>
      <w:r w:rsidRPr="00A069A2">
        <w:t>To develop meaningful indicators, the relationship between core functions and program dimensions must be understood. Table</w:t>
      </w:r>
      <w:r w:rsidR="00AA627D" w:rsidRPr="00A069A2">
        <w:t>s</w:t>
      </w:r>
      <w:r w:rsidRPr="00A069A2">
        <w:t xml:space="preserve"> </w:t>
      </w:r>
      <w:r w:rsidR="007C3AA9" w:rsidRPr="00A069A2">
        <w:t>8</w:t>
      </w:r>
      <w:r w:rsidR="00553096" w:rsidRPr="00A069A2">
        <w:t xml:space="preserve"> and </w:t>
      </w:r>
      <w:r w:rsidR="007C3AA9" w:rsidRPr="00A069A2">
        <w:t>9</w:t>
      </w:r>
      <w:r w:rsidRPr="00A069A2">
        <w:t xml:space="preserve"> build on the definitions of core functions</w:t>
      </w:r>
      <w:r w:rsidR="000A291A" w:rsidRPr="00A069A2">
        <w:t xml:space="preserve"> and</w:t>
      </w:r>
      <w:r w:rsidRPr="00A069A2">
        <w:t xml:space="preserve"> program dimensions as well as </w:t>
      </w:r>
      <w:r w:rsidR="00C63A12" w:rsidRPr="00A069A2">
        <w:t xml:space="preserve">the </w:t>
      </w:r>
      <w:r w:rsidRPr="00A069A2">
        <w:t xml:space="preserve">targets or agents of change provided earlier in this document. </w:t>
      </w:r>
      <w:r w:rsidR="002D58D2" w:rsidRPr="00A069A2">
        <w:t>They</w:t>
      </w:r>
      <w:r w:rsidR="00504AA2" w:rsidRPr="00A069A2">
        <w:t xml:space="preserve"> </w:t>
      </w:r>
      <w:r w:rsidRPr="00A069A2">
        <w:t>articulate the translation of PMRF concepts to the development of indicators.</w:t>
      </w:r>
    </w:p>
    <w:p w14:paraId="3BD03A70" w14:textId="6D2F5BA3" w:rsidR="00553096" w:rsidRPr="00A069A2" w:rsidRDefault="00553096" w:rsidP="00553096">
      <w:pPr>
        <w:pStyle w:val="Caption"/>
        <w:keepNext/>
      </w:pPr>
      <w:bookmarkStart w:id="22" w:name="_Toc207613136"/>
      <w:r w:rsidRPr="00A069A2">
        <w:t xml:space="preserve">Table </w:t>
      </w:r>
      <w:r w:rsidRPr="00A069A2">
        <w:fldChar w:fldCharType="begin"/>
      </w:r>
      <w:r w:rsidRPr="00A069A2">
        <w:instrText xml:space="preserve"> SEQ Table \* ARABIC </w:instrText>
      </w:r>
      <w:r w:rsidRPr="00A069A2">
        <w:fldChar w:fldCharType="separate"/>
      </w:r>
      <w:r w:rsidR="005A59B5">
        <w:rPr>
          <w:noProof/>
        </w:rPr>
        <w:t>7</w:t>
      </w:r>
      <w:r w:rsidRPr="00A069A2">
        <w:fldChar w:fldCharType="end"/>
      </w:r>
      <w:r w:rsidRPr="00A069A2">
        <w:t>. Relationship between core functions and compliance and impact indicators.</w:t>
      </w:r>
      <w:bookmarkEnd w:id="22"/>
    </w:p>
    <w:tbl>
      <w:tblPr>
        <w:tblW w:w="5000" w:type="pct"/>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shd w:val="clear" w:color="auto" w:fill="FFFFFF"/>
        <w:tblCellMar>
          <w:left w:w="0" w:type="dxa"/>
          <w:right w:w="0" w:type="dxa"/>
        </w:tblCellMar>
        <w:tblLook w:val="04A0" w:firstRow="1" w:lastRow="0" w:firstColumn="1" w:lastColumn="0" w:noHBand="0" w:noVBand="1"/>
        <w:tblCaption w:val="Table descrbing the relationship between PHNs core functions and compliance and impact indicators."/>
      </w:tblPr>
      <w:tblGrid>
        <w:gridCol w:w="1835"/>
        <w:gridCol w:w="3264"/>
        <w:gridCol w:w="3917"/>
      </w:tblGrid>
      <w:tr w:rsidR="002E57C4" w:rsidRPr="00A069A2" w14:paraId="45DBD719" w14:textId="77777777" w:rsidTr="00A06E11">
        <w:trPr>
          <w:trHeight w:val="529"/>
          <w:tblHeader/>
        </w:trPr>
        <w:tc>
          <w:tcPr>
            <w:tcW w:w="1018" w:type="pct"/>
            <w:shd w:val="clear" w:color="auto" w:fill="3F4A75" w:themeFill="text2"/>
            <w:hideMark/>
          </w:tcPr>
          <w:p w14:paraId="45E34172" w14:textId="77777777" w:rsidR="002E57C4" w:rsidRPr="00A069A2" w:rsidRDefault="002E57C4">
            <w:pPr>
              <w:pStyle w:val="Body"/>
              <w:rPr>
                <w:b/>
                <w:bCs/>
                <w:color w:val="FFFFFF" w:themeColor="background1"/>
                <w:sz w:val="20"/>
                <w:szCs w:val="20"/>
              </w:rPr>
            </w:pPr>
            <w:r w:rsidRPr="00A069A2">
              <w:rPr>
                <w:b/>
                <w:bCs/>
                <w:color w:val="FFFFFF" w:themeColor="background1"/>
                <w:sz w:val="20"/>
                <w:szCs w:val="20"/>
              </w:rPr>
              <w:t> </w:t>
            </w:r>
          </w:p>
        </w:tc>
        <w:tc>
          <w:tcPr>
            <w:tcW w:w="1810" w:type="pct"/>
            <w:shd w:val="clear" w:color="auto" w:fill="3F4A75" w:themeFill="text2"/>
            <w:vAlign w:val="center"/>
            <w:hideMark/>
          </w:tcPr>
          <w:p w14:paraId="3A529C5D" w14:textId="77777777" w:rsidR="002E57C4" w:rsidRPr="00A069A2" w:rsidRDefault="002E57C4">
            <w:pPr>
              <w:pStyle w:val="Body"/>
              <w:spacing w:before="0" w:after="0" w:line="240" w:lineRule="auto"/>
              <w:jc w:val="center"/>
              <w:rPr>
                <w:b/>
                <w:bCs/>
                <w:color w:val="FFFFFF" w:themeColor="background1"/>
                <w:sz w:val="20"/>
                <w:szCs w:val="20"/>
              </w:rPr>
            </w:pPr>
            <w:r w:rsidRPr="00A069A2">
              <w:rPr>
                <w:b/>
                <w:bCs/>
                <w:color w:val="FFFFFF" w:themeColor="background1"/>
                <w:sz w:val="20"/>
                <w:szCs w:val="20"/>
              </w:rPr>
              <w:t>Compliance Indicators</w:t>
            </w:r>
          </w:p>
        </w:tc>
        <w:tc>
          <w:tcPr>
            <w:tcW w:w="2172" w:type="pct"/>
            <w:shd w:val="clear" w:color="auto" w:fill="3F4A75" w:themeFill="text2"/>
            <w:vAlign w:val="center"/>
            <w:hideMark/>
          </w:tcPr>
          <w:p w14:paraId="62071C76" w14:textId="77777777" w:rsidR="002E57C4" w:rsidRPr="00A069A2" w:rsidRDefault="002E57C4">
            <w:pPr>
              <w:pStyle w:val="Body"/>
              <w:spacing w:before="0" w:after="0" w:line="240" w:lineRule="auto"/>
              <w:jc w:val="center"/>
              <w:rPr>
                <w:b/>
                <w:bCs/>
                <w:color w:val="FFFFFF" w:themeColor="background1"/>
                <w:sz w:val="20"/>
                <w:szCs w:val="20"/>
              </w:rPr>
            </w:pPr>
            <w:r w:rsidRPr="00A069A2">
              <w:rPr>
                <w:b/>
                <w:bCs/>
                <w:color w:val="FFFFFF" w:themeColor="background1"/>
                <w:sz w:val="20"/>
                <w:szCs w:val="20"/>
              </w:rPr>
              <w:t>Impact Indicators</w:t>
            </w:r>
          </w:p>
        </w:tc>
      </w:tr>
      <w:tr w:rsidR="002E57C4" w:rsidRPr="00A069A2" w14:paraId="3B9EAEB5" w14:textId="77777777" w:rsidTr="00244321">
        <w:trPr>
          <w:trHeight w:val="300"/>
        </w:trPr>
        <w:tc>
          <w:tcPr>
            <w:tcW w:w="1018" w:type="pct"/>
            <w:shd w:val="clear" w:color="auto" w:fill="A9B1D0" w:themeFill="text2" w:themeFillTint="66"/>
            <w:vAlign w:val="center"/>
            <w:hideMark/>
          </w:tcPr>
          <w:p w14:paraId="1DD7BA11" w14:textId="77777777" w:rsidR="002E57C4" w:rsidRPr="00A069A2" w:rsidRDefault="002E57C4" w:rsidP="00553096">
            <w:pPr>
              <w:pStyle w:val="Body"/>
              <w:ind w:left="127" w:right="97"/>
              <w:rPr>
                <w:b/>
                <w:bCs/>
                <w:sz w:val="20"/>
                <w:szCs w:val="20"/>
              </w:rPr>
            </w:pPr>
            <w:r w:rsidRPr="00A069A2">
              <w:rPr>
                <w:b/>
                <w:bCs/>
                <w:sz w:val="20"/>
                <w:szCs w:val="20"/>
              </w:rPr>
              <w:t>Core Functions</w:t>
            </w:r>
          </w:p>
        </w:tc>
        <w:tc>
          <w:tcPr>
            <w:tcW w:w="1810" w:type="pct"/>
            <w:shd w:val="clear" w:color="auto" w:fill="A9B1D0" w:themeFill="text2" w:themeFillTint="66"/>
            <w:vAlign w:val="center"/>
            <w:hideMark/>
          </w:tcPr>
          <w:p w14:paraId="7809EBCC" w14:textId="77777777" w:rsidR="002E57C4" w:rsidRPr="00A069A2" w:rsidRDefault="002E57C4" w:rsidP="00553096">
            <w:pPr>
              <w:pStyle w:val="Body"/>
              <w:ind w:left="172" w:right="187"/>
              <w:rPr>
                <w:sz w:val="20"/>
                <w:szCs w:val="20"/>
              </w:rPr>
            </w:pPr>
            <w:r w:rsidRPr="00A069A2">
              <w:rPr>
                <w:sz w:val="20"/>
                <w:szCs w:val="20"/>
              </w:rPr>
              <w:t>Compliance indicators measure whether PHNs are meeting their core contractual and organisational obligations. They therefore specifically target PHNs and how they have met regulatory standards. </w:t>
            </w:r>
          </w:p>
        </w:tc>
        <w:tc>
          <w:tcPr>
            <w:tcW w:w="2172" w:type="pct"/>
            <w:shd w:val="clear" w:color="auto" w:fill="A9B1D0" w:themeFill="text2" w:themeFillTint="66"/>
            <w:vAlign w:val="center"/>
            <w:hideMark/>
          </w:tcPr>
          <w:p w14:paraId="79DA027F" w14:textId="545E233A" w:rsidR="002E57C4" w:rsidRPr="00A069A2" w:rsidRDefault="002E57C4" w:rsidP="00553096">
            <w:pPr>
              <w:pStyle w:val="Body"/>
              <w:ind w:left="234" w:right="223"/>
              <w:rPr>
                <w:sz w:val="20"/>
                <w:szCs w:val="20"/>
              </w:rPr>
            </w:pPr>
            <w:r w:rsidRPr="00A069A2">
              <w:rPr>
                <w:sz w:val="20"/>
                <w:szCs w:val="20"/>
              </w:rPr>
              <w:t>Measure the extent to which PHNs are working towards achieving the long-term goal</w:t>
            </w:r>
            <w:r w:rsidR="00A974B7" w:rsidRPr="00A069A2">
              <w:rPr>
                <w:sz w:val="20"/>
                <w:szCs w:val="20"/>
              </w:rPr>
              <w:t>s</w:t>
            </w:r>
            <w:r w:rsidRPr="00A069A2">
              <w:rPr>
                <w:sz w:val="20"/>
                <w:szCs w:val="20"/>
              </w:rPr>
              <w:t xml:space="preserve"> of the program. These indicators therefore focus on broader population and/or health system outcomes as the Targets of Change. </w:t>
            </w:r>
          </w:p>
        </w:tc>
      </w:tr>
      <w:tr w:rsidR="00557333" w:rsidRPr="00A069A2" w14:paraId="7F78BDD7" w14:textId="77777777" w:rsidTr="00244321">
        <w:trPr>
          <w:trHeight w:val="3156"/>
        </w:trPr>
        <w:tc>
          <w:tcPr>
            <w:tcW w:w="1018" w:type="pct"/>
            <w:shd w:val="clear" w:color="auto" w:fill="FFFFFF"/>
            <w:vAlign w:val="center"/>
            <w:hideMark/>
          </w:tcPr>
          <w:p w14:paraId="5097AA68" w14:textId="5D1A2599" w:rsidR="00553096" w:rsidRPr="00A069A2" w:rsidRDefault="00557333" w:rsidP="00553096">
            <w:pPr>
              <w:pStyle w:val="Body"/>
              <w:ind w:left="127" w:right="97"/>
              <w:rPr>
                <w:b/>
                <w:bCs/>
                <w:sz w:val="20"/>
                <w:szCs w:val="20"/>
              </w:rPr>
            </w:pPr>
            <w:r w:rsidRPr="00A069A2">
              <w:rPr>
                <w:sz w:val="20"/>
                <w:szCs w:val="20"/>
              </w:rPr>
              <w:t>Al</w:t>
            </w:r>
            <w:r w:rsidR="00553096" w:rsidRPr="00A069A2">
              <w:rPr>
                <w:sz w:val="20"/>
                <w:szCs w:val="20"/>
              </w:rPr>
              <w:t>l</w:t>
            </w:r>
          </w:p>
          <w:p w14:paraId="51A1373C" w14:textId="4F20D1BE" w:rsidR="00557333" w:rsidRPr="00A069A2" w:rsidRDefault="00557333" w:rsidP="00553096">
            <w:pPr>
              <w:pStyle w:val="Body"/>
              <w:ind w:left="127" w:right="97"/>
              <w:rPr>
                <w:b/>
                <w:bCs/>
                <w:sz w:val="20"/>
                <w:szCs w:val="20"/>
              </w:rPr>
            </w:pPr>
          </w:p>
        </w:tc>
        <w:tc>
          <w:tcPr>
            <w:tcW w:w="1810" w:type="pct"/>
            <w:shd w:val="clear" w:color="auto" w:fill="D4D8E8" w:themeFill="accent1" w:themeFillTint="33"/>
            <w:vAlign w:val="center"/>
            <w:hideMark/>
          </w:tcPr>
          <w:p w14:paraId="30D0DEB3" w14:textId="0E3F8E6A" w:rsidR="00557333" w:rsidRPr="00A069A2" w:rsidRDefault="00557333" w:rsidP="00553096">
            <w:pPr>
              <w:pStyle w:val="Body"/>
              <w:ind w:left="172" w:right="187"/>
              <w:rPr>
                <w:sz w:val="20"/>
                <w:szCs w:val="20"/>
              </w:rPr>
            </w:pPr>
            <w:r w:rsidRPr="00A069A2">
              <w:rPr>
                <w:sz w:val="20"/>
                <w:szCs w:val="20"/>
              </w:rPr>
              <w:t xml:space="preserve">Across all core PHN functions, these indicators assess whether PHNs are meeting minimum requirements in delivering the PHN Program. These requirements are articulated as part of their funding agreements and against </w:t>
            </w:r>
            <w:r w:rsidR="00F574A7" w:rsidRPr="00A069A2">
              <w:rPr>
                <w:sz w:val="20"/>
                <w:szCs w:val="20"/>
              </w:rPr>
              <w:t xml:space="preserve">the Commonwealth </w:t>
            </w:r>
            <w:r w:rsidRPr="00A069A2">
              <w:rPr>
                <w:sz w:val="20"/>
                <w:szCs w:val="20"/>
              </w:rPr>
              <w:t xml:space="preserve">Grant Rules and </w:t>
            </w:r>
            <w:r w:rsidR="00F574A7" w:rsidRPr="00A069A2">
              <w:rPr>
                <w:sz w:val="20"/>
                <w:szCs w:val="20"/>
              </w:rPr>
              <w:t>Principles (2024)</w:t>
            </w:r>
            <w:r w:rsidRPr="00A069A2">
              <w:rPr>
                <w:sz w:val="20"/>
                <w:szCs w:val="20"/>
              </w:rPr>
              <w:t>.</w:t>
            </w:r>
          </w:p>
        </w:tc>
        <w:tc>
          <w:tcPr>
            <w:tcW w:w="2172" w:type="pct"/>
            <w:shd w:val="clear" w:color="auto" w:fill="D4D8E8" w:themeFill="accent1" w:themeFillTint="33"/>
            <w:vAlign w:val="center"/>
            <w:hideMark/>
          </w:tcPr>
          <w:p w14:paraId="4228216E" w14:textId="77777777" w:rsidR="00557333" w:rsidRPr="00A069A2" w:rsidRDefault="00557333" w:rsidP="00553096">
            <w:pPr>
              <w:pStyle w:val="Body"/>
              <w:ind w:left="234" w:right="223"/>
              <w:rPr>
                <w:sz w:val="20"/>
                <w:szCs w:val="20"/>
              </w:rPr>
            </w:pPr>
            <w:r w:rsidRPr="00A069A2">
              <w:rPr>
                <w:sz w:val="20"/>
                <w:szCs w:val="20"/>
              </w:rPr>
              <w:t>These indicators span all core PHN functions. These indicators assess whether PHNs have made positive advancements towards achieving the Program’s goals and healthcare reform against the Quintuple Aim. </w:t>
            </w:r>
          </w:p>
          <w:p w14:paraId="18974D2F" w14:textId="77777777" w:rsidR="00557333" w:rsidRPr="00A069A2" w:rsidRDefault="00557333" w:rsidP="00553096">
            <w:pPr>
              <w:pStyle w:val="Body"/>
              <w:ind w:left="234" w:right="223"/>
              <w:rPr>
                <w:sz w:val="20"/>
                <w:szCs w:val="20"/>
              </w:rPr>
            </w:pPr>
            <w:r w:rsidRPr="00A069A2">
              <w:rPr>
                <w:sz w:val="20"/>
                <w:szCs w:val="20"/>
              </w:rPr>
              <w:t>While assessment of these indicators cannot be directly attributable to PHN activity, PHNs are considered to contribute to these outcomes. This is due to the long-term cumulative effect of the overall PHN Program. </w:t>
            </w:r>
          </w:p>
        </w:tc>
      </w:tr>
    </w:tbl>
    <w:p w14:paraId="79740966" w14:textId="77777777" w:rsidR="00CC158E" w:rsidRPr="00A069A2" w:rsidRDefault="00CC158E" w:rsidP="00CC158E">
      <w:pPr>
        <w:spacing w:before="0" w:after="0" w:line="240" w:lineRule="auto"/>
        <w:rPr>
          <w:rFonts w:cs="Arial"/>
          <w:b/>
          <w:bCs/>
          <w:color w:val="3F4A75"/>
          <w:kern w:val="28"/>
          <w:sz w:val="44"/>
          <w:szCs w:val="44"/>
        </w:rPr>
      </w:pPr>
    </w:p>
    <w:p w14:paraId="661B5E7A" w14:textId="40474AE6" w:rsidR="00AA00BB" w:rsidRPr="00A069A2" w:rsidRDefault="00AA00BB">
      <w:pPr>
        <w:spacing w:before="0" w:after="0" w:line="240" w:lineRule="auto"/>
        <w:rPr>
          <w:rFonts w:cs="Arial"/>
          <w:b/>
          <w:bCs/>
          <w:color w:val="3F4A75"/>
          <w:kern w:val="28"/>
          <w:sz w:val="44"/>
          <w:szCs w:val="44"/>
        </w:rPr>
      </w:pPr>
    </w:p>
    <w:p w14:paraId="095901A1" w14:textId="53A89814" w:rsidR="007C3AA9" w:rsidRPr="00A069A2" w:rsidRDefault="007C3AA9" w:rsidP="007C3AA9">
      <w:pPr>
        <w:pStyle w:val="Caption"/>
        <w:keepNext/>
      </w:pPr>
      <w:bookmarkStart w:id="23" w:name="_Toc207613137"/>
      <w:r w:rsidRPr="00A069A2">
        <w:lastRenderedPageBreak/>
        <w:t xml:space="preserve">Table </w:t>
      </w:r>
      <w:r w:rsidRPr="00A069A2">
        <w:fldChar w:fldCharType="begin"/>
      </w:r>
      <w:r w:rsidRPr="00A069A2">
        <w:instrText xml:space="preserve"> SEQ Table \* ARABIC </w:instrText>
      </w:r>
      <w:r w:rsidRPr="00A069A2">
        <w:fldChar w:fldCharType="separate"/>
      </w:r>
      <w:r w:rsidR="005A59B5">
        <w:rPr>
          <w:noProof/>
        </w:rPr>
        <w:t>8</w:t>
      </w:r>
      <w:r w:rsidRPr="00A069A2">
        <w:fldChar w:fldCharType="end"/>
      </w:r>
      <w:r w:rsidRPr="00A069A2">
        <w:t>. Relationship between core functions and progress and performance indicators.</w:t>
      </w:r>
      <w:bookmarkEnd w:id="23"/>
    </w:p>
    <w:tbl>
      <w:tblPr>
        <w:tblW w:w="5000" w:type="pct"/>
        <w:tblBorders>
          <w:top w:val="single" w:sz="4" w:space="0" w:color="D4D8E8" w:themeColor="accent1" w:themeTint="33"/>
          <w:left w:val="single" w:sz="4" w:space="0" w:color="D4D8E8" w:themeColor="accent1" w:themeTint="33"/>
          <w:bottom w:val="single" w:sz="4" w:space="0" w:color="D4D8E8" w:themeColor="accent1" w:themeTint="33"/>
          <w:right w:val="single" w:sz="4" w:space="0" w:color="D4D8E8" w:themeColor="accent1" w:themeTint="33"/>
          <w:insideH w:val="single" w:sz="4" w:space="0" w:color="D4D8E8" w:themeColor="accent1" w:themeTint="33"/>
          <w:insideV w:val="single" w:sz="4" w:space="0" w:color="D4D8E8" w:themeColor="accent1" w:themeTint="33"/>
        </w:tblBorders>
        <w:shd w:val="clear" w:color="auto" w:fill="FFFFFF"/>
        <w:tblCellMar>
          <w:left w:w="0" w:type="dxa"/>
          <w:right w:w="0" w:type="dxa"/>
        </w:tblCellMar>
        <w:tblLook w:val="04A0" w:firstRow="1" w:lastRow="0" w:firstColumn="1" w:lastColumn="0" w:noHBand="0" w:noVBand="1"/>
        <w:tblCaption w:val="Table depicting the relationship between core functions and progress and performance indicators."/>
      </w:tblPr>
      <w:tblGrid>
        <w:gridCol w:w="1944"/>
        <w:gridCol w:w="3536"/>
        <w:gridCol w:w="3536"/>
      </w:tblGrid>
      <w:tr w:rsidR="002E57C4" w:rsidRPr="00A069A2" w14:paraId="5D4DA41E" w14:textId="77777777" w:rsidTr="00A06E11">
        <w:trPr>
          <w:trHeight w:val="529"/>
          <w:tblHeader/>
        </w:trPr>
        <w:tc>
          <w:tcPr>
            <w:tcW w:w="1078" w:type="pct"/>
            <w:shd w:val="clear" w:color="auto" w:fill="3F4A75" w:themeFill="text2"/>
            <w:hideMark/>
          </w:tcPr>
          <w:p w14:paraId="43045340" w14:textId="77777777" w:rsidR="002E57C4" w:rsidRPr="00A069A2" w:rsidRDefault="002E57C4">
            <w:pPr>
              <w:pStyle w:val="Body"/>
              <w:rPr>
                <w:b/>
                <w:bCs/>
                <w:color w:val="FFFFFF" w:themeColor="background1"/>
                <w:sz w:val="20"/>
                <w:szCs w:val="20"/>
              </w:rPr>
            </w:pPr>
            <w:r w:rsidRPr="00A069A2">
              <w:rPr>
                <w:b/>
                <w:bCs/>
                <w:color w:val="FFFFFF" w:themeColor="background1"/>
                <w:sz w:val="20"/>
                <w:szCs w:val="20"/>
              </w:rPr>
              <w:t> </w:t>
            </w:r>
          </w:p>
        </w:tc>
        <w:tc>
          <w:tcPr>
            <w:tcW w:w="1961" w:type="pct"/>
            <w:shd w:val="clear" w:color="auto" w:fill="3F4A75" w:themeFill="text2"/>
            <w:vAlign w:val="center"/>
            <w:hideMark/>
          </w:tcPr>
          <w:p w14:paraId="01C3B1E3" w14:textId="77777777" w:rsidR="002E57C4" w:rsidRPr="00A069A2" w:rsidRDefault="002E57C4">
            <w:pPr>
              <w:pStyle w:val="Body"/>
              <w:spacing w:before="0" w:after="0" w:line="240" w:lineRule="auto"/>
              <w:jc w:val="center"/>
              <w:rPr>
                <w:b/>
                <w:bCs/>
                <w:color w:val="FFFFFF" w:themeColor="background1"/>
                <w:sz w:val="20"/>
                <w:szCs w:val="20"/>
              </w:rPr>
            </w:pPr>
            <w:r w:rsidRPr="00A069A2">
              <w:rPr>
                <w:b/>
                <w:bCs/>
                <w:color w:val="FFFFFF" w:themeColor="background1"/>
                <w:sz w:val="20"/>
                <w:szCs w:val="20"/>
              </w:rPr>
              <w:t>Progress Indicators</w:t>
            </w:r>
          </w:p>
        </w:tc>
        <w:tc>
          <w:tcPr>
            <w:tcW w:w="1961" w:type="pct"/>
            <w:shd w:val="clear" w:color="auto" w:fill="3F4A75" w:themeFill="text2"/>
            <w:vAlign w:val="center"/>
            <w:hideMark/>
          </w:tcPr>
          <w:p w14:paraId="4B8C0A69" w14:textId="77777777" w:rsidR="002E57C4" w:rsidRPr="00A069A2" w:rsidRDefault="002E57C4">
            <w:pPr>
              <w:pStyle w:val="Body"/>
              <w:spacing w:before="0" w:after="0" w:line="240" w:lineRule="auto"/>
              <w:jc w:val="center"/>
              <w:rPr>
                <w:b/>
                <w:bCs/>
                <w:color w:val="FFFFFF" w:themeColor="background1"/>
                <w:sz w:val="20"/>
                <w:szCs w:val="20"/>
              </w:rPr>
            </w:pPr>
            <w:r w:rsidRPr="00A069A2">
              <w:rPr>
                <w:b/>
                <w:bCs/>
                <w:color w:val="FFFFFF" w:themeColor="background1"/>
                <w:sz w:val="20"/>
                <w:szCs w:val="20"/>
              </w:rPr>
              <w:t>Performance Indicators</w:t>
            </w:r>
          </w:p>
        </w:tc>
      </w:tr>
      <w:tr w:rsidR="002E57C4" w:rsidRPr="00A069A2" w14:paraId="64FB0294" w14:textId="77777777" w:rsidTr="002355E3">
        <w:trPr>
          <w:trHeight w:val="300"/>
        </w:trPr>
        <w:tc>
          <w:tcPr>
            <w:tcW w:w="1078" w:type="pct"/>
            <w:shd w:val="clear" w:color="auto" w:fill="A9B1D0" w:themeFill="accent1" w:themeFillTint="66"/>
            <w:vAlign w:val="center"/>
            <w:hideMark/>
          </w:tcPr>
          <w:p w14:paraId="069DF369" w14:textId="77777777" w:rsidR="002E57C4" w:rsidRPr="00A069A2" w:rsidRDefault="002E57C4">
            <w:pPr>
              <w:pStyle w:val="Body"/>
              <w:ind w:left="127" w:right="97"/>
              <w:rPr>
                <w:b/>
                <w:bCs/>
                <w:sz w:val="20"/>
                <w:szCs w:val="20"/>
              </w:rPr>
            </w:pPr>
            <w:r w:rsidRPr="00A069A2">
              <w:rPr>
                <w:b/>
                <w:bCs/>
                <w:sz w:val="20"/>
                <w:szCs w:val="20"/>
              </w:rPr>
              <w:t>Core Functions</w:t>
            </w:r>
          </w:p>
        </w:tc>
        <w:tc>
          <w:tcPr>
            <w:tcW w:w="1961" w:type="pct"/>
            <w:shd w:val="clear" w:color="auto" w:fill="A9B1D0" w:themeFill="accent1" w:themeFillTint="66"/>
            <w:vAlign w:val="center"/>
            <w:hideMark/>
          </w:tcPr>
          <w:p w14:paraId="4818C68A" w14:textId="77777777" w:rsidR="002E57C4" w:rsidRPr="00A069A2" w:rsidRDefault="002E57C4" w:rsidP="002355E3">
            <w:pPr>
              <w:pStyle w:val="Body"/>
              <w:ind w:left="238" w:right="291"/>
              <w:rPr>
                <w:sz w:val="20"/>
                <w:szCs w:val="20"/>
              </w:rPr>
            </w:pPr>
            <w:r w:rsidRPr="00A069A2">
              <w:rPr>
                <w:sz w:val="20"/>
                <w:szCs w:val="20"/>
              </w:rPr>
              <w:t>Progress indicators measure how PHNs are implementing their core functions. These indicators therefore focus on the Agents of Change and seek to measure the capability of these agents. Capability reflects the progress made towards the early delivery or implementation of an activity. </w:t>
            </w:r>
          </w:p>
        </w:tc>
        <w:tc>
          <w:tcPr>
            <w:tcW w:w="1961" w:type="pct"/>
            <w:shd w:val="clear" w:color="auto" w:fill="A9B1D0" w:themeFill="accent1" w:themeFillTint="66"/>
            <w:vAlign w:val="center"/>
            <w:hideMark/>
          </w:tcPr>
          <w:p w14:paraId="7985657C" w14:textId="77777777" w:rsidR="002E57C4" w:rsidRPr="00A069A2" w:rsidRDefault="002E57C4" w:rsidP="002355E3">
            <w:pPr>
              <w:pStyle w:val="Body"/>
              <w:ind w:left="284" w:right="177"/>
              <w:rPr>
                <w:sz w:val="20"/>
                <w:szCs w:val="20"/>
              </w:rPr>
            </w:pPr>
            <w:r w:rsidRPr="00A069A2">
              <w:rPr>
                <w:sz w:val="20"/>
                <w:szCs w:val="20"/>
              </w:rPr>
              <w:t>Performance indicators measure what PHNs have achieved as an outcome of their core functions. These indicators therefore focus on the Targets of Change and seek to measure their benefits gained. They seek to measure the differences made and determine whether program objectives have been achieved. </w:t>
            </w:r>
          </w:p>
        </w:tc>
      </w:tr>
      <w:tr w:rsidR="002E57C4" w:rsidRPr="00A069A2" w14:paraId="05092855" w14:textId="77777777" w:rsidTr="00533AC8">
        <w:trPr>
          <w:trHeight w:val="2226"/>
        </w:trPr>
        <w:tc>
          <w:tcPr>
            <w:tcW w:w="1078" w:type="pct"/>
            <w:shd w:val="clear" w:color="auto" w:fill="FFFFFF"/>
            <w:vAlign w:val="center"/>
            <w:hideMark/>
          </w:tcPr>
          <w:p w14:paraId="0C9EE49A" w14:textId="77777777" w:rsidR="002E57C4" w:rsidRPr="00A069A2" w:rsidRDefault="002E57C4">
            <w:pPr>
              <w:pStyle w:val="Body"/>
              <w:ind w:left="127" w:right="97"/>
              <w:rPr>
                <w:b/>
                <w:bCs/>
                <w:sz w:val="20"/>
                <w:szCs w:val="20"/>
              </w:rPr>
            </w:pPr>
            <w:r w:rsidRPr="00A069A2">
              <w:rPr>
                <w:sz w:val="20"/>
                <w:szCs w:val="20"/>
              </w:rPr>
              <w:t>Coordinate</w:t>
            </w:r>
          </w:p>
        </w:tc>
        <w:tc>
          <w:tcPr>
            <w:tcW w:w="1961" w:type="pct"/>
            <w:shd w:val="clear" w:color="auto" w:fill="FFFFFF"/>
            <w:vAlign w:val="center"/>
            <w:hideMark/>
          </w:tcPr>
          <w:p w14:paraId="17822984" w14:textId="63C4119B" w:rsidR="002E57C4" w:rsidRPr="00A069A2" w:rsidRDefault="002E57C4" w:rsidP="002355E3">
            <w:pPr>
              <w:pStyle w:val="Body"/>
              <w:ind w:left="238" w:right="291"/>
              <w:rPr>
                <w:sz w:val="20"/>
                <w:szCs w:val="20"/>
              </w:rPr>
            </w:pPr>
            <w:r w:rsidRPr="00A069A2">
              <w:rPr>
                <w:sz w:val="20"/>
                <w:szCs w:val="20"/>
              </w:rPr>
              <w:t>These indicators assess how PHNs are partnering with stakeholders to deliver joint objectives. They</w:t>
            </w:r>
            <w:r w:rsidR="00093419" w:rsidRPr="00A069A2">
              <w:rPr>
                <w:sz w:val="20"/>
                <w:szCs w:val="20"/>
              </w:rPr>
              <w:t xml:space="preserve"> also</w:t>
            </w:r>
            <w:r w:rsidRPr="00A069A2">
              <w:rPr>
                <w:sz w:val="20"/>
                <w:szCs w:val="20"/>
              </w:rPr>
              <w:t xml:space="preserve"> seek to identify the </w:t>
            </w:r>
            <w:r w:rsidR="008B3959" w:rsidRPr="00A069A2">
              <w:rPr>
                <w:sz w:val="20"/>
                <w:szCs w:val="20"/>
              </w:rPr>
              <w:t>resources</w:t>
            </w:r>
            <w:r w:rsidRPr="00A069A2">
              <w:rPr>
                <w:sz w:val="20"/>
                <w:szCs w:val="20"/>
              </w:rPr>
              <w:t xml:space="preserve"> that PHNs leverage in progressing and enabling the delivery of coordination activities.</w:t>
            </w:r>
          </w:p>
        </w:tc>
        <w:tc>
          <w:tcPr>
            <w:tcW w:w="1961" w:type="pct"/>
            <w:shd w:val="clear" w:color="auto" w:fill="FFFFFF"/>
            <w:vAlign w:val="center"/>
            <w:hideMark/>
          </w:tcPr>
          <w:p w14:paraId="777F6A51" w14:textId="529BF769" w:rsidR="002E57C4" w:rsidRPr="00A069A2" w:rsidRDefault="002E57C4" w:rsidP="002355E3">
            <w:pPr>
              <w:pStyle w:val="Body"/>
              <w:ind w:left="284" w:right="319"/>
              <w:rPr>
                <w:sz w:val="20"/>
                <w:szCs w:val="20"/>
              </w:rPr>
            </w:pPr>
            <w:r w:rsidRPr="00A069A2">
              <w:rPr>
                <w:sz w:val="20"/>
                <w:szCs w:val="20"/>
              </w:rPr>
              <w:t xml:space="preserve">These indicators assess the extent to which integration or coordination of services has been achieved. It seeks to determine the difference that the PHN </w:t>
            </w:r>
            <w:r w:rsidR="00E010F8" w:rsidRPr="00A069A2">
              <w:rPr>
                <w:sz w:val="20"/>
                <w:szCs w:val="20"/>
              </w:rPr>
              <w:t xml:space="preserve">efforts have made in </w:t>
            </w:r>
            <w:r w:rsidR="006A1F9B" w:rsidRPr="00A069A2">
              <w:rPr>
                <w:sz w:val="20"/>
                <w:szCs w:val="20"/>
              </w:rPr>
              <w:t>developing resources and relationships that strengthen</w:t>
            </w:r>
            <w:r w:rsidR="00533AC8" w:rsidRPr="00A069A2">
              <w:rPr>
                <w:sz w:val="20"/>
                <w:szCs w:val="20"/>
              </w:rPr>
              <w:t xml:space="preserve"> the local health care system.</w:t>
            </w:r>
          </w:p>
        </w:tc>
      </w:tr>
      <w:tr w:rsidR="002E57C4" w:rsidRPr="00A069A2" w14:paraId="2C554325" w14:textId="77777777" w:rsidTr="002355E3">
        <w:trPr>
          <w:trHeight w:val="2397"/>
        </w:trPr>
        <w:tc>
          <w:tcPr>
            <w:tcW w:w="1078" w:type="pct"/>
            <w:shd w:val="clear" w:color="auto" w:fill="D4D8E8" w:themeFill="accent1" w:themeFillTint="33"/>
            <w:vAlign w:val="center"/>
            <w:hideMark/>
          </w:tcPr>
          <w:p w14:paraId="4B5D0ADD" w14:textId="77777777" w:rsidR="002E57C4" w:rsidRPr="00A069A2" w:rsidRDefault="002E57C4">
            <w:pPr>
              <w:pStyle w:val="Body"/>
              <w:ind w:left="127" w:right="97"/>
              <w:rPr>
                <w:b/>
                <w:bCs/>
                <w:sz w:val="20"/>
                <w:szCs w:val="20"/>
              </w:rPr>
            </w:pPr>
            <w:r w:rsidRPr="00A069A2">
              <w:rPr>
                <w:sz w:val="20"/>
                <w:szCs w:val="20"/>
              </w:rPr>
              <w:t>Commission</w:t>
            </w:r>
          </w:p>
        </w:tc>
        <w:tc>
          <w:tcPr>
            <w:tcW w:w="1961" w:type="pct"/>
            <w:shd w:val="clear" w:color="auto" w:fill="D4D8E8" w:themeFill="accent1" w:themeFillTint="33"/>
            <w:vAlign w:val="center"/>
            <w:hideMark/>
          </w:tcPr>
          <w:p w14:paraId="1E03E652" w14:textId="19CEBC02" w:rsidR="002E57C4" w:rsidRPr="00A069A2" w:rsidRDefault="002E57C4" w:rsidP="002355E3">
            <w:pPr>
              <w:pStyle w:val="Body"/>
              <w:ind w:left="238" w:right="291"/>
              <w:rPr>
                <w:sz w:val="20"/>
                <w:szCs w:val="20"/>
              </w:rPr>
            </w:pPr>
            <w:r w:rsidRPr="00A069A2">
              <w:rPr>
                <w:sz w:val="20"/>
                <w:szCs w:val="20"/>
              </w:rPr>
              <w:t xml:space="preserve">These indicators assess how PHNs are performing as commissioners of services to address health needs and/or </w:t>
            </w:r>
            <w:r w:rsidRPr="00D007DA">
              <w:rPr>
                <w:sz w:val="20"/>
                <w:szCs w:val="20"/>
              </w:rPr>
              <w:t>gaps. The purpose of this assessment is to determine the quality of commissioning undertaken by PHNs through</w:t>
            </w:r>
            <w:r w:rsidRPr="00A069A2">
              <w:rPr>
                <w:sz w:val="20"/>
                <w:szCs w:val="20"/>
              </w:rPr>
              <w:t xml:space="preserve"> all stages of the commissioning cycle.</w:t>
            </w:r>
          </w:p>
        </w:tc>
        <w:tc>
          <w:tcPr>
            <w:tcW w:w="1961" w:type="pct"/>
            <w:shd w:val="clear" w:color="auto" w:fill="D4D8E8" w:themeFill="accent1" w:themeFillTint="33"/>
            <w:vAlign w:val="center"/>
            <w:hideMark/>
          </w:tcPr>
          <w:p w14:paraId="16A78F77" w14:textId="08EA8A87" w:rsidR="002E57C4" w:rsidRPr="00A069A2" w:rsidRDefault="002E57C4" w:rsidP="002355E3">
            <w:pPr>
              <w:pStyle w:val="Body"/>
              <w:ind w:left="284" w:right="319"/>
              <w:rPr>
                <w:sz w:val="20"/>
                <w:szCs w:val="20"/>
              </w:rPr>
            </w:pPr>
            <w:r w:rsidRPr="00A069A2">
              <w:rPr>
                <w:sz w:val="20"/>
                <w:szCs w:val="20"/>
              </w:rPr>
              <w:t>These indicators assess the extent to which commissioned services are achieving intended outcomes It seeks to determine the difference that the commissioned providers have made for the Targets of Change.</w:t>
            </w:r>
          </w:p>
        </w:tc>
      </w:tr>
      <w:tr w:rsidR="002E57C4" w:rsidRPr="00A069A2" w14:paraId="05E0FEDF" w14:textId="77777777" w:rsidTr="00AD1DA7">
        <w:trPr>
          <w:trHeight w:val="2558"/>
        </w:trPr>
        <w:tc>
          <w:tcPr>
            <w:tcW w:w="1078" w:type="pct"/>
            <w:shd w:val="clear" w:color="auto" w:fill="FFFFFF"/>
            <w:vAlign w:val="center"/>
            <w:hideMark/>
          </w:tcPr>
          <w:p w14:paraId="5DFD9F48" w14:textId="77777777" w:rsidR="002E57C4" w:rsidRPr="00A069A2" w:rsidRDefault="002E57C4">
            <w:pPr>
              <w:pStyle w:val="Body"/>
              <w:ind w:left="127" w:right="97"/>
              <w:rPr>
                <w:b/>
                <w:bCs/>
                <w:sz w:val="20"/>
                <w:szCs w:val="20"/>
              </w:rPr>
            </w:pPr>
            <w:r w:rsidRPr="00A069A2">
              <w:rPr>
                <w:sz w:val="20"/>
                <w:szCs w:val="20"/>
              </w:rPr>
              <w:t>Capacity Build</w:t>
            </w:r>
          </w:p>
        </w:tc>
        <w:tc>
          <w:tcPr>
            <w:tcW w:w="1961" w:type="pct"/>
            <w:shd w:val="clear" w:color="auto" w:fill="FFFFFF"/>
            <w:vAlign w:val="center"/>
            <w:hideMark/>
          </w:tcPr>
          <w:p w14:paraId="235475B8" w14:textId="276C9729" w:rsidR="002E57C4" w:rsidRPr="00A069A2" w:rsidRDefault="002E57C4" w:rsidP="002355E3">
            <w:pPr>
              <w:pStyle w:val="Body"/>
              <w:ind w:left="238" w:right="291"/>
              <w:rPr>
                <w:sz w:val="20"/>
                <w:szCs w:val="20"/>
              </w:rPr>
            </w:pPr>
            <w:r w:rsidRPr="00A069A2">
              <w:rPr>
                <w:sz w:val="20"/>
                <w:szCs w:val="20"/>
              </w:rPr>
              <w:t xml:space="preserve">These indicators assess the capability of PHNs to deliver capacity-building opportunities to their local workforce. The purpose of this is to determine </w:t>
            </w:r>
            <w:r w:rsidR="008643C8" w:rsidRPr="00A069A2">
              <w:rPr>
                <w:sz w:val="20"/>
                <w:szCs w:val="20"/>
              </w:rPr>
              <w:t>how PHNs are engaging the local workforce to</w:t>
            </w:r>
            <w:r w:rsidR="00B2616B" w:rsidRPr="00A069A2">
              <w:rPr>
                <w:sz w:val="20"/>
                <w:szCs w:val="20"/>
              </w:rPr>
              <w:t xml:space="preserve"> prov</w:t>
            </w:r>
            <w:r w:rsidR="00C52D56" w:rsidRPr="00A069A2">
              <w:rPr>
                <w:sz w:val="20"/>
                <w:szCs w:val="20"/>
              </w:rPr>
              <w:t>ide meaningful capacity-building activities.</w:t>
            </w:r>
          </w:p>
        </w:tc>
        <w:tc>
          <w:tcPr>
            <w:tcW w:w="1961" w:type="pct"/>
            <w:shd w:val="clear" w:color="auto" w:fill="FFFFFF"/>
            <w:vAlign w:val="center"/>
            <w:hideMark/>
          </w:tcPr>
          <w:p w14:paraId="7A34EA88" w14:textId="5347F493" w:rsidR="002E57C4" w:rsidRPr="00A069A2" w:rsidRDefault="00DD4551" w:rsidP="002355E3">
            <w:pPr>
              <w:pStyle w:val="Body"/>
              <w:ind w:left="284" w:right="319"/>
              <w:rPr>
                <w:sz w:val="20"/>
                <w:szCs w:val="20"/>
              </w:rPr>
            </w:pPr>
            <w:r w:rsidRPr="00A069A2">
              <w:rPr>
                <w:sz w:val="20"/>
                <w:szCs w:val="20"/>
              </w:rPr>
              <w:t>These indicators assess the level of support provided to the health workforce by the PHNs</w:t>
            </w:r>
            <w:r w:rsidR="002E57C4" w:rsidRPr="00A069A2">
              <w:rPr>
                <w:sz w:val="20"/>
                <w:szCs w:val="20"/>
              </w:rPr>
              <w:t>. Measures therefore seek to quantify changes or improvements in workforce capacity, capability or quality of care as the Targets of Change.</w:t>
            </w:r>
          </w:p>
        </w:tc>
      </w:tr>
    </w:tbl>
    <w:p w14:paraId="35CD08B9" w14:textId="77777777" w:rsidR="00D21A4C" w:rsidRPr="00A069A2" w:rsidRDefault="00D21A4C" w:rsidP="00E016D4">
      <w:pPr>
        <w:pStyle w:val="Body"/>
        <w:sectPr w:rsidR="00D21A4C" w:rsidRPr="00A069A2" w:rsidSect="00EA0865">
          <w:headerReference w:type="even" r:id="rId24"/>
          <w:headerReference w:type="default" r:id="rId25"/>
          <w:footerReference w:type="even" r:id="rId26"/>
          <w:footerReference w:type="default" r:id="rId27"/>
          <w:headerReference w:type="first" r:id="rId28"/>
          <w:footerReference w:type="first" r:id="rId29"/>
          <w:pgSz w:w="11906" w:h="16838"/>
          <w:pgMar w:top="1560" w:right="1440" w:bottom="1276" w:left="1440" w:header="709" w:footer="709" w:gutter="0"/>
          <w:cols w:space="708"/>
          <w:docGrid w:linePitch="360"/>
        </w:sectPr>
      </w:pPr>
    </w:p>
    <w:p w14:paraId="53F0B244" w14:textId="07A0CBD4" w:rsidR="00951A3D" w:rsidRPr="00A069A2" w:rsidRDefault="00E072E8" w:rsidP="0025176E">
      <w:pPr>
        <w:pStyle w:val="Heading2"/>
        <w:numPr>
          <w:ilvl w:val="0"/>
          <w:numId w:val="8"/>
        </w:numPr>
      </w:pPr>
      <w:bookmarkStart w:id="24" w:name="_Toc211333058"/>
      <w:r w:rsidRPr="00A069A2">
        <w:lastRenderedPageBreak/>
        <w:t>F</w:t>
      </w:r>
      <w:r w:rsidR="00271182" w:rsidRPr="00A069A2">
        <w:t>ramework</w:t>
      </w:r>
      <w:r w:rsidRPr="00A069A2">
        <w:t xml:space="preserve"> Application</w:t>
      </w:r>
      <w:bookmarkEnd w:id="24"/>
    </w:p>
    <w:p w14:paraId="43870A44" w14:textId="1182E062" w:rsidR="006742DC" w:rsidRPr="00A069A2" w:rsidRDefault="006742DC" w:rsidP="005A04E2">
      <w:pPr>
        <w:pStyle w:val="Heading3"/>
      </w:pPr>
      <w:bookmarkStart w:id="25" w:name="_Toc211333059"/>
      <w:r w:rsidRPr="00A069A2">
        <w:t xml:space="preserve">4.1 Interpreting </w:t>
      </w:r>
      <w:r w:rsidR="000A4597" w:rsidRPr="00A069A2">
        <w:t>I</w:t>
      </w:r>
      <w:r w:rsidRPr="00A069A2">
        <w:t>ndicators</w:t>
      </w:r>
      <w:bookmarkEnd w:id="25"/>
    </w:p>
    <w:p w14:paraId="45CC5381" w14:textId="42D59945" w:rsidR="005A04E2" w:rsidRPr="00A069A2" w:rsidRDefault="006742DC" w:rsidP="006742DC">
      <w:pPr>
        <w:pStyle w:val="Body"/>
      </w:pPr>
      <w:r w:rsidRPr="00A069A2">
        <w:t xml:space="preserve">Each indicator </w:t>
      </w:r>
      <w:r w:rsidR="008F143A" w:rsidRPr="00A069A2">
        <w:t xml:space="preserve">in this Framework has </w:t>
      </w:r>
      <w:r w:rsidR="00BE706B" w:rsidRPr="00A069A2">
        <w:t xml:space="preserve">a </w:t>
      </w:r>
      <w:r w:rsidR="008F143A" w:rsidRPr="00A069A2">
        <w:t>specification (</w:t>
      </w:r>
      <w:r w:rsidR="00407895" w:rsidRPr="00A069A2">
        <w:t xml:space="preserve">see </w:t>
      </w:r>
      <w:r w:rsidR="008F143A" w:rsidRPr="00A069A2">
        <w:t>Part B)</w:t>
      </w:r>
      <w:r w:rsidR="008866EE" w:rsidRPr="00A069A2">
        <w:t xml:space="preserve"> which details the </w:t>
      </w:r>
      <w:r w:rsidR="00C74792" w:rsidRPr="00A069A2">
        <w:t xml:space="preserve">description, rationale, </w:t>
      </w:r>
      <w:r w:rsidR="00726263" w:rsidRPr="00A069A2">
        <w:t xml:space="preserve">definitions, performance criteria, reporting </w:t>
      </w:r>
      <w:r w:rsidR="00746E2E" w:rsidRPr="00A069A2">
        <w:t>frequency</w:t>
      </w:r>
      <w:r w:rsidR="00726263" w:rsidRPr="00A069A2">
        <w:t>, data sources and calculations</w:t>
      </w:r>
      <w:r w:rsidR="00746E2E" w:rsidRPr="00A069A2">
        <w:t xml:space="preserve"> used</w:t>
      </w:r>
      <w:r w:rsidR="00726263" w:rsidRPr="00A069A2">
        <w:t xml:space="preserve"> to</w:t>
      </w:r>
      <w:r w:rsidR="00746E2E" w:rsidRPr="00A069A2">
        <w:t xml:space="preserve"> assess</w:t>
      </w:r>
      <w:r w:rsidR="003F7327" w:rsidRPr="00A069A2">
        <w:t xml:space="preserve"> individual PHN</w:t>
      </w:r>
      <w:r w:rsidR="00746E2E" w:rsidRPr="00A069A2">
        <w:t xml:space="preserve"> </w:t>
      </w:r>
      <w:r w:rsidR="003F7327" w:rsidRPr="00A069A2">
        <w:t xml:space="preserve">and program </w:t>
      </w:r>
      <w:r w:rsidR="00746E2E" w:rsidRPr="00A069A2">
        <w:t xml:space="preserve">performance. </w:t>
      </w:r>
      <w:r w:rsidR="00EE5F1B" w:rsidRPr="00A069A2">
        <w:t xml:space="preserve">The indicator specification </w:t>
      </w:r>
      <w:r w:rsidR="008D4B97" w:rsidRPr="00A069A2">
        <w:t>standardises</w:t>
      </w:r>
      <w:r w:rsidR="004800CD" w:rsidRPr="00A069A2">
        <w:t xml:space="preserve"> and </w:t>
      </w:r>
      <w:r w:rsidR="008D4B97" w:rsidRPr="00A069A2">
        <w:t>ensures</w:t>
      </w:r>
      <w:r w:rsidR="004800CD" w:rsidRPr="00A069A2">
        <w:t xml:space="preserve"> consistency and comparability</w:t>
      </w:r>
      <w:r w:rsidR="00AC11AC" w:rsidRPr="00A069A2">
        <w:t xml:space="preserve"> between PHNs</w:t>
      </w:r>
      <w:r w:rsidR="00860CC0" w:rsidRPr="00A069A2">
        <w:t>, as well as support</w:t>
      </w:r>
      <w:r w:rsidR="00A76465" w:rsidRPr="00A069A2">
        <w:t>ing</w:t>
      </w:r>
      <w:r w:rsidR="00860CC0" w:rsidRPr="00A069A2">
        <w:t xml:space="preserve"> data quality and accuracy.</w:t>
      </w:r>
    </w:p>
    <w:p w14:paraId="48105FF0" w14:textId="294E9964" w:rsidR="00EA2F8E" w:rsidRPr="00A069A2" w:rsidRDefault="00EA2F8E" w:rsidP="006742DC">
      <w:pPr>
        <w:pStyle w:val="Body"/>
      </w:pPr>
      <w:r w:rsidRPr="00A069A2">
        <w:t>PHNs and stakeholders should refer</w:t>
      </w:r>
      <w:r w:rsidR="004448AD" w:rsidRPr="00A069A2">
        <w:t xml:space="preserve"> to</w:t>
      </w:r>
      <w:r w:rsidRPr="00A069A2">
        <w:t xml:space="preserve"> these indicator specifications to understand what is being</w:t>
      </w:r>
      <w:r w:rsidR="00AE676F" w:rsidRPr="00A069A2">
        <w:t xml:space="preserve"> measured and how, including the </w:t>
      </w:r>
      <w:r w:rsidR="003E3EB2" w:rsidRPr="00A069A2">
        <w:t>identified</w:t>
      </w:r>
      <w:r w:rsidR="00AE676F" w:rsidRPr="00A069A2">
        <w:t xml:space="preserve"> limitations </w:t>
      </w:r>
      <w:r w:rsidR="003E3EB2" w:rsidRPr="00A069A2">
        <w:t>of the indicator</w:t>
      </w:r>
      <w:r w:rsidR="00AE676F" w:rsidRPr="00A069A2">
        <w:t>.</w:t>
      </w:r>
    </w:p>
    <w:p w14:paraId="49DF3CD4" w14:textId="30746632" w:rsidR="0041014C" w:rsidRPr="00A069A2" w:rsidRDefault="0041014C" w:rsidP="006742DC">
      <w:pPr>
        <w:pStyle w:val="Body"/>
      </w:pPr>
      <w:r w:rsidRPr="00A069A2">
        <w:t>In addition, it is expected that the indicators provide an elementary view</w:t>
      </w:r>
      <w:r w:rsidR="00B36A5F" w:rsidRPr="00A069A2">
        <w:t xml:space="preserve"> of PHN performance, and that nuance and local context may influence </w:t>
      </w:r>
      <w:r w:rsidR="00AE3418" w:rsidRPr="00A069A2">
        <w:t>their interpretation</w:t>
      </w:r>
      <w:r w:rsidR="00B36A5F" w:rsidRPr="00A069A2">
        <w:t xml:space="preserve">. </w:t>
      </w:r>
    </w:p>
    <w:p w14:paraId="5ECE1B64" w14:textId="77777777" w:rsidR="005A04E2" w:rsidRPr="00A069A2" w:rsidRDefault="005A04E2" w:rsidP="006742DC">
      <w:pPr>
        <w:pStyle w:val="Body"/>
      </w:pPr>
    </w:p>
    <w:p w14:paraId="5209390A" w14:textId="74DBC326" w:rsidR="000E2D63" w:rsidRPr="00A069A2" w:rsidRDefault="000E2D63" w:rsidP="000E2D63">
      <w:pPr>
        <w:pStyle w:val="Heading3"/>
      </w:pPr>
      <w:bookmarkStart w:id="26" w:name="_Toc211333060"/>
      <w:r w:rsidRPr="00A069A2">
        <w:t>4.2 Indicator Summary</w:t>
      </w:r>
      <w:bookmarkEnd w:id="26"/>
    </w:p>
    <w:p w14:paraId="33A744D2" w14:textId="0837DBD3" w:rsidR="000E2D63" w:rsidRPr="00A069A2" w:rsidRDefault="004A03CE" w:rsidP="000E2D63">
      <w:r w:rsidRPr="00A069A2">
        <w:t xml:space="preserve">The Framework contains </w:t>
      </w:r>
      <w:r w:rsidR="008D7545" w:rsidRPr="00A069A2">
        <w:t>2</w:t>
      </w:r>
      <w:r w:rsidR="0074118A">
        <w:t>7</w:t>
      </w:r>
      <w:r w:rsidR="008D7545" w:rsidRPr="00A069A2">
        <w:t xml:space="preserve"> indicators</w:t>
      </w:r>
      <w:r w:rsidR="009F5C4C" w:rsidRPr="00A069A2">
        <w:t xml:space="preserve"> in total</w:t>
      </w:r>
      <w:r w:rsidR="00226AF0" w:rsidRPr="00A069A2">
        <w:t xml:space="preserve">. </w:t>
      </w:r>
      <w:r w:rsidR="001E7F37" w:rsidRPr="00A069A2">
        <w:t>Across these indicators PHNs will be re</w:t>
      </w:r>
      <w:r w:rsidR="000870F5" w:rsidRPr="00A069A2">
        <w:t xml:space="preserve">quired to provide information against </w:t>
      </w:r>
      <w:r w:rsidR="003522AE" w:rsidRPr="00A069A2">
        <w:t>most indicators, with others being sourced and reported by the Department directly</w:t>
      </w:r>
      <w:r w:rsidR="003703DF" w:rsidRPr="00A069A2">
        <w:t>. R</w:t>
      </w:r>
      <w:r w:rsidR="001763B2" w:rsidRPr="00A069A2">
        <w:t xml:space="preserve">efer to Data Source </w:t>
      </w:r>
      <w:r w:rsidR="008D2612" w:rsidRPr="00A069A2">
        <w:t>within the indicator specifications in Part B for</w:t>
      </w:r>
      <w:r w:rsidR="003703DF" w:rsidRPr="00A069A2">
        <w:t xml:space="preserve"> details.</w:t>
      </w:r>
    </w:p>
    <w:p w14:paraId="75FEA1BC" w14:textId="52BA3A4E" w:rsidR="00A12436" w:rsidRPr="00A069A2" w:rsidRDefault="00A12436" w:rsidP="00A12436">
      <w:pPr>
        <w:pStyle w:val="Caption"/>
        <w:keepNext/>
      </w:pPr>
      <w:bookmarkStart w:id="27" w:name="_Toc207613138"/>
      <w:r w:rsidRPr="00A069A2">
        <w:t xml:space="preserve">Table </w:t>
      </w:r>
      <w:r w:rsidRPr="00A069A2">
        <w:fldChar w:fldCharType="begin"/>
      </w:r>
      <w:r w:rsidRPr="00A069A2">
        <w:instrText xml:space="preserve"> SEQ Table \* ARABIC </w:instrText>
      </w:r>
      <w:r w:rsidRPr="00A069A2">
        <w:fldChar w:fldCharType="separate"/>
      </w:r>
      <w:r w:rsidR="005A59B5">
        <w:rPr>
          <w:noProof/>
        </w:rPr>
        <w:t>9</w:t>
      </w:r>
      <w:r w:rsidRPr="00A069A2">
        <w:fldChar w:fldCharType="end"/>
      </w:r>
      <w:r w:rsidRPr="00A069A2">
        <w:t>. Number of indicators by Program Dimensions</w:t>
      </w:r>
      <w:bookmarkEnd w:id="27"/>
    </w:p>
    <w:tbl>
      <w:tblPr>
        <w:tblStyle w:val="TableGrid"/>
        <w:tblW w:w="0" w:type="auto"/>
        <w:jc w:val="center"/>
        <w:tblLook w:val="04A0" w:firstRow="1" w:lastRow="0" w:firstColumn="1" w:lastColumn="0" w:noHBand="0" w:noVBand="1"/>
        <w:tblCaption w:val="Table showing the number of indicators by each of the 4 Program Dimensions."/>
      </w:tblPr>
      <w:tblGrid>
        <w:gridCol w:w="3252"/>
        <w:gridCol w:w="3253"/>
      </w:tblGrid>
      <w:tr w:rsidR="00072BC6" w:rsidRPr="00A069A2" w14:paraId="2B69652B" w14:textId="77777777" w:rsidTr="00A06E11">
        <w:trPr>
          <w:tblHeader/>
          <w:jc w:val="center"/>
        </w:trPr>
        <w:tc>
          <w:tcPr>
            <w:tcW w:w="3252" w:type="dxa"/>
            <w:shd w:val="clear" w:color="auto" w:fill="3F4A75" w:themeFill="accent1"/>
          </w:tcPr>
          <w:p w14:paraId="746D3C42" w14:textId="611039BD" w:rsidR="00072BC6" w:rsidRPr="00A069A2" w:rsidRDefault="00D11267" w:rsidP="00FA4935">
            <w:pPr>
              <w:pStyle w:val="Body"/>
              <w:jc w:val="center"/>
              <w:rPr>
                <w:color w:val="FFFFFF" w:themeColor="background1"/>
              </w:rPr>
            </w:pPr>
            <w:r w:rsidRPr="00A069A2">
              <w:rPr>
                <w:color w:val="FFFFFF" w:themeColor="background1"/>
              </w:rPr>
              <w:t>Program Dimension</w:t>
            </w:r>
          </w:p>
        </w:tc>
        <w:tc>
          <w:tcPr>
            <w:tcW w:w="3253" w:type="dxa"/>
            <w:shd w:val="clear" w:color="auto" w:fill="3F4A75" w:themeFill="accent1"/>
          </w:tcPr>
          <w:p w14:paraId="1DADB0EE" w14:textId="6DB0EBFB" w:rsidR="00072BC6" w:rsidRPr="00A069A2" w:rsidRDefault="00A12436" w:rsidP="00FA4935">
            <w:pPr>
              <w:pStyle w:val="Body"/>
              <w:jc w:val="center"/>
              <w:rPr>
                <w:color w:val="FFFFFF" w:themeColor="background1"/>
              </w:rPr>
            </w:pPr>
            <w:r w:rsidRPr="00A069A2">
              <w:rPr>
                <w:color w:val="FFFFFF" w:themeColor="background1"/>
              </w:rPr>
              <w:t xml:space="preserve">Number </w:t>
            </w:r>
            <w:r w:rsidR="00D11267" w:rsidRPr="00A069A2">
              <w:rPr>
                <w:color w:val="FFFFFF" w:themeColor="background1"/>
              </w:rPr>
              <w:t>of Indicators</w:t>
            </w:r>
          </w:p>
        </w:tc>
      </w:tr>
      <w:tr w:rsidR="00743E9A" w:rsidRPr="00A069A2" w14:paraId="563DB0AF" w14:textId="77777777" w:rsidTr="002D1B7B">
        <w:trPr>
          <w:jc w:val="center"/>
        </w:trPr>
        <w:tc>
          <w:tcPr>
            <w:tcW w:w="3252" w:type="dxa"/>
          </w:tcPr>
          <w:p w14:paraId="70577D56" w14:textId="57709491" w:rsidR="00743E9A" w:rsidRPr="00A069A2" w:rsidRDefault="00743E9A" w:rsidP="00743E9A">
            <w:pPr>
              <w:pStyle w:val="Body"/>
            </w:pPr>
            <w:r w:rsidRPr="00A069A2">
              <w:t xml:space="preserve">Compliance </w:t>
            </w:r>
          </w:p>
        </w:tc>
        <w:tc>
          <w:tcPr>
            <w:tcW w:w="3253" w:type="dxa"/>
            <w:vAlign w:val="center"/>
          </w:tcPr>
          <w:p w14:paraId="67703211" w14:textId="15005FA3" w:rsidR="00743E9A" w:rsidRPr="00A069A2" w:rsidRDefault="00743E9A" w:rsidP="004653C3">
            <w:pPr>
              <w:pStyle w:val="Body"/>
              <w:jc w:val="center"/>
            </w:pPr>
            <w:r w:rsidRPr="00A069A2">
              <w:t>8 indicators</w:t>
            </w:r>
          </w:p>
        </w:tc>
      </w:tr>
      <w:tr w:rsidR="00E12E91" w:rsidRPr="00A069A2" w14:paraId="17E6FC6E" w14:textId="77777777" w:rsidTr="002D1B7B">
        <w:trPr>
          <w:jc w:val="center"/>
        </w:trPr>
        <w:tc>
          <w:tcPr>
            <w:tcW w:w="3252" w:type="dxa"/>
          </w:tcPr>
          <w:p w14:paraId="53ECC946" w14:textId="596268DA" w:rsidR="00E12E91" w:rsidRPr="00A069A2" w:rsidRDefault="00E12E91" w:rsidP="00743E9A">
            <w:pPr>
              <w:pStyle w:val="Body"/>
            </w:pPr>
            <w:r w:rsidRPr="00A069A2">
              <w:t>Progress</w:t>
            </w:r>
            <w:r w:rsidR="00200E2B" w:rsidRPr="00A069A2">
              <w:rPr>
                <w:rStyle w:val="FootnoteReference"/>
              </w:rPr>
              <w:footnoteReference w:id="3"/>
            </w:r>
          </w:p>
        </w:tc>
        <w:tc>
          <w:tcPr>
            <w:tcW w:w="3253" w:type="dxa"/>
            <w:vAlign w:val="center"/>
          </w:tcPr>
          <w:p w14:paraId="3DF26A5B" w14:textId="54D6AEB9" w:rsidR="00E12E91" w:rsidRPr="00A069A2" w:rsidRDefault="00D8141E" w:rsidP="00B84A1E">
            <w:pPr>
              <w:pStyle w:val="Body"/>
              <w:jc w:val="center"/>
            </w:pPr>
            <w:r>
              <w:t>6</w:t>
            </w:r>
            <w:r w:rsidR="00B84A1E" w:rsidRPr="00A069A2">
              <w:t xml:space="preserve"> indicators</w:t>
            </w:r>
          </w:p>
        </w:tc>
      </w:tr>
      <w:tr w:rsidR="00E12E91" w:rsidRPr="00A069A2" w14:paraId="19486F43" w14:textId="77777777" w:rsidTr="002D1B7B">
        <w:trPr>
          <w:jc w:val="center"/>
        </w:trPr>
        <w:tc>
          <w:tcPr>
            <w:tcW w:w="3252" w:type="dxa"/>
          </w:tcPr>
          <w:p w14:paraId="71327CE2" w14:textId="0B2A6D3E" w:rsidR="00E12E91" w:rsidRPr="00A069A2" w:rsidRDefault="00E12E91" w:rsidP="00743E9A">
            <w:pPr>
              <w:pStyle w:val="Body"/>
            </w:pPr>
            <w:r w:rsidRPr="00A069A2">
              <w:t>Performance</w:t>
            </w:r>
          </w:p>
        </w:tc>
        <w:tc>
          <w:tcPr>
            <w:tcW w:w="3253" w:type="dxa"/>
            <w:vAlign w:val="center"/>
          </w:tcPr>
          <w:p w14:paraId="38EDE3C9" w14:textId="06C0C01B" w:rsidR="00E12E91" w:rsidRPr="00A069A2" w:rsidRDefault="00AF5DD8" w:rsidP="00AF5DD8">
            <w:pPr>
              <w:pStyle w:val="Body"/>
              <w:jc w:val="center"/>
            </w:pPr>
            <w:r w:rsidRPr="00A069A2">
              <w:t>12 indicators</w:t>
            </w:r>
          </w:p>
        </w:tc>
      </w:tr>
      <w:tr w:rsidR="00072BC6" w:rsidRPr="00A069A2" w14:paraId="5E1DD0B0" w14:textId="5C8DEA31" w:rsidTr="002D1B7B">
        <w:trPr>
          <w:jc w:val="center"/>
        </w:trPr>
        <w:tc>
          <w:tcPr>
            <w:tcW w:w="3252" w:type="dxa"/>
          </w:tcPr>
          <w:p w14:paraId="0BA54391" w14:textId="6806096B" w:rsidR="00072BC6" w:rsidRPr="00A069A2" w:rsidRDefault="00072BC6" w:rsidP="00884E67">
            <w:pPr>
              <w:pStyle w:val="Body"/>
            </w:pPr>
            <w:r w:rsidRPr="00A069A2">
              <w:t xml:space="preserve">Impact </w:t>
            </w:r>
          </w:p>
        </w:tc>
        <w:tc>
          <w:tcPr>
            <w:tcW w:w="3253" w:type="dxa"/>
            <w:vAlign w:val="center"/>
          </w:tcPr>
          <w:p w14:paraId="4B5E3703" w14:textId="175D79BD" w:rsidR="00072BC6" w:rsidRPr="00A069A2" w:rsidRDefault="00D11267" w:rsidP="004653C3">
            <w:pPr>
              <w:pStyle w:val="Body"/>
              <w:jc w:val="center"/>
            </w:pPr>
            <w:r w:rsidRPr="00A069A2">
              <w:t>3 indicators</w:t>
            </w:r>
          </w:p>
        </w:tc>
      </w:tr>
    </w:tbl>
    <w:p w14:paraId="746F7889" w14:textId="77777777" w:rsidR="002C5E5B" w:rsidRPr="00A069A2" w:rsidRDefault="002C5E5B" w:rsidP="002C5E5B">
      <w:pPr>
        <w:pStyle w:val="Body"/>
        <w:ind w:left="720"/>
      </w:pPr>
    </w:p>
    <w:p w14:paraId="0395F91E" w14:textId="25F0619C" w:rsidR="00A12436" w:rsidRPr="00A069A2" w:rsidRDefault="00A12436" w:rsidP="00A12436">
      <w:pPr>
        <w:pStyle w:val="Caption"/>
        <w:keepNext/>
      </w:pPr>
      <w:bookmarkStart w:id="28" w:name="_Toc207613139"/>
      <w:r w:rsidRPr="00A069A2">
        <w:t xml:space="preserve">Table </w:t>
      </w:r>
      <w:r w:rsidRPr="00A069A2">
        <w:fldChar w:fldCharType="begin"/>
      </w:r>
      <w:r w:rsidRPr="00A069A2">
        <w:instrText xml:space="preserve"> SEQ Table \* ARABIC </w:instrText>
      </w:r>
      <w:r w:rsidRPr="00A069A2">
        <w:fldChar w:fldCharType="separate"/>
      </w:r>
      <w:r w:rsidR="005A59B5">
        <w:rPr>
          <w:noProof/>
        </w:rPr>
        <w:t>10</w:t>
      </w:r>
      <w:r w:rsidRPr="00A069A2">
        <w:fldChar w:fldCharType="end"/>
      </w:r>
      <w:r w:rsidRPr="00A069A2">
        <w:t>. Number of indicators by Core Function</w:t>
      </w:r>
      <w:bookmarkEnd w:id="28"/>
    </w:p>
    <w:tbl>
      <w:tblPr>
        <w:tblStyle w:val="TableGrid"/>
        <w:tblW w:w="0" w:type="auto"/>
        <w:jc w:val="center"/>
        <w:tblLook w:val="04A0" w:firstRow="1" w:lastRow="0" w:firstColumn="1" w:lastColumn="0" w:noHBand="0" w:noVBand="1"/>
        <w:tblCaption w:val="Table showing the number of indicators by each of the 3 Core Functions."/>
      </w:tblPr>
      <w:tblGrid>
        <w:gridCol w:w="3252"/>
        <w:gridCol w:w="3253"/>
      </w:tblGrid>
      <w:tr w:rsidR="00E12E91" w:rsidRPr="00A069A2" w14:paraId="6EE1088A" w14:textId="77777777" w:rsidTr="00A06E11">
        <w:trPr>
          <w:tblHeader/>
          <w:jc w:val="center"/>
        </w:trPr>
        <w:tc>
          <w:tcPr>
            <w:tcW w:w="3252" w:type="dxa"/>
            <w:shd w:val="clear" w:color="auto" w:fill="3F4A75" w:themeFill="accent1"/>
          </w:tcPr>
          <w:p w14:paraId="3CE28A5D" w14:textId="6E6FDB28" w:rsidR="00E12E91" w:rsidRPr="00A069A2" w:rsidRDefault="00FA4935" w:rsidP="00FA4935">
            <w:pPr>
              <w:pStyle w:val="Body"/>
              <w:jc w:val="center"/>
              <w:rPr>
                <w:color w:val="FFFFFF" w:themeColor="background1"/>
              </w:rPr>
            </w:pPr>
            <w:r w:rsidRPr="00A069A2">
              <w:rPr>
                <w:color w:val="FFFFFF" w:themeColor="background1"/>
              </w:rPr>
              <w:t>Core Function</w:t>
            </w:r>
          </w:p>
        </w:tc>
        <w:tc>
          <w:tcPr>
            <w:tcW w:w="3253" w:type="dxa"/>
            <w:shd w:val="clear" w:color="auto" w:fill="3F4A75" w:themeFill="accent1"/>
          </w:tcPr>
          <w:p w14:paraId="59E2DA64" w14:textId="4F7F959A" w:rsidR="00E12E91" w:rsidRPr="00A069A2" w:rsidRDefault="00A12436" w:rsidP="00FA4935">
            <w:pPr>
              <w:pStyle w:val="Body"/>
              <w:jc w:val="center"/>
              <w:rPr>
                <w:color w:val="FFFFFF" w:themeColor="background1"/>
              </w:rPr>
            </w:pPr>
            <w:r w:rsidRPr="00A069A2">
              <w:rPr>
                <w:color w:val="FFFFFF" w:themeColor="background1"/>
              </w:rPr>
              <w:t xml:space="preserve">Number </w:t>
            </w:r>
            <w:r w:rsidR="00E12E91" w:rsidRPr="00A069A2">
              <w:rPr>
                <w:color w:val="FFFFFF" w:themeColor="background1"/>
              </w:rPr>
              <w:t>of Indicators</w:t>
            </w:r>
          </w:p>
        </w:tc>
      </w:tr>
      <w:tr w:rsidR="006F15AD" w:rsidRPr="00A069A2" w14:paraId="1FF53345" w14:textId="77777777" w:rsidTr="00A5754D">
        <w:trPr>
          <w:jc w:val="center"/>
        </w:trPr>
        <w:tc>
          <w:tcPr>
            <w:tcW w:w="3252" w:type="dxa"/>
          </w:tcPr>
          <w:p w14:paraId="18DCA5EB" w14:textId="1E0F9DFF" w:rsidR="006F15AD" w:rsidRPr="00A069A2" w:rsidRDefault="006F15AD" w:rsidP="006F15AD">
            <w:pPr>
              <w:pStyle w:val="Body"/>
            </w:pPr>
            <w:r w:rsidRPr="00A069A2">
              <w:t>Coordinate</w:t>
            </w:r>
          </w:p>
        </w:tc>
        <w:tc>
          <w:tcPr>
            <w:tcW w:w="3253" w:type="dxa"/>
            <w:vAlign w:val="center"/>
          </w:tcPr>
          <w:p w14:paraId="63D5E669" w14:textId="54319AC3" w:rsidR="006F15AD" w:rsidRPr="00A069A2" w:rsidRDefault="006F15AD" w:rsidP="004653C3">
            <w:pPr>
              <w:pStyle w:val="Body"/>
              <w:jc w:val="center"/>
            </w:pPr>
            <w:r w:rsidRPr="00A069A2">
              <w:t>3 indicators</w:t>
            </w:r>
          </w:p>
        </w:tc>
      </w:tr>
      <w:tr w:rsidR="006F15AD" w:rsidRPr="00A069A2" w14:paraId="3E8F9462" w14:textId="77777777" w:rsidTr="00A5754D">
        <w:trPr>
          <w:jc w:val="center"/>
        </w:trPr>
        <w:tc>
          <w:tcPr>
            <w:tcW w:w="3252" w:type="dxa"/>
          </w:tcPr>
          <w:p w14:paraId="615BA0AF" w14:textId="13B0149E" w:rsidR="006F15AD" w:rsidRPr="00A069A2" w:rsidRDefault="006F15AD" w:rsidP="006F15AD">
            <w:pPr>
              <w:pStyle w:val="Body"/>
            </w:pPr>
            <w:r w:rsidRPr="00A069A2">
              <w:t>Commission</w:t>
            </w:r>
          </w:p>
        </w:tc>
        <w:tc>
          <w:tcPr>
            <w:tcW w:w="3253" w:type="dxa"/>
            <w:vAlign w:val="center"/>
          </w:tcPr>
          <w:p w14:paraId="133049E5" w14:textId="3342B37E" w:rsidR="006F15AD" w:rsidRPr="00A069A2" w:rsidRDefault="006F15AD" w:rsidP="004653C3">
            <w:pPr>
              <w:pStyle w:val="Body"/>
              <w:jc w:val="center"/>
            </w:pPr>
            <w:r w:rsidRPr="00A069A2">
              <w:t>7 Indicators</w:t>
            </w:r>
          </w:p>
        </w:tc>
      </w:tr>
      <w:tr w:rsidR="006F15AD" w:rsidRPr="00A069A2" w14:paraId="44C63B2A" w14:textId="77777777" w:rsidTr="00A5754D">
        <w:trPr>
          <w:jc w:val="center"/>
        </w:trPr>
        <w:tc>
          <w:tcPr>
            <w:tcW w:w="3252" w:type="dxa"/>
          </w:tcPr>
          <w:p w14:paraId="6496184D" w14:textId="0E0AFB9E" w:rsidR="006F15AD" w:rsidRPr="00A069A2" w:rsidRDefault="006F15AD" w:rsidP="006F15AD">
            <w:pPr>
              <w:pStyle w:val="Body"/>
            </w:pPr>
            <w:r w:rsidRPr="00A069A2">
              <w:t>Capacity build</w:t>
            </w:r>
          </w:p>
        </w:tc>
        <w:tc>
          <w:tcPr>
            <w:tcW w:w="3253" w:type="dxa"/>
            <w:vAlign w:val="center"/>
          </w:tcPr>
          <w:p w14:paraId="6D2F25B3" w14:textId="08914C27" w:rsidR="006F15AD" w:rsidRPr="00A069A2" w:rsidRDefault="00D8141E" w:rsidP="004653C3">
            <w:pPr>
              <w:pStyle w:val="Body"/>
              <w:jc w:val="center"/>
            </w:pPr>
            <w:r>
              <w:t>6</w:t>
            </w:r>
            <w:r w:rsidR="006F15AD" w:rsidRPr="00A069A2">
              <w:t xml:space="preserve"> indicators</w:t>
            </w:r>
          </w:p>
        </w:tc>
      </w:tr>
    </w:tbl>
    <w:p w14:paraId="1C27EEB8" w14:textId="6D3BC01A" w:rsidR="00E71136" w:rsidRDefault="00E71136" w:rsidP="00E71136">
      <w:pPr>
        <w:pStyle w:val="Caption"/>
        <w:keepNext/>
      </w:pPr>
      <w:bookmarkStart w:id="29" w:name="_Toc207613140"/>
      <w:r>
        <w:lastRenderedPageBreak/>
        <w:t xml:space="preserve">Table </w:t>
      </w:r>
      <w:r>
        <w:fldChar w:fldCharType="begin"/>
      </w:r>
      <w:r>
        <w:instrText xml:space="preserve"> SEQ Table \* ARABIC </w:instrText>
      </w:r>
      <w:r>
        <w:fldChar w:fldCharType="separate"/>
      </w:r>
      <w:r w:rsidR="005A59B5">
        <w:rPr>
          <w:noProof/>
        </w:rPr>
        <w:t>11</w:t>
      </w:r>
      <w:r>
        <w:fldChar w:fldCharType="end"/>
      </w:r>
      <w:r>
        <w:t>. Framework components and the corresponding indicators</w:t>
      </w:r>
      <w:bookmarkEnd w:id="29"/>
    </w:p>
    <w:tbl>
      <w:tblPr>
        <w:tblStyle w:val="TableGrid"/>
        <w:tblW w:w="0" w:type="auto"/>
        <w:tblLook w:val="04A0" w:firstRow="1" w:lastRow="0" w:firstColumn="1" w:lastColumn="0" w:noHBand="0" w:noVBand="1"/>
        <w:tblCaption w:val="Table showing the each framework components and the corresponding indicators with ID codes."/>
      </w:tblPr>
      <w:tblGrid>
        <w:gridCol w:w="1980"/>
        <w:gridCol w:w="7036"/>
      </w:tblGrid>
      <w:tr w:rsidR="003F769B" w:rsidRPr="004062F4" w14:paraId="2106DD64" w14:textId="77777777" w:rsidTr="00A06E11">
        <w:trPr>
          <w:tblHeader/>
        </w:trPr>
        <w:tc>
          <w:tcPr>
            <w:tcW w:w="1980" w:type="dxa"/>
            <w:shd w:val="clear" w:color="auto" w:fill="3F4A75" w:themeFill="text2"/>
          </w:tcPr>
          <w:p w14:paraId="425B9D13" w14:textId="54C1832B" w:rsidR="003F769B" w:rsidRPr="003F769B" w:rsidRDefault="003F769B" w:rsidP="00F014D7">
            <w:pPr>
              <w:rPr>
                <w:color w:val="FFFFFF" w:themeColor="background1"/>
              </w:rPr>
            </w:pPr>
            <w:r w:rsidRPr="003F769B">
              <w:rPr>
                <w:color w:val="FFFFFF" w:themeColor="background1"/>
              </w:rPr>
              <w:t xml:space="preserve">Framework </w:t>
            </w:r>
            <w:r w:rsidR="00E71136">
              <w:rPr>
                <w:color w:val="FFFFFF" w:themeColor="background1"/>
              </w:rPr>
              <w:t>Component</w:t>
            </w:r>
          </w:p>
        </w:tc>
        <w:tc>
          <w:tcPr>
            <w:tcW w:w="7036" w:type="dxa"/>
            <w:shd w:val="clear" w:color="auto" w:fill="3F4A75" w:themeFill="text2"/>
            <w:vAlign w:val="center"/>
          </w:tcPr>
          <w:p w14:paraId="4FA5A70F" w14:textId="7E2E2EAE" w:rsidR="003F769B" w:rsidRPr="003F769B" w:rsidRDefault="003F769B" w:rsidP="005C1693">
            <w:pPr>
              <w:spacing w:before="0" w:after="0" w:line="240" w:lineRule="auto"/>
              <w:ind w:left="23"/>
              <w:jc w:val="center"/>
              <w:rPr>
                <w:color w:val="FFFFFF" w:themeColor="background1"/>
              </w:rPr>
            </w:pPr>
            <w:r w:rsidRPr="003F769B">
              <w:rPr>
                <w:color w:val="FFFFFF" w:themeColor="background1"/>
              </w:rPr>
              <w:t>Indicator ID and Title</w:t>
            </w:r>
          </w:p>
        </w:tc>
      </w:tr>
      <w:tr w:rsidR="004062F4" w:rsidRPr="004062F4" w14:paraId="547B8B7E" w14:textId="030110D3" w:rsidTr="003F769B">
        <w:tc>
          <w:tcPr>
            <w:tcW w:w="1980" w:type="dxa"/>
          </w:tcPr>
          <w:p w14:paraId="16ABB641" w14:textId="77777777" w:rsidR="004062F4" w:rsidRPr="004062F4" w:rsidRDefault="004062F4" w:rsidP="00F014D7">
            <w:r w:rsidRPr="004062F4">
              <w:t>Coordinate Indicators</w:t>
            </w:r>
            <w:r w:rsidRPr="004062F4">
              <w:tab/>
            </w:r>
          </w:p>
        </w:tc>
        <w:tc>
          <w:tcPr>
            <w:tcW w:w="7036" w:type="dxa"/>
          </w:tcPr>
          <w:p w14:paraId="403D1BB7" w14:textId="33A8F311" w:rsidR="004062F4" w:rsidRPr="004062F4" w:rsidRDefault="004062F4" w:rsidP="003F769B">
            <w:pPr>
              <w:pStyle w:val="ListParagraph"/>
              <w:numPr>
                <w:ilvl w:val="0"/>
                <w:numId w:val="21"/>
              </w:numPr>
              <w:ind w:left="464"/>
            </w:pPr>
            <w:r w:rsidRPr="004062F4">
              <w:t>CO-01: Partnerships for system coordination or integration</w:t>
            </w:r>
            <w:r w:rsidRPr="004062F4">
              <w:tab/>
            </w:r>
          </w:p>
          <w:p w14:paraId="2C7647D1" w14:textId="77777777" w:rsidR="004062F4" w:rsidRDefault="004062F4" w:rsidP="003F769B">
            <w:pPr>
              <w:pStyle w:val="ListParagraph"/>
              <w:numPr>
                <w:ilvl w:val="0"/>
                <w:numId w:val="21"/>
              </w:numPr>
              <w:ind w:left="464"/>
            </w:pPr>
            <w:r w:rsidRPr="004062F4">
              <w:t>CO-02: Referral pathways</w:t>
            </w:r>
            <w:r w:rsidRPr="004062F4">
              <w:tab/>
            </w:r>
          </w:p>
          <w:p w14:paraId="5AEF1CF6" w14:textId="06D4C665" w:rsidR="004062F4" w:rsidRPr="004062F4" w:rsidRDefault="004062F4" w:rsidP="003F769B">
            <w:pPr>
              <w:pStyle w:val="ListParagraph"/>
              <w:numPr>
                <w:ilvl w:val="0"/>
                <w:numId w:val="21"/>
              </w:numPr>
              <w:ind w:left="464"/>
            </w:pPr>
            <w:r w:rsidRPr="004062F4">
              <w:t>CO-03. Partnership experience measure</w:t>
            </w:r>
          </w:p>
        </w:tc>
      </w:tr>
      <w:tr w:rsidR="004062F4" w:rsidRPr="004062F4" w14:paraId="470F1398" w14:textId="687B9C9E" w:rsidTr="00F05EDC">
        <w:tc>
          <w:tcPr>
            <w:tcW w:w="1980" w:type="dxa"/>
          </w:tcPr>
          <w:p w14:paraId="10CA96FD" w14:textId="4B8E44C6" w:rsidR="004062F4" w:rsidRPr="004062F4" w:rsidRDefault="004062F4" w:rsidP="004062F4">
            <w:r w:rsidRPr="004062F4">
              <w:t>Capacity-Build Indicators</w:t>
            </w:r>
            <w:r w:rsidRPr="004062F4">
              <w:tab/>
            </w:r>
          </w:p>
        </w:tc>
        <w:tc>
          <w:tcPr>
            <w:tcW w:w="7036" w:type="dxa"/>
          </w:tcPr>
          <w:p w14:paraId="4AA9B39D" w14:textId="25033A54" w:rsidR="004062F4" w:rsidRPr="004062F4" w:rsidRDefault="004062F4" w:rsidP="003F769B">
            <w:pPr>
              <w:pStyle w:val="ListParagraph"/>
              <w:numPr>
                <w:ilvl w:val="0"/>
                <w:numId w:val="22"/>
              </w:numPr>
              <w:ind w:left="464"/>
            </w:pPr>
            <w:r w:rsidRPr="004062F4">
              <w:t>CB-01. Significant interactions with primary health care provider</w:t>
            </w:r>
            <w:r w:rsidR="003F769B">
              <w:t>s</w:t>
            </w:r>
          </w:p>
          <w:p w14:paraId="6B5C6F24" w14:textId="7F5BFBB8" w:rsidR="004062F4" w:rsidRPr="004062F4" w:rsidRDefault="004062F4" w:rsidP="003F769B">
            <w:pPr>
              <w:pStyle w:val="ListParagraph"/>
              <w:numPr>
                <w:ilvl w:val="0"/>
                <w:numId w:val="22"/>
              </w:numPr>
              <w:ind w:left="464"/>
            </w:pPr>
            <w:r w:rsidRPr="004062F4">
              <w:t>CB-02. Proportion of general practice demonstrating improvements following continuous quality improvement activities</w:t>
            </w:r>
          </w:p>
          <w:p w14:paraId="5420A180" w14:textId="1B117DE9" w:rsidR="004062F4" w:rsidRPr="004062F4" w:rsidRDefault="004062F4" w:rsidP="003F769B">
            <w:pPr>
              <w:pStyle w:val="ListParagraph"/>
              <w:numPr>
                <w:ilvl w:val="0"/>
                <w:numId w:val="22"/>
              </w:numPr>
              <w:ind w:left="464"/>
            </w:pPr>
            <w:r w:rsidRPr="004062F4">
              <w:t>CB-03. My Health Record: Rate of uploads by general practices</w:t>
            </w:r>
          </w:p>
          <w:p w14:paraId="02E09B39" w14:textId="77777777" w:rsidR="004062F4" w:rsidRPr="004062F4" w:rsidRDefault="004062F4" w:rsidP="003F769B">
            <w:pPr>
              <w:pStyle w:val="ListParagraph"/>
              <w:numPr>
                <w:ilvl w:val="0"/>
                <w:numId w:val="22"/>
              </w:numPr>
              <w:ind w:left="464"/>
            </w:pPr>
            <w:r w:rsidRPr="004062F4">
              <w:t>CB-04. My Health Record: General practice cross views</w:t>
            </w:r>
            <w:r w:rsidRPr="004062F4">
              <w:tab/>
            </w:r>
          </w:p>
          <w:p w14:paraId="16FAD47E" w14:textId="4DC3A78F" w:rsidR="004062F4" w:rsidRDefault="004062F4" w:rsidP="003F769B">
            <w:pPr>
              <w:pStyle w:val="ListParagraph"/>
              <w:numPr>
                <w:ilvl w:val="0"/>
                <w:numId w:val="22"/>
              </w:numPr>
              <w:ind w:left="464"/>
            </w:pPr>
            <w:r w:rsidRPr="004062F4">
              <w:t>CB-05. Primary healthcare provider-reported experience</w:t>
            </w:r>
            <w:r w:rsidRPr="004062F4">
              <w:tab/>
            </w:r>
          </w:p>
          <w:p w14:paraId="693440B9" w14:textId="7381987B" w:rsidR="004062F4" w:rsidRPr="004062F4" w:rsidRDefault="004062F4" w:rsidP="003F769B">
            <w:pPr>
              <w:pStyle w:val="ListParagraph"/>
              <w:numPr>
                <w:ilvl w:val="0"/>
                <w:numId w:val="22"/>
              </w:numPr>
              <w:ind w:left="464"/>
            </w:pPr>
            <w:r w:rsidRPr="004062F4">
              <w:t>CB-06. Case study: demonstrate change or improvements in practice</w:t>
            </w:r>
            <w:r w:rsidRPr="004062F4">
              <w:tab/>
            </w:r>
          </w:p>
        </w:tc>
      </w:tr>
      <w:tr w:rsidR="004062F4" w:rsidRPr="004062F4" w14:paraId="0C11DFA5" w14:textId="391B0423" w:rsidTr="00F05EDC">
        <w:tc>
          <w:tcPr>
            <w:tcW w:w="1980" w:type="dxa"/>
          </w:tcPr>
          <w:p w14:paraId="0355C276" w14:textId="77777777" w:rsidR="004062F4" w:rsidRPr="004062F4" w:rsidRDefault="004062F4" w:rsidP="004062F4">
            <w:r w:rsidRPr="004062F4">
              <w:t>Commission Indicators</w:t>
            </w:r>
            <w:r w:rsidRPr="004062F4">
              <w:tab/>
            </w:r>
          </w:p>
        </w:tc>
        <w:tc>
          <w:tcPr>
            <w:tcW w:w="7036" w:type="dxa"/>
          </w:tcPr>
          <w:p w14:paraId="405DA107" w14:textId="660002F9" w:rsidR="004062F4" w:rsidRPr="004062F4" w:rsidRDefault="004062F4" w:rsidP="003F769B">
            <w:pPr>
              <w:pStyle w:val="ListParagraph"/>
              <w:numPr>
                <w:ilvl w:val="0"/>
                <w:numId w:val="23"/>
              </w:numPr>
              <w:ind w:left="464"/>
            </w:pPr>
            <w:r w:rsidRPr="004062F4">
              <w:t>CM-01. Evidence that commissioned activities address identified health needs or gaps</w:t>
            </w:r>
            <w:r w:rsidRPr="004062F4">
              <w:tab/>
            </w:r>
          </w:p>
          <w:p w14:paraId="62F77045" w14:textId="77777777" w:rsidR="004062F4" w:rsidRPr="004062F4" w:rsidRDefault="004062F4" w:rsidP="003F769B">
            <w:pPr>
              <w:pStyle w:val="ListParagraph"/>
              <w:numPr>
                <w:ilvl w:val="0"/>
                <w:numId w:val="23"/>
              </w:numPr>
              <w:ind w:left="464"/>
            </w:pPr>
            <w:r w:rsidRPr="004062F4">
              <w:t>CM-02. Program episodes or service contacts</w:t>
            </w:r>
            <w:r w:rsidRPr="004062F4">
              <w:tab/>
            </w:r>
          </w:p>
          <w:p w14:paraId="499AE207" w14:textId="37FE1A8C" w:rsidR="004062F4" w:rsidRPr="004062F4" w:rsidRDefault="004062F4" w:rsidP="003F769B">
            <w:pPr>
              <w:pStyle w:val="ListParagraph"/>
              <w:numPr>
                <w:ilvl w:val="0"/>
                <w:numId w:val="23"/>
              </w:numPr>
              <w:ind w:left="464"/>
            </w:pPr>
            <w:r w:rsidRPr="004062F4">
              <w:t>CM-03. Commissioned service clients and positive outcomes</w:t>
            </w:r>
          </w:p>
          <w:p w14:paraId="55DE1403" w14:textId="77777777" w:rsidR="004062F4" w:rsidRPr="004062F4" w:rsidRDefault="004062F4" w:rsidP="003F769B">
            <w:pPr>
              <w:pStyle w:val="ListParagraph"/>
              <w:numPr>
                <w:ilvl w:val="0"/>
                <w:numId w:val="23"/>
              </w:numPr>
              <w:ind w:left="464"/>
            </w:pPr>
            <w:r w:rsidRPr="004062F4">
              <w:t>CM-04. Cost per health improvement</w:t>
            </w:r>
          </w:p>
          <w:p w14:paraId="43B29F64" w14:textId="297EE51F" w:rsidR="004062F4" w:rsidRPr="004062F4" w:rsidRDefault="004062F4" w:rsidP="003F769B">
            <w:pPr>
              <w:pStyle w:val="ListParagraph"/>
              <w:numPr>
                <w:ilvl w:val="0"/>
                <w:numId w:val="23"/>
              </w:numPr>
              <w:ind w:left="464"/>
            </w:pPr>
            <w:r w:rsidRPr="004062F4">
              <w:t>CM-05. Proportion of commissioned services delivered to target population</w:t>
            </w:r>
            <w:r w:rsidRPr="004062F4">
              <w:tab/>
            </w:r>
          </w:p>
          <w:p w14:paraId="1372DE2D" w14:textId="5AE19ECD" w:rsidR="004062F4" w:rsidRDefault="004062F4" w:rsidP="003F769B">
            <w:pPr>
              <w:pStyle w:val="ListParagraph"/>
              <w:numPr>
                <w:ilvl w:val="0"/>
                <w:numId w:val="23"/>
              </w:numPr>
              <w:ind w:left="464"/>
            </w:pPr>
            <w:r w:rsidRPr="004062F4">
              <w:t>CM-06. Patient-reported experience and outcome measure</w:t>
            </w:r>
            <w:r w:rsidRPr="004062F4">
              <w:tab/>
            </w:r>
          </w:p>
          <w:p w14:paraId="5C7A8968" w14:textId="59AE0F96" w:rsidR="004062F4" w:rsidRPr="004062F4" w:rsidRDefault="004062F4" w:rsidP="003F769B">
            <w:pPr>
              <w:pStyle w:val="ListParagraph"/>
              <w:numPr>
                <w:ilvl w:val="0"/>
                <w:numId w:val="23"/>
              </w:numPr>
              <w:ind w:left="464"/>
            </w:pPr>
            <w:r w:rsidRPr="004062F4">
              <w:t>CM-07. Commissioned provider experience measure</w:t>
            </w:r>
          </w:p>
        </w:tc>
      </w:tr>
      <w:tr w:rsidR="004062F4" w:rsidRPr="004062F4" w14:paraId="358D8C38" w14:textId="74F6BCA6" w:rsidTr="00F05EDC">
        <w:tc>
          <w:tcPr>
            <w:tcW w:w="1980" w:type="dxa"/>
          </w:tcPr>
          <w:p w14:paraId="77EC0BCC" w14:textId="77777777" w:rsidR="004062F4" w:rsidRPr="004062F4" w:rsidRDefault="004062F4" w:rsidP="004062F4">
            <w:r w:rsidRPr="004062F4">
              <w:t>Compliance Indicators</w:t>
            </w:r>
            <w:r w:rsidRPr="004062F4">
              <w:tab/>
            </w:r>
          </w:p>
        </w:tc>
        <w:tc>
          <w:tcPr>
            <w:tcW w:w="7036" w:type="dxa"/>
          </w:tcPr>
          <w:p w14:paraId="505718B1" w14:textId="77777777" w:rsidR="004062F4" w:rsidRPr="004062F4" w:rsidRDefault="004062F4" w:rsidP="003F769B">
            <w:pPr>
              <w:pStyle w:val="ListParagraph"/>
              <w:numPr>
                <w:ilvl w:val="0"/>
                <w:numId w:val="24"/>
              </w:numPr>
              <w:ind w:left="464"/>
            </w:pPr>
            <w:r w:rsidRPr="004062F4">
              <w:t>CP-01 - Financial reporting obligations</w:t>
            </w:r>
            <w:r w:rsidRPr="004062F4">
              <w:tab/>
            </w:r>
          </w:p>
          <w:p w14:paraId="385B1C56" w14:textId="77777777" w:rsidR="004062F4" w:rsidRPr="004062F4" w:rsidRDefault="004062F4" w:rsidP="003F769B">
            <w:pPr>
              <w:pStyle w:val="ListParagraph"/>
              <w:numPr>
                <w:ilvl w:val="0"/>
                <w:numId w:val="24"/>
              </w:numPr>
              <w:ind w:left="464"/>
            </w:pPr>
            <w:r w:rsidRPr="004062F4">
              <w:t>CP-02 - ACNC Reporting</w:t>
            </w:r>
            <w:r w:rsidRPr="004062F4">
              <w:tab/>
            </w:r>
          </w:p>
          <w:p w14:paraId="1A5AE783" w14:textId="77777777" w:rsidR="004062F4" w:rsidRPr="004062F4" w:rsidRDefault="004062F4" w:rsidP="003F769B">
            <w:pPr>
              <w:pStyle w:val="ListParagraph"/>
              <w:numPr>
                <w:ilvl w:val="0"/>
                <w:numId w:val="24"/>
              </w:numPr>
              <w:ind w:left="464"/>
            </w:pPr>
            <w:r w:rsidRPr="004062F4">
              <w:t>CP-03 - Board composition and contribution</w:t>
            </w:r>
            <w:r w:rsidRPr="004062F4">
              <w:tab/>
            </w:r>
          </w:p>
          <w:p w14:paraId="2C703F05" w14:textId="77777777" w:rsidR="004062F4" w:rsidRPr="004062F4" w:rsidRDefault="004062F4" w:rsidP="003F769B">
            <w:pPr>
              <w:pStyle w:val="ListParagraph"/>
              <w:numPr>
                <w:ilvl w:val="0"/>
                <w:numId w:val="24"/>
              </w:numPr>
              <w:ind w:left="464"/>
            </w:pPr>
            <w:r w:rsidRPr="004062F4">
              <w:t>CP-04 - Culturally safe practices</w:t>
            </w:r>
            <w:r w:rsidRPr="004062F4">
              <w:tab/>
            </w:r>
          </w:p>
          <w:p w14:paraId="692E5FA8" w14:textId="77777777" w:rsidR="004062F4" w:rsidRPr="004062F4" w:rsidRDefault="004062F4" w:rsidP="003F769B">
            <w:pPr>
              <w:pStyle w:val="ListParagraph"/>
              <w:numPr>
                <w:ilvl w:val="0"/>
                <w:numId w:val="24"/>
              </w:numPr>
              <w:ind w:left="464"/>
            </w:pPr>
            <w:r w:rsidRPr="004062F4">
              <w:t>CP-05 – Procurement methods</w:t>
            </w:r>
            <w:r w:rsidRPr="004062F4">
              <w:tab/>
            </w:r>
          </w:p>
          <w:p w14:paraId="33189CC1" w14:textId="77777777" w:rsidR="004062F4" w:rsidRPr="004062F4" w:rsidRDefault="004062F4" w:rsidP="003F769B">
            <w:pPr>
              <w:pStyle w:val="ListParagraph"/>
              <w:numPr>
                <w:ilvl w:val="0"/>
                <w:numId w:val="24"/>
              </w:numPr>
              <w:ind w:left="464"/>
            </w:pPr>
            <w:r w:rsidRPr="004062F4">
              <w:t>CP-06 - Value for money in commissioning</w:t>
            </w:r>
            <w:r w:rsidRPr="004062F4">
              <w:tab/>
            </w:r>
          </w:p>
          <w:p w14:paraId="7C80D8C0" w14:textId="77777777" w:rsidR="004062F4" w:rsidRDefault="004062F4" w:rsidP="003F769B">
            <w:pPr>
              <w:pStyle w:val="ListParagraph"/>
              <w:numPr>
                <w:ilvl w:val="0"/>
                <w:numId w:val="24"/>
              </w:numPr>
              <w:ind w:left="464"/>
            </w:pPr>
            <w:r w:rsidRPr="004062F4">
              <w:t>CP-07 - Conflicts of interest and related party transactions</w:t>
            </w:r>
            <w:r w:rsidRPr="004062F4">
              <w:tab/>
            </w:r>
          </w:p>
          <w:p w14:paraId="38B01787" w14:textId="08C80552" w:rsidR="004062F4" w:rsidRPr="004062F4" w:rsidRDefault="004062F4" w:rsidP="003F769B">
            <w:pPr>
              <w:pStyle w:val="ListParagraph"/>
              <w:numPr>
                <w:ilvl w:val="0"/>
                <w:numId w:val="24"/>
              </w:numPr>
              <w:ind w:left="464"/>
            </w:pPr>
            <w:r w:rsidRPr="004062F4">
              <w:t>CP-08 - Information security management</w:t>
            </w:r>
            <w:r w:rsidRPr="004062F4">
              <w:tab/>
            </w:r>
          </w:p>
        </w:tc>
      </w:tr>
      <w:tr w:rsidR="004062F4" w:rsidRPr="004062F4" w14:paraId="1EFFF88D" w14:textId="158DC9A3" w:rsidTr="00F05EDC">
        <w:tc>
          <w:tcPr>
            <w:tcW w:w="1980" w:type="dxa"/>
          </w:tcPr>
          <w:p w14:paraId="1FBFDFF8" w14:textId="77777777" w:rsidR="004062F4" w:rsidRPr="004062F4" w:rsidRDefault="004062F4" w:rsidP="004062F4">
            <w:r w:rsidRPr="004062F4">
              <w:t>Impact Indicators</w:t>
            </w:r>
            <w:r w:rsidRPr="004062F4">
              <w:tab/>
            </w:r>
          </w:p>
        </w:tc>
        <w:tc>
          <w:tcPr>
            <w:tcW w:w="7036" w:type="dxa"/>
          </w:tcPr>
          <w:p w14:paraId="2CC83B11" w14:textId="77777777" w:rsidR="004062F4" w:rsidRPr="004062F4" w:rsidRDefault="004062F4" w:rsidP="003F769B">
            <w:pPr>
              <w:pStyle w:val="ListParagraph"/>
              <w:numPr>
                <w:ilvl w:val="0"/>
                <w:numId w:val="25"/>
              </w:numPr>
              <w:ind w:left="464"/>
            </w:pPr>
            <w:r w:rsidRPr="004062F4">
              <w:t>IM-01: Potentially preventable hospitalisations</w:t>
            </w:r>
            <w:r w:rsidRPr="004062F4">
              <w:tab/>
            </w:r>
          </w:p>
          <w:p w14:paraId="28DE69AE" w14:textId="77777777" w:rsidR="004062F4" w:rsidRDefault="004062F4" w:rsidP="003F769B">
            <w:pPr>
              <w:pStyle w:val="ListParagraph"/>
              <w:numPr>
                <w:ilvl w:val="0"/>
                <w:numId w:val="25"/>
              </w:numPr>
              <w:ind w:left="464"/>
            </w:pPr>
            <w:r w:rsidRPr="004062F4">
              <w:t>IM-02: Lower urgency care presentations</w:t>
            </w:r>
            <w:r w:rsidRPr="004062F4">
              <w:tab/>
            </w:r>
          </w:p>
          <w:p w14:paraId="7B7D369F" w14:textId="77F26375" w:rsidR="004062F4" w:rsidRPr="004062F4" w:rsidRDefault="004062F4" w:rsidP="003F769B">
            <w:pPr>
              <w:pStyle w:val="ListParagraph"/>
              <w:numPr>
                <w:ilvl w:val="0"/>
                <w:numId w:val="25"/>
              </w:numPr>
              <w:ind w:left="464"/>
            </w:pPr>
            <w:r w:rsidRPr="004062F4">
              <w:t>IM-03: Patient coordination of care</w:t>
            </w:r>
            <w:r w:rsidRPr="004062F4">
              <w:tab/>
            </w:r>
          </w:p>
        </w:tc>
      </w:tr>
    </w:tbl>
    <w:p w14:paraId="0D5FEF92" w14:textId="77777777" w:rsidR="004062F4" w:rsidRPr="004062F4" w:rsidRDefault="004062F4" w:rsidP="004062F4"/>
    <w:p w14:paraId="6228AD69" w14:textId="5D6F845E" w:rsidR="002132DF" w:rsidRDefault="002132DF" w:rsidP="002132DF">
      <w:pPr>
        <w:pStyle w:val="Caption"/>
        <w:keepNext/>
      </w:pPr>
      <w:bookmarkStart w:id="30" w:name="_Toc207613141"/>
      <w:r>
        <w:lastRenderedPageBreak/>
        <w:t xml:space="preserve">Table </w:t>
      </w:r>
      <w:r>
        <w:fldChar w:fldCharType="begin"/>
      </w:r>
      <w:r>
        <w:instrText xml:space="preserve"> SEQ Table \* ARABIC </w:instrText>
      </w:r>
      <w:r>
        <w:fldChar w:fldCharType="separate"/>
      </w:r>
      <w:r w:rsidR="005A59B5">
        <w:rPr>
          <w:noProof/>
        </w:rPr>
        <w:t>12</w:t>
      </w:r>
      <w:r>
        <w:fldChar w:fldCharType="end"/>
      </w:r>
      <w:r>
        <w:t>. Matrix of indicators by Program Dimension and Indicator Type</w:t>
      </w:r>
      <w:bookmarkEnd w:id="30"/>
    </w:p>
    <w:tbl>
      <w:tblPr>
        <w:tblStyle w:val="TableGrid"/>
        <w:tblW w:w="5000" w:type="pct"/>
        <w:tblLook w:val="04A0" w:firstRow="1" w:lastRow="0" w:firstColumn="1" w:lastColumn="0" w:noHBand="0" w:noVBand="1"/>
        <w:tblCaption w:val="Table showing the matrix of indicators by program dimension against output or outcome indicator type."/>
      </w:tblPr>
      <w:tblGrid>
        <w:gridCol w:w="2774"/>
        <w:gridCol w:w="3122"/>
        <w:gridCol w:w="3120"/>
      </w:tblGrid>
      <w:tr w:rsidR="00A5754D" w14:paraId="47C7B407" w14:textId="77777777" w:rsidTr="00A06E11">
        <w:trPr>
          <w:tblHeader/>
        </w:trPr>
        <w:tc>
          <w:tcPr>
            <w:tcW w:w="1538" w:type="pct"/>
            <w:shd w:val="clear" w:color="auto" w:fill="3F4A75" w:themeFill="text2"/>
          </w:tcPr>
          <w:p w14:paraId="597CBA6C" w14:textId="77777777" w:rsidR="00A5754D" w:rsidRDefault="00A5754D" w:rsidP="00AF6413">
            <w:pPr>
              <w:pStyle w:val="Body"/>
            </w:pPr>
          </w:p>
        </w:tc>
        <w:tc>
          <w:tcPr>
            <w:tcW w:w="1731" w:type="pct"/>
            <w:tcBorders>
              <w:bottom w:val="single" w:sz="4" w:space="0" w:color="auto"/>
            </w:tcBorders>
            <w:shd w:val="clear" w:color="auto" w:fill="3F4A75" w:themeFill="text2"/>
          </w:tcPr>
          <w:p w14:paraId="5BB7528D" w14:textId="77777777" w:rsidR="00A5754D" w:rsidRPr="004903FF" w:rsidRDefault="002132DF" w:rsidP="002132DF">
            <w:pPr>
              <w:pStyle w:val="Body"/>
              <w:jc w:val="center"/>
              <w:rPr>
                <w:b/>
                <w:bCs/>
                <w:color w:val="FFFFFF" w:themeColor="background1"/>
              </w:rPr>
            </w:pPr>
            <w:r w:rsidRPr="004903FF">
              <w:rPr>
                <w:b/>
                <w:bCs/>
                <w:color w:val="FFFFFF" w:themeColor="background1"/>
              </w:rPr>
              <w:t>Progress</w:t>
            </w:r>
          </w:p>
          <w:p w14:paraId="2108A065" w14:textId="5C7F20C9" w:rsidR="004903FF" w:rsidRPr="004903FF" w:rsidRDefault="004903FF" w:rsidP="002132DF">
            <w:pPr>
              <w:pStyle w:val="Body"/>
              <w:jc w:val="center"/>
              <w:rPr>
                <w:i/>
                <w:iCs/>
                <w:color w:val="FFFFFF" w:themeColor="background1"/>
              </w:rPr>
            </w:pPr>
            <w:r w:rsidRPr="004903FF">
              <w:rPr>
                <w:rFonts w:cs="Arial"/>
                <w:i/>
                <w:iCs/>
                <w:color w:val="FFFFFF" w:themeColor="background1"/>
                <w:szCs w:val="22"/>
              </w:rPr>
              <w:t>Measures how PHNs are implementing their core functions of capacity-building, commissioning and coordination.</w:t>
            </w:r>
          </w:p>
        </w:tc>
        <w:tc>
          <w:tcPr>
            <w:tcW w:w="1730" w:type="pct"/>
            <w:tcBorders>
              <w:bottom w:val="single" w:sz="4" w:space="0" w:color="auto"/>
            </w:tcBorders>
            <w:shd w:val="clear" w:color="auto" w:fill="3F4A75" w:themeFill="text2"/>
          </w:tcPr>
          <w:p w14:paraId="16DDD97C" w14:textId="77777777" w:rsidR="00A5754D" w:rsidRPr="004903FF" w:rsidRDefault="002132DF" w:rsidP="002132DF">
            <w:pPr>
              <w:pStyle w:val="Body"/>
              <w:jc w:val="center"/>
              <w:rPr>
                <w:b/>
                <w:bCs/>
                <w:color w:val="FFFFFF" w:themeColor="background1"/>
              </w:rPr>
            </w:pPr>
            <w:r w:rsidRPr="004903FF">
              <w:rPr>
                <w:b/>
                <w:bCs/>
                <w:color w:val="FFFFFF" w:themeColor="background1"/>
              </w:rPr>
              <w:t>Performance</w:t>
            </w:r>
          </w:p>
          <w:p w14:paraId="62FE1064" w14:textId="046E8DD2" w:rsidR="004903FF" w:rsidRPr="004903FF" w:rsidRDefault="004903FF" w:rsidP="002132DF">
            <w:pPr>
              <w:pStyle w:val="Body"/>
              <w:jc w:val="center"/>
              <w:rPr>
                <w:i/>
                <w:iCs/>
                <w:color w:val="FFFFFF" w:themeColor="background1"/>
              </w:rPr>
            </w:pPr>
            <w:r w:rsidRPr="004903FF">
              <w:rPr>
                <w:rFonts w:cs="Arial"/>
                <w:i/>
                <w:iCs/>
                <w:color w:val="FFFFFF" w:themeColor="background1"/>
                <w:szCs w:val="22"/>
              </w:rPr>
              <w:t>Measures the extent to which PHN activities are achieving the intended outcomes of delivering quality care.</w:t>
            </w:r>
          </w:p>
        </w:tc>
      </w:tr>
      <w:tr w:rsidR="00DA0A64" w14:paraId="3B49E811" w14:textId="77777777" w:rsidTr="0075732C">
        <w:trPr>
          <w:trHeight w:val="1612"/>
        </w:trPr>
        <w:tc>
          <w:tcPr>
            <w:tcW w:w="1538" w:type="pct"/>
          </w:tcPr>
          <w:p w14:paraId="4E1A44F6" w14:textId="77777777" w:rsidR="00DA0A64" w:rsidRPr="004903FF" w:rsidRDefault="00DA0A64" w:rsidP="00AF6413">
            <w:pPr>
              <w:pStyle w:val="Body"/>
              <w:rPr>
                <w:b/>
                <w:bCs/>
              </w:rPr>
            </w:pPr>
            <w:r w:rsidRPr="004903FF">
              <w:rPr>
                <w:b/>
                <w:bCs/>
              </w:rPr>
              <w:t>Output</w:t>
            </w:r>
          </w:p>
          <w:p w14:paraId="5352595E" w14:textId="75FDE0CC" w:rsidR="00DA0A64" w:rsidRPr="004903FF" w:rsidRDefault="00DA0A64" w:rsidP="00AF6413">
            <w:pPr>
              <w:pStyle w:val="Body"/>
              <w:rPr>
                <w:i/>
                <w:iCs/>
              </w:rPr>
            </w:pPr>
            <w:r w:rsidRPr="004903FF">
              <w:rPr>
                <w:rFonts w:cs="Arial"/>
                <w:i/>
                <w:iCs/>
                <w:color w:val="000000"/>
                <w:szCs w:val="22"/>
              </w:rPr>
              <w:t>The tangible products or deliverables of program activities.</w:t>
            </w:r>
          </w:p>
        </w:tc>
        <w:tc>
          <w:tcPr>
            <w:tcW w:w="1731" w:type="pct"/>
            <w:tcBorders>
              <w:right w:val="single" w:sz="4" w:space="0" w:color="auto"/>
            </w:tcBorders>
          </w:tcPr>
          <w:p w14:paraId="1455D5FC" w14:textId="77777777" w:rsidR="00DA0A64" w:rsidRDefault="00DA0A64" w:rsidP="00DA0A64">
            <w:pPr>
              <w:pStyle w:val="Body"/>
              <w:tabs>
                <w:tab w:val="left" w:pos="1077"/>
                <w:tab w:val="left" w:pos="2004"/>
              </w:tabs>
            </w:pPr>
            <w:r>
              <w:t>CO-01</w:t>
            </w:r>
            <w:r>
              <w:tab/>
              <w:t>CB-01</w:t>
            </w:r>
            <w:r>
              <w:tab/>
              <w:t>CM-01</w:t>
            </w:r>
          </w:p>
          <w:p w14:paraId="0A7D51A6" w14:textId="4F527091" w:rsidR="00DA0A64" w:rsidRDefault="00DA0A64" w:rsidP="00DA0A64">
            <w:pPr>
              <w:pStyle w:val="Body"/>
              <w:tabs>
                <w:tab w:val="left" w:pos="1077"/>
                <w:tab w:val="left" w:pos="2004"/>
              </w:tabs>
            </w:pPr>
            <w:r>
              <w:t>CO-02*</w:t>
            </w:r>
            <w:r>
              <w:tab/>
            </w:r>
            <w:r>
              <w:tab/>
              <w:t>CM-02</w:t>
            </w:r>
          </w:p>
        </w:tc>
        <w:tc>
          <w:tcPr>
            <w:tcW w:w="1730" w:type="pct"/>
            <w:tcBorders>
              <w:left w:val="single" w:sz="4" w:space="0" w:color="auto"/>
            </w:tcBorders>
          </w:tcPr>
          <w:p w14:paraId="322FDD5F" w14:textId="7D7975EE" w:rsidR="00DA0A64" w:rsidRDefault="00DA0A64" w:rsidP="00DA0A64">
            <w:pPr>
              <w:pStyle w:val="Body"/>
              <w:tabs>
                <w:tab w:val="left" w:pos="1077"/>
                <w:tab w:val="left" w:pos="2004"/>
              </w:tabs>
            </w:pPr>
            <w:r>
              <w:t>CO-02*</w:t>
            </w:r>
            <w:r>
              <w:tab/>
              <w:t>CB-03</w:t>
            </w:r>
            <w:r>
              <w:tab/>
              <w:t>CM-05</w:t>
            </w:r>
          </w:p>
          <w:p w14:paraId="127C07F4" w14:textId="25B1354A" w:rsidR="00DA0A64" w:rsidRDefault="00DA0A64" w:rsidP="00DA0A64">
            <w:pPr>
              <w:pStyle w:val="Body"/>
              <w:tabs>
                <w:tab w:val="left" w:pos="1077"/>
                <w:tab w:val="left" w:pos="2004"/>
              </w:tabs>
            </w:pPr>
            <w:r>
              <w:tab/>
              <w:t>CB-04</w:t>
            </w:r>
          </w:p>
        </w:tc>
      </w:tr>
      <w:tr w:rsidR="00DA0A64" w14:paraId="1BE39E25" w14:textId="77777777" w:rsidTr="00DA0A64">
        <w:tc>
          <w:tcPr>
            <w:tcW w:w="1538" w:type="pct"/>
          </w:tcPr>
          <w:p w14:paraId="7B8AE2CE" w14:textId="77777777" w:rsidR="00DA0A64" w:rsidRPr="004903FF" w:rsidRDefault="00DA0A64" w:rsidP="00AF6413">
            <w:pPr>
              <w:pStyle w:val="Body"/>
              <w:rPr>
                <w:b/>
                <w:bCs/>
              </w:rPr>
            </w:pPr>
            <w:r w:rsidRPr="004903FF">
              <w:rPr>
                <w:b/>
                <w:bCs/>
              </w:rPr>
              <w:t>Outcome</w:t>
            </w:r>
          </w:p>
          <w:p w14:paraId="1D58B882" w14:textId="2408BBEA" w:rsidR="00DA0A64" w:rsidRPr="004903FF" w:rsidRDefault="00DA0A64" w:rsidP="00AF6413">
            <w:pPr>
              <w:pStyle w:val="Body"/>
              <w:rPr>
                <w:i/>
                <w:iCs/>
              </w:rPr>
            </w:pPr>
            <w:r w:rsidRPr="004903FF">
              <w:rPr>
                <w:rFonts w:cs="Arial"/>
                <w:i/>
                <w:iCs/>
                <w:color w:val="000000"/>
                <w:szCs w:val="22"/>
              </w:rPr>
              <w:t>Outcomes are the differences or benefits made by the outputs.</w:t>
            </w:r>
          </w:p>
        </w:tc>
        <w:tc>
          <w:tcPr>
            <w:tcW w:w="1731" w:type="pct"/>
            <w:tcBorders>
              <w:right w:val="single" w:sz="4" w:space="0" w:color="auto"/>
            </w:tcBorders>
          </w:tcPr>
          <w:p w14:paraId="12AE0D63" w14:textId="38D5F9E9" w:rsidR="00DA0A64" w:rsidRDefault="00DA0A64" w:rsidP="00DA0A64">
            <w:pPr>
              <w:pStyle w:val="Body"/>
              <w:tabs>
                <w:tab w:val="left" w:pos="1077"/>
                <w:tab w:val="left" w:pos="2004"/>
              </w:tabs>
            </w:pPr>
            <w:r>
              <w:t>CO-03</w:t>
            </w:r>
            <w:r>
              <w:tab/>
              <w:t>CB-05</w:t>
            </w:r>
            <w:r>
              <w:tab/>
              <w:t>CM-07</w:t>
            </w:r>
          </w:p>
          <w:p w14:paraId="44C2957A" w14:textId="50777C6C" w:rsidR="00DA0A64" w:rsidRDefault="00DA0A64" w:rsidP="00DA0A64">
            <w:pPr>
              <w:pStyle w:val="Body"/>
              <w:tabs>
                <w:tab w:val="left" w:pos="1077"/>
                <w:tab w:val="left" w:pos="2004"/>
              </w:tabs>
            </w:pPr>
            <w:r>
              <w:tab/>
              <w:t>CB-06*</w:t>
            </w:r>
          </w:p>
        </w:tc>
        <w:tc>
          <w:tcPr>
            <w:tcW w:w="1730" w:type="pct"/>
            <w:tcBorders>
              <w:left w:val="single" w:sz="4" w:space="0" w:color="auto"/>
            </w:tcBorders>
          </w:tcPr>
          <w:p w14:paraId="6AE86DDA" w14:textId="77777777" w:rsidR="00DA0A64" w:rsidRDefault="00DA0A64" w:rsidP="00DA0A64">
            <w:pPr>
              <w:pStyle w:val="Body"/>
              <w:tabs>
                <w:tab w:val="left" w:pos="1077"/>
                <w:tab w:val="left" w:pos="2004"/>
              </w:tabs>
            </w:pPr>
            <w:r>
              <w:tab/>
              <w:t>CB-02</w:t>
            </w:r>
            <w:r>
              <w:tab/>
              <w:t>CM-03</w:t>
            </w:r>
          </w:p>
          <w:p w14:paraId="479241C2" w14:textId="77777777" w:rsidR="00DA0A64" w:rsidRDefault="00DA0A64" w:rsidP="00DA0A64">
            <w:pPr>
              <w:pStyle w:val="Body"/>
              <w:tabs>
                <w:tab w:val="left" w:pos="1077"/>
                <w:tab w:val="left" w:pos="2004"/>
              </w:tabs>
            </w:pPr>
            <w:r>
              <w:tab/>
              <w:t>CB-06*</w:t>
            </w:r>
            <w:r>
              <w:tab/>
              <w:t>CM-04</w:t>
            </w:r>
          </w:p>
          <w:p w14:paraId="106C0AB6" w14:textId="5B526043" w:rsidR="00DA0A64" w:rsidRDefault="00DA0A64" w:rsidP="00DA0A64">
            <w:pPr>
              <w:pStyle w:val="Body"/>
              <w:tabs>
                <w:tab w:val="left" w:pos="1077"/>
                <w:tab w:val="left" w:pos="2004"/>
              </w:tabs>
            </w:pPr>
            <w:r>
              <w:tab/>
            </w:r>
            <w:r>
              <w:tab/>
              <w:t>CM-06</w:t>
            </w:r>
          </w:p>
        </w:tc>
      </w:tr>
    </w:tbl>
    <w:p w14:paraId="225D33E5" w14:textId="21D6F5CB" w:rsidR="00472411" w:rsidRDefault="00C5267E" w:rsidP="00AF6413">
      <w:pPr>
        <w:pStyle w:val="Body"/>
      </w:pPr>
      <w:r>
        <w:t>*</w:t>
      </w:r>
      <w:r w:rsidRPr="00C5267E">
        <w:t xml:space="preserve"> </w:t>
      </w:r>
      <w:r w:rsidRPr="00C5267E">
        <w:rPr>
          <w:i/>
          <w:iCs/>
          <w:sz w:val="20"/>
          <w:szCs w:val="20"/>
        </w:rPr>
        <w:t>Note that two indicators (CO-02, CB-06) are considered both Progress and Performance indicators.</w:t>
      </w:r>
    </w:p>
    <w:p w14:paraId="4FDA2BEF" w14:textId="2124A232" w:rsidR="00472411" w:rsidRDefault="00472411">
      <w:pPr>
        <w:spacing w:before="0" w:after="0" w:line="240" w:lineRule="auto"/>
        <w:rPr>
          <w:rFonts w:cs="Arial"/>
          <w:b/>
          <w:bCs/>
          <w:color w:val="358189"/>
          <w:sz w:val="32"/>
          <w:szCs w:val="26"/>
        </w:rPr>
      </w:pPr>
    </w:p>
    <w:p w14:paraId="2FF964A7" w14:textId="6C9CA105" w:rsidR="004F2848" w:rsidRPr="00A069A2" w:rsidRDefault="004F2848" w:rsidP="004F2848">
      <w:pPr>
        <w:pStyle w:val="Heading3"/>
      </w:pPr>
      <w:bookmarkStart w:id="31" w:name="_Toc211333061"/>
      <w:r w:rsidRPr="00A069A2">
        <w:t>4.3 Commission</w:t>
      </w:r>
      <w:r w:rsidR="00420CEB" w:rsidRPr="00A069A2">
        <w:t>ing</w:t>
      </w:r>
      <w:r w:rsidRPr="00A069A2">
        <w:t xml:space="preserve"> Indicators</w:t>
      </w:r>
      <w:bookmarkEnd w:id="31"/>
    </w:p>
    <w:p w14:paraId="55D375A0" w14:textId="5099D066" w:rsidR="00757775" w:rsidRPr="00A069A2" w:rsidRDefault="004F2848" w:rsidP="004F2848">
      <w:r w:rsidRPr="00A069A2">
        <w:t>The purpose of Commission</w:t>
      </w:r>
      <w:r w:rsidR="00420CEB" w:rsidRPr="00A069A2">
        <w:t>ing</w:t>
      </w:r>
      <w:r w:rsidRPr="00A069A2">
        <w:t xml:space="preserve"> Indicators is to </w:t>
      </w:r>
      <w:r w:rsidR="0004059A" w:rsidRPr="00A069A2">
        <w:t xml:space="preserve">define </w:t>
      </w:r>
      <w:r w:rsidRPr="00A069A2">
        <w:t xml:space="preserve">a standardised set that PHNs can expect to regularly report against in the commissioning of </w:t>
      </w:r>
      <w:r w:rsidRPr="00A069A2">
        <w:rPr>
          <w:u w:val="single"/>
        </w:rPr>
        <w:t>program area activities</w:t>
      </w:r>
      <w:r w:rsidRPr="00A069A2">
        <w:t>. It is intended to offer a consistent set of indicator specifications that can be adapted to a range of current and future programs. They are designed to be reported at an activity level</w:t>
      </w:r>
      <w:r w:rsidR="00757775" w:rsidRPr="00A069A2">
        <w:t>.</w:t>
      </w:r>
      <w:r w:rsidR="00B26B90" w:rsidRPr="00A069A2">
        <w:t xml:space="preserve"> </w:t>
      </w:r>
      <w:r w:rsidR="00757775" w:rsidRPr="00A069A2">
        <w:t xml:space="preserve">PHNs can therefore expect that of the national or </w:t>
      </w:r>
      <w:r w:rsidR="007003E5" w:rsidRPr="00A069A2">
        <w:t xml:space="preserve">bespoke programs they deliver, these indicators </w:t>
      </w:r>
      <w:r w:rsidR="001E08E1" w:rsidRPr="00A069A2">
        <w:t xml:space="preserve">provide a basis for data that is collected and reported. </w:t>
      </w:r>
    </w:p>
    <w:p w14:paraId="27D4845B" w14:textId="123699F0" w:rsidR="004F2848" w:rsidRPr="00A069A2" w:rsidRDefault="004F2848" w:rsidP="00CD0664">
      <w:pPr>
        <w:pStyle w:val="Body"/>
      </w:pPr>
      <w:r w:rsidRPr="00A069A2">
        <w:t xml:space="preserve">While </w:t>
      </w:r>
      <w:r w:rsidR="00B13A4B" w:rsidRPr="00A069A2">
        <w:t>Commission</w:t>
      </w:r>
      <w:r w:rsidR="00666524" w:rsidRPr="00A069A2">
        <w:t>ing</w:t>
      </w:r>
      <w:r w:rsidR="00B13A4B" w:rsidRPr="00A069A2">
        <w:t xml:space="preserve"> Indicators</w:t>
      </w:r>
      <w:r w:rsidRPr="00A069A2">
        <w:t xml:space="preserve"> are constituents of this Framework and therefore reported on an annual basis, Program Areas are the decision-makers in setting specific definitions and performance criteria relevant to their activity. </w:t>
      </w:r>
      <w:r w:rsidR="00700711" w:rsidRPr="00A069A2">
        <w:t xml:space="preserve">In most cases, these indicators are intended to apply to </w:t>
      </w:r>
      <w:r w:rsidR="003A4614" w:rsidRPr="00A069A2">
        <w:t>across the broad range of programs</w:t>
      </w:r>
      <w:r w:rsidR="00FD36EB" w:rsidRPr="00A069A2">
        <w:t xml:space="preserve">, providing a common foundation of performance monitoring. However, it is </w:t>
      </w:r>
      <w:r w:rsidR="009F1BE1" w:rsidRPr="00A069A2">
        <w:t xml:space="preserve">acknowledged that Program Areas may require more tailored indicators to reflect the unique objectives and outcomes of specific programs. </w:t>
      </w:r>
    </w:p>
    <w:p w14:paraId="67549E62" w14:textId="7E1DD02D" w:rsidR="009F1BE1" w:rsidRPr="00A069A2" w:rsidRDefault="009F1BE1" w:rsidP="00CD0664">
      <w:pPr>
        <w:pStyle w:val="Body"/>
      </w:pPr>
      <w:r w:rsidRPr="00A069A2">
        <w:t>The Department recognises the importance of creating greater cohesion in reporting require</w:t>
      </w:r>
      <w:r w:rsidR="00FA6AB5" w:rsidRPr="00A069A2">
        <w:t xml:space="preserve">ments </w:t>
      </w:r>
      <w:r w:rsidR="007348C7" w:rsidRPr="00A069A2">
        <w:t xml:space="preserve">and views this Framework as a foundational step towards </w:t>
      </w:r>
      <w:r w:rsidR="00062C8A" w:rsidRPr="00A069A2">
        <w:t>streamlining</w:t>
      </w:r>
      <w:r w:rsidR="007348C7" w:rsidRPr="00A069A2">
        <w:t xml:space="preserve"> reporting for PHNs. </w:t>
      </w:r>
      <w:r w:rsidR="00F154A7" w:rsidRPr="00A069A2">
        <w:t xml:space="preserve">As such, while indicators have been outlined here, further guidance and </w:t>
      </w:r>
      <w:r w:rsidR="001019E7" w:rsidRPr="00A069A2">
        <w:t>refinement</w:t>
      </w:r>
      <w:r w:rsidR="00F154A7" w:rsidRPr="00A069A2">
        <w:t xml:space="preserve"> will be provided to support consistent and meaningful data collection. </w:t>
      </w:r>
    </w:p>
    <w:p w14:paraId="1D33E218" w14:textId="7A192993" w:rsidR="001019E7" w:rsidRPr="00A069A2" w:rsidRDefault="002670B4" w:rsidP="00CD0664">
      <w:pPr>
        <w:pStyle w:val="Body"/>
      </w:pPr>
      <w:r w:rsidRPr="00A069A2">
        <w:t>Importantly, Commission</w:t>
      </w:r>
      <w:r w:rsidR="00947247" w:rsidRPr="00A069A2">
        <w:t>ing</w:t>
      </w:r>
      <w:r w:rsidRPr="00A069A2">
        <w:t xml:space="preserve"> Indicators are also intended to support aggregation across activities and, where appropriate, across </w:t>
      </w:r>
      <w:r w:rsidR="003A1A41" w:rsidRPr="00A069A2">
        <w:t xml:space="preserve">the </w:t>
      </w:r>
      <w:r w:rsidRPr="00A069A2">
        <w:t>program. This approach enables the Department to demonstrate the broader impact of the PHN Program over time and across areas of scope</w:t>
      </w:r>
      <w:r w:rsidR="00974B2E" w:rsidRPr="00A069A2">
        <w:t>.</w:t>
      </w:r>
    </w:p>
    <w:p w14:paraId="3087636C" w14:textId="77777777" w:rsidR="00243E75" w:rsidRPr="00A069A2" w:rsidRDefault="00E90BF3" w:rsidP="00243E75">
      <w:pPr>
        <w:pStyle w:val="Heading3"/>
      </w:pPr>
      <w:bookmarkStart w:id="32" w:name="_Toc211333062"/>
      <w:r w:rsidRPr="00A069A2">
        <w:lastRenderedPageBreak/>
        <w:t xml:space="preserve">4.4 </w:t>
      </w:r>
      <w:r w:rsidR="004D69E1" w:rsidRPr="00A069A2">
        <w:t>Deliverables</w:t>
      </w:r>
      <w:bookmarkEnd w:id="32"/>
    </w:p>
    <w:p w14:paraId="4957D755" w14:textId="783C8758" w:rsidR="00A61B0A" w:rsidRPr="00A069A2" w:rsidRDefault="001C3DE5" w:rsidP="001C3DE5">
      <w:pPr>
        <w:pStyle w:val="Body"/>
      </w:pPr>
      <w:r w:rsidRPr="00A069A2">
        <w:t>This Framework is</w:t>
      </w:r>
      <w:r w:rsidR="000A1FBD" w:rsidRPr="00A069A2">
        <w:t xml:space="preserve"> especially relevant to the delivery of </w:t>
      </w:r>
      <w:r w:rsidR="00397701" w:rsidRPr="00A069A2">
        <w:t>Twelve</w:t>
      </w:r>
      <w:r w:rsidR="000A1FBD" w:rsidRPr="00A069A2">
        <w:t xml:space="preserve"> Month Performance Reporting (12MPR) by PHNs</w:t>
      </w:r>
      <w:r w:rsidR="00F97D77" w:rsidRPr="00A069A2">
        <w:t xml:space="preserve"> for each financial </w:t>
      </w:r>
      <w:r w:rsidR="00613955" w:rsidRPr="00A069A2">
        <w:t>year</w:t>
      </w:r>
      <w:r w:rsidR="000A1FBD" w:rsidRPr="00A069A2">
        <w:t xml:space="preserve">. This is the formal annual </w:t>
      </w:r>
      <w:r w:rsidR="005D5F56" w:rsidRPr="00A069A2">
        <w:t>reporting process</w:t>
      </w:r>
      <w:r w:rsidR="00D03BED" w:rsidRPr="00A069A2">
        <w:t xml:space="preserve"> </w:t>
      </w:r>
      <w:r w:rsidR="00D6706E" w:rsidRPr="00A069A2">
        <w:t xml:space="preserve">used to </w:t>
      </w:r>
      <w:r w:rsidR="00917C0E" w:rsidRPr="00A069A2">
        <w:t xml:space="preserve">determine </w:t>
      </w:r>
      <w:r w:rsidR="0037061B" w:rsidRPr="00A069A2">
        <w:t xml:space="preserve">PHN </w:t>
      </w:r>
      <w:r w:rsidR="00917C0E" w:rsidRPr="00A069A2">
        <w:t xml:space="preserve">progress of delivering </w:t>
      </w:r>
      <w:r w:rsidR="00CD081B" w:rsidRPr="00A069A2">
        <w:t>activities contracted by the Department</w:t>
      </w:r>
      <w:r w:rsidR="00093D73" w:rsidRPr="00A069A2">
        <w:t>, as stated in executed funding agreements.</w:t>
      </w:r>
      <w:r w:rsidR="0003087B" w:rsidRPr="00A069A2">
        <w:t xml:space="preserve"> </w:t>
      </w:r>
      <w:r w:rsidR="0027669D" w:rsidRPr="00A069A2">
        <w:t xml:space="preserve">It </w:t>
      </w:r>
      <w:r w:rsidR="0003087B" w:rsidRPr="00A069A2">
        <w:t>subsequently</w:t>
      </w:r>
      <w:r w:rsidR="0027669D" w:rsidRPr="00A069A2">
        <w:t xml:space="preserve"> contributes to</w:t>
      </w:r>
      <w:r w:rsidR="001B0EF5" w:rsidRPr="00A069A2">
        <w:t xml:space="preserve"> each PHNs</w:t>
      </w:r>
      <w:r w:rsidR="0027669D" w:rsidRPr="00A069A2">
        <w:t xml:space="preserve"> Individual Performance Assessment</w:t>
      </w:r>
      <w:r w:rsidR="00AE1548" w:rsidRPr="00A069A2">
        <w:t xml:space="preserve"> (IPAs)</w:t>
      </w:r>
      <w:r w:rsidR="0027669D" w:rsidRPr="00A069A2">
        <w:t xml:space="preserve"> a</w:t>
      </w:r>
      <w:r w:rsidR="00AE1548" w:rsidRPr="00A069A2">
        <w:t xml:space="preserve">nd the PHN Program’s Annual </w:t>
      </w:r>
      <w:r w:rsidR="000B204E" w:rsidRPr="00A069A2">
        <w:t xml:space="preserve">Performance </w:t>
      </w:r>
      <w:r w:rsidR="00AE1548" w:rsidRPr="00A069A2">
        <w:t xml:space="preserve">Report. </w:t>
      </w:r>
    </w:p>
    <w:p w14:paraId="3AAB76D4" w14:textId="6913A9C5" w:rsidR="00A1258C" w:rsidRPr="00A069A2" w:rsidRDefault="00A1258C" w:rsidP="001C3DE5">
      <w:pPr>
        <w:pStyle w:val="Body"/>
      </w:pPr>
      <w:r w:rsidRPr="00A069A2">
        <w:t xml:space="preserve">While this Framework </w:t>
      </w:r>
      <w:r w:rsidR="0098147E" w:rsidRPr="00A069A2">
        <w:t>relies</w:t>
      </w:r>
      <w:r w:rsidRPr="00A069A2">
        <w:t xml:space="preserve"> on information collected as part of 12MPR, it</w:t>
      </w:r>
      <w:r w:rsidR="00991F04" w:rsidRPr="00A069A2">
        <w:t xml:space="preserve"> also leverage</w:t>
      </w:r>
      <w:r w:rsidR="007F50E9" w:rsidRPr="00A069A2">
        <w:t>s</w:t>
      </w:r>
      <w:r w:rsidR="00991F04" w:rsidRPr="00A069A2">
        <w:t xml:space="preserve"> information from other </w:t>
      </w:r>
      <w:r w:rsidR="007F50E9" w:rsidRPr="00A069A2">
        <w:t xml:space="preserve">program </w:t>
      </w:r>
      <w:r w:rsidR="00991F04" w:rsidRPr="00A069A2">
        <w:t xml:space="preserve">deliverables, such as Health Needs Assessments </w:t>
      </w:r>
      <w:r w:rsidR="00560405" w:rsidRPr="00A069A2">
        <w:t xml:space="preserve">and Activity Work Plans. </w:t>
      </w:r>
    </w:p>
    <w:p w14:paraId="1B982CEB" w14:textId="77777777" w:rsidR="00A61B0A" w:rsidRPr="00A069A2" w:rsidRDefault="00A61B0A" w:rsidP="001C3DE5">
      <w:pPr>
        <w:pStyle w:val="Body"/>
      </w:pPr>
    </w:p>
    <w:p w14:paraId="1B610A1F" w14:textId="049F52D8" w:rsidR="00CF4823" w:rsidRPr="00A069A2" w:rsidRDefault="00951A3D" w:rsidP="0025176E">
      <w:pPr>
        <w:pStyle w:val="Heading2"/>
        <w:numPr>
          <w:ilvl w:val="0"/>
          <w:numId w:val="8"/>
        </w:numPr>
      </w:pPr>
      <w:bookmarkStart w:id="33" w:name="_Toc211333063"/>
      <w:r w:rsidRPr="00A069A2">
        <w:t>Assessment</w:t>
      </w:r>
      <w:r w:rsidR="006B1527" w:rsidRPr="00A069A2">
        <w:t xml:space="preserve"> and Reporting</w:t>
      </w:r>
      <w:bookmarkEnd w:id="33"/>
    </w:p>
    <w:p w14:paraId="5744CE7A" w14:textId="4F72DDBB" w:rsidR="007E455A" w:rsidRPr="00A069A2" w:rsidRDefault="003D5CD0" w:rsidP="00795618">
      <w:pPr>
        <w:pStyle w:val="Heading3"/>
        <w:numPr>
          <w:ilvl w:val="1"/>
          <w:numId w:val="8"/>
        </w:numPr>
      </w:pPr>
      <w:bookmarkStart w:id="34" w:name="_Toc211333064"/>
      <w:r w:rsidRPr="00A069A2">
        <w:t>Implementation</w:t>
      </w:r>
      <w:bookmarkEnd w:id="34"/>
    </w:p>
    <w:p w14:paraId="3DCA7A72" w14:textId="4F9893AB" w:rsidR="002352EC" w:rsidRPr="00A069A2" w:rsidRDefault="00F42E19" w:rsidP="005D72B4">
      <w:pPr>
        <w:pStyle w:val="Body"/>
      </w:pPr>
      <w:r w:rsidRPr="00A069A2">
        <w:t>Of indicators included in this Framework, some will require ongoing development to ensure data is meaningfully and consistently collected</w:t>
      </w:r>
      <w:r w:rsidR="00A41643" w:rsidRPr="00A069A2">
        <w:t>. It is therefore recognised that implementation of this Framework will take a staggered approach</w:t>
      </w:r>
      <w:r w:rsidR="00FC14A6" w:rsidRPr="00A069A2">
        <w:t>. This approach</w:t>
      </w:r>
      <w:r w:rsidR="00A41643" w:rsidRPr="00A069A2">
        <w:t xml:space="preserve"> seeks to </w:t>
      </w:r>
      <w:r w:rsidR="00572E63" w:rsidRPr="00A069A2">
        <w:t xml:space="preserve">collect readily available data in the first instance, while </w:t>
      </w:r>
      <w:r w:rsidR="009B3D9C" w:rsidRPr="00A069A2">
        <w:t xml:space="preserve">more complex or survey-based indicators – such as </w:t>
      </w:r>
      <w:r w:rsidR="00252079" w:rsidRPr="00A069A2">
        <w:t xml:space="preserve">Patient </w:t>
      </w:r>
      <w:r w:rsidR="009B3D9C" w:rsidRPr="00A069A2">
        <w:t>R</w:t>
      </w:r>
      <w:r w:rsidR="00252079" w:rsidRPr="00A069A2">
        <w:t xml:space="preserve">eported </w:t>
      </w:r>
      <w:r w:rsidR="009B3D9C" w:rsidRPr="00A069A2">
        <w:t>E</w:t>
      </w:r>
      <w:r w:rsidR="00252079" w:rsidRPr="00A069A2">
        <w:t xml:space="preserve">xperience </w:t>
      </w:r>
      <w:r w:rsidR="009B3D9C" w:rsidRPr="00A069A2">
        <w:t>M</w:t>
      </w:r>
      <w:r w:rsidR="00252079" w:rsidRPr="00A069A2">
        <w:t>easures (PREMs)</w:t>
      </w:r>
      <w:r w:rsidR="009B3D9C" w:rsidRPr="00A069A2">
        <w:t xml:space="preserve"> and P</w:t>
      </w:r>
      <w:r w:rsidR="00252079" w:rsidRPr="00A069A2">
        <w:t xml:space="preserve">atient </w:t>
      </w:r>
      <w:r w:rsidR="009B3D9C" w:rsidRPr="00A069A2">
        <w:t>R</w:t>
      </w:r>
      <w:r w:rsidR="00252079" w:rsidRPr="00A069A2">
        <w:t xml:space="preserve">eported </w:t>
      </w:r>
      <w:r w:rsidR="009B3D9C" w:rsidRPr="00A069A2">
        <w:t>O</w:t>
      </w:r>
      <w:r w:rsidR="00252079" w:rsidRPr="00A069A2">
        <w:t xml:space="preserve">utcome </w:t>
      </w:r>
      <w:r w:rsidR="009B3D9C" w:rsidRPr="00A069A2">
        <w:t>M</w:t>
      </w:r>
      <w:r w:rsidR="00252079" w:rsidRPr="00A069A2">
        <w:t>easure</w:t>
      </w:r>
      <w:r w:rsidR="009B3D9C" w:rsidRPr="00A069A2">
        <w:t xml:space="preserve">s </w:t>
      </w:r>
      <w:r w:rsidR="00252079" w:rsidRPr="00A069A2">
        <w:t xml:space="preserve">(PROMs) </w:t>
      </w:r>
      <w:r w:rsidR="009B3D9C" w:rsidRPr="00A069A2">
        <w:t>– will require additional time and close collaboration between the Department and PHNs to successfully implement.</w:t>
      </w:r>
    </w:p>
    <w:p w14:paraId="4D8C4BF9" w14:textId="25EFD1FB" w:rsidR="009B3D9C" w:rsidRPr="00A069A2" w:rsidRDefault="009B3D9C" w:rsidP="005D72B4">
      <w:pPr>
        <w:pStyle w:val="Body"/>
      </w:pPr>
      <w:r w:rsidRPr="00A069A2">
        <w:t xml:space="preserve">Given the </w:t>
      </w:r>
      <w:r w:rsidR="00D72813" w:rsidRPr="00A069A2">
        <w:t>development of this Framework</w:t>
      </w:r>
      <w:r w:rsidR="00AA1F86" w:rsidRPr="00A069A2">
        <w:t xml:space="preserve">, the Department acknowledges that areas such as Performance Criteria will need to be reviewed and refined following receipt of baseline data to inform future assessments. To support this process, an Implementation Plan will be developed to provide PHNs with clarity on reporting requirements, expectations and timeframes. </w:t>
      </w:r>
    </w:p>
    <w:p w14:paraId="1EBE1202" w14:textId="77777777" w:rsidR="00AF2981" w:rsidRPr="00A069A2" w:rsidRDefault="00AF2981" w:rsidP="00936C6F">
      <w:pPr>
        <w:ind w:left="360"/>
      </w:pPr>
    </w:p>
    <w:p w14:paraId="4925D52E" w14:textId="18DFC8A7" w:rsidR="004A3B17" w:rsidRPr="00A069A2" w:rsidRDefault="00936C6F" w:rsidP="004A3B17">
      <w:pPr>
        <w:pStyle w:val="Heading3"/>
      </w:pPr>
      <w:bookmarkStart w:id="35" w:name="_Toc211333065"/>
      <w:r w:rsidRPr="00A069A2">
        <w:t>5.2</w:t>
      </w:r>
      <w:r w:rsidR="004A3B17" w:rsidRPr="00A069A2">
        <w:t xml:space="preserve"> Peer </w:t>
      </w:r>
      <w:r w:rsidR="003F7011" w:rsidRPr="00A069A2">
        <w:t>G</w:t>
      </w:r>
      <w:r w:rsidR="004A3B17" w:rsidRPr="00A069A2">
        <w:t>roup</w:t>
      </w:r>
      <w:r w:rsidR="00E4117D" w:rsidRPr="00A069A2">
        <w:t>s</w:t>
      </w:r>
      <w:bookmarkEnd w:id="35"/>
    </w:p>
    <w:p w14:paraId="4B700FBD" w14:textId="2578F1EF" w:rsidR="004A3B17" w:rsidRPr="00A069A2" w:rsidRDefault="004A3B17" w:rsidP="004A3B17">
      <w:pPr>
        <w:pStyle w:val="Body"/>
      </w:pPr>
      <w:r w:rsidRPr="00A069A2">
        <w:t xml:space="preserve">To make meaningful analysis of performance data, PHN peer groups may be used to understand trends and make comparisons. Due to the variability that exists among </w:t>
      </w:r>
      <w:r w:rsidR="00F92D11" w:rsidRPr="00A069A2">
        <w:t>PHNs</w:t>
      </w:r>
      <w:r w:rsidRPr="00A069A2">
        <w:t xml:space="preserve">, peer groupings will </w:t>
      </w:r>
      <w:r w:rsidR="00A3055F" w:rsidRPr="00A069A2">
        <w:t xml:space="preserve">allow for comparisons </w:t>
      </w:r>
      <w:r w:rsidR="00E77889" w:rsidRPr="00A069A2">
        <w:t>based on</w:t>
      </w:r>
      <w:r w:rsidR="00A3055F" w:rsidRPr="00A069A2">
        <w:t xml:space="preserve"> similar characteristics</w:t>
      </w:r>
      <w:r w:rsidRPr="00A069A2">
        <w:t xml:space="preserve">. </w:t>
      </w:r>
    </w:p>
    <w:p w14:paraId="2518B12F" w14:textId="69ABE230" w:rsidR="004A3B17" w:rsidRPr="00A069A2" w:rsidRDefault="004A3B17" w:rsidP="004A3B17">
      <w:pPr>
        <w:pStyle w:val="Body"/>
      </w:pPr>
      <w:r w:rsidRPr="00A069A2">
        <w:t xml:space="preserve">Peer groups </w:t>
      </w:r>
      <w:r w:rsidR="00A3055F" w:rsidRPr="00A069A2">
        <w:t xml:space="preserve">may </w:t>
      </w:r>
      <w:r w:rsidRPr="00A069A2">
        <w:t>include the following:</w:t>
      </w:r>
    </w:p>
    <w:p w14:paraId="3F5224A7" w14:textId="76EBB7CC" w:rsidR="004A3B17" w:rsidRPr="00A069A2" w:rsidRDefault="004A3B17" w:rsidP="0025176E">
      <w:pPr>
        <w:pStyle w:val="Body"/>
        <w:numPr>
          <w:ilvl w:val="0"/>
          <w:numId w:val="14"/>
        </w:numPr>
      </w:pPr>
      <w:r w:rsidRPr="00A069A2">
        <w:t>Remoteness:</w:t>
      </w:r>
      <w:r w:rsidR="00FA53FB" w:rsidRPr="00A069A2">
        <w:t xml:space="preserve"> a classification developed by the </w:t>
      </w:r>
      <w:r w:rsidR="00C658AC" w:rsidRPr="00A069A2">
        <w:t>AIHW where</w:t>
      </w:r>
      <w:r w:rsidR="00FA53FB" w:rsidRPr="00A069A2">
        <w:t xml:space="preserve"> a PHN area is classified as a metropolitan PHN area if at least 85% of the population resided in Major cities. All other PHN areas were categorised as regional PHN areas</w:t>
      </w:r>
      <w:r w:rsidR="007E191C" w:rsidRPr="00A069A2">
        <w:t>.</w:t>
      </w:r>
    </w:p>
    <w:p w14:paraId="4D54E692" w14:textId="318B9FC7" w:rsidR="004A3B17" w:rsidRPr="00A069A2" w:rsidRDefault="004A3B17" w:rsidP="0025176E">
      <w:pPr>
        <w:pStyle w:val="Body"/>
        <w:numPr>
          <w:ilvl w:val="0"/>
          <w:numId w:val="14"/>
        </w:numPr>
      </w:pPr>
      <w:r w:rsidRPr="00A069A2">
        <w:t xml:space="preserve">Socio-Economic Indexes for Areas (SEIFA): </w:t>
      </w:r>
      <w:r w:rsidR="00993DA7" w:rsidRPr="00A069A2">
        <w:t xml:space="preserve">products developed by the Australian </w:t>
      </w:r>
      <w:r w:rsidR="00FA53FB" w:rsidRPr="00A069A2">
        <w:t>Bureau</w:t>
      </w:r>
      <w:r w:rsidR="00993DA7" w:rsidRPr="00A069A2">
        <w:t xml:space="preserve"> of Statistics that ranks areas in Australia according to relative socio-economic advantage and disadvantage. The indexes are based on information from the five-yearly Census</w:t>
      </w:r>
      <w:r w:rsidR="00A63DBE" w:rsidRPr="00A069A2">
        <w:t xml:space="preserve"> </w:t>
      </w:r>
      <w:r w:rsidR="00934CF8" w:rsidRPr="00A069A2">
        <w:t xml:space="preserve">(ABS </w:t>
      </w:r>
      <w:r w:rsidR="00187B1C" w:rsidRPr="00A069A2">
        <w:t>2023)</w:t>
      </w:r>
      <w:r w:rsidR="00502240" w:rsidRPr="00A069A2">
        <w:t>. The Index of Relative Socio-economic Disadvantage</w:t>
      </w:r>
      <w:r w:rsidR="008D6063" w:rsidRPr="00A069A2">
        <w:t xml:space="preserve"> (IRSD)</w:t>
      </w:r>
      <w:r w:rsidR="00502240" w:rsidRPr="00A069A2">
        <w:t xml:space="preserve"> is the preferred index for u</w:t>
      </w:r>
      <w:r w:rsidR="00283E8E" w:rsidRPr="00A069A2">
        <w:t xml:space="preserve">se in this Framework. </w:t>
      </w:r>
    </w:p>
    <w:p w14:paraId="4D1E48F4" w14:textId="2A7E1521" w:rsidR="004A3B17" w:rsidRPr="00A069A2" w:rsidRDefault="004A3B17" w:rsidP="0025176E">
      <w:pPr>
        <w:pStyle w:val="Body"/>
        <w:numPr>
          <w:ilvl w:val="0"/>
          <w:numId w:val="14"/>
        </w:numPr>
      </w:pPr>
      <w:r w:rsidRPr="00A069A2">
        <w:lastRenderedPageBreak/>
        <w:t xml:space="preserve">State and territory: </w:t>
      </w:r>
      <w:r w:rsidR="00E4117D" w:rsidRPr="00A069A2">
        <w:t>PHN state group categories are based on PHNs’ state and territory locations</w:t>
      </w:r>
      <w:r w:rsidR="00E4117D" w:rsidRPr="00A069A2">
        <w:rPr>
          <w:rStyle w:val="FootnoteReference"/>
        </w:rPr>
        <w:footnoteReference w:id="4"/>
      </w:r>
      <w:r w:rsidR="00E4117D" w:rsidRPr="00A069A2">
        <w:t xml:space="preserve">. </w:t>
      </w:r>
    </w:p>
    <w:p w14:paraId="44D7572D" w14:textId="375CBFEE" w:rsidR="004A3B17" w:rsidRPr="00A069A2" w:rsidRDefault="00E4117D" w:rsidP="00DB535F">
      <w:r w:rsidRPr="00A069A2">
        <w:t xml:space="preserve">Other peer groups may be considered </w:t>
      </w:r>
      <w:r w:rsidR="00837AC5" w:rsidRPr="00A069A2">
        <w:t xml:space="preserve">for inclusion </w:t>
      </w:r>
      <w:r w:rsidRPr="00A069A2">
        <w:t xml:space="preserve">as the Framework is </w:t>
      </w:r>
      <w:r w:rsidR="00837AC5" w:rsidRPr="00A069A2">
        <w:t xml:space="preserve">implemented and matures. </w:t>
      </w:r>
    </w:p>
    <w:p w14:paraId="48A3A60B" w14:textId="77777777" w:rsidR="004A3B17" w:rsidRPr="00A069A2" w:rsidRDefault="004A3B17" w:rsidP="00DB535F"/>
    <w:p w14:paraId="4A239E7A" w14:textId="3599ADF1" w:rsidR="002F6252" w:rsidRPr="00A069A2" w:rsidRDefault="00936C6F" w:rsidP="003F7011">
      <w:pPr>
        <w:pStyle w:val="Heading3"/>
      </w:pPr>
      <w:bookmarkStart w:id="36" w:name="_Toc211333066"/>
      <w:r w:rsidRPr="00A069A2">
        <w:t>5</w:t>
      </w:r>
      <w:r w:rsidR="003F7011" w:rsidRPr="00A069A2">
        <w:t>.3 Framework Review</w:t>
      </w:r>
      <w:bookmarkEnd w:id="36"/>
    </w:p>
    <w:p w14:paraId="7D591EEE" w14:textId="77777777" w:rsidR="002F6252" w:rsidRPr="00A069A2" w:rsidRDefault="002F6252">
      <w:pPr>
        <w:spacing w:before="0" w:after="0" w:line="240" w:lineRule="auto"/>
      </w:pPr>
    </w:p>
    <w:p w14:paraId="52CD90EC" w14:textId="77777777" w:rsidR="00FD560A" w:rsidRPr="00A069A2" w:rsidRDefault="00974B2E">
      <w:pPr>
        <w:spacing w:before="0" w:after="0" w:line="240" w:lineRule="auto"/>
      </w:pPr>
      <w:r w:rsidRPr="00A069A2">
        <w:t>A formal review of this Framework will be undertaken every four years</w:t>
      </w:r>
      <w:r w:rsidR="00FD560A" w:rsidRPr="00A069A2">
        <w:t>. This is for the purpose of:</w:t>
      </w:r>
    </w:p>
    <w:p w14:paraId="514EC3D7" w14:textId="77777777" w:rsidR="0039397A" w:rsidRPr="00A069A2" w:rsidRDefault="0039397A">
      <w:pPr>
        <w:spacing w:before="0" w:after="0" w:line="240" w:lineRule="auto"/>
      </w:pPr>
    </w:p>
    <w:p w14:paraId="15069493" w14:textId="77777777" w:rsidR="00825F92" w:rsidRPr="00A069A2" w:rsidRDefault="00FD560A" w:rsidP="0025176E">
      <w:pPr>
        <w:pStyle w:val="ListParagraph"/>
        <w:numPr>
          <w:ilvl w:val="0"/>
          <w:numId w:val="16"/>
        </w:numPr>
        <w:spacing w:before="0" w:after="0" w:line="240" w:lineRule="auto"/>
      </w:pPr>
      <w:r w:rsidRPr="00A069A2">
        <w:t xml:space="preserve">Adapting the </w:t>
      </w:r>
      <w:r w:rsidR="00825F92" w:rsidRPr="00A069A2">
        <w:t>framework to changes in the landscape and healthcare environment.</w:t>
      </w:r>
    </w:p>
    <w:p w14:paraId="184CA776" w14:textId="1823AE6E" w:rsidR="00AE1F39" w:rsidRPr="00A069A2" w:rsidRDefault="00825F92" w:rsidP="0025176E">
      <w:pPr>
        <w:pStyle w:val="ListParagraph"/>
        <w:numPr>
          <w:ilvl w:val="0"/>
          <w:numId w:val="16"/>
        </w:numPr>
        <w:spacing w:before="0" w:after="0" w:line="240" w:lineRule="auto"/>
      </w:pPr>
      <w:r w:rsidRPr="00A069A2">
        <w:t>Ensur</w:t>
      </w:r>
      <w:r w:rsidR="00B860BE" w:rsidRPr="00A069A2">
        <w:t>ing</w:t>
      </w:r>
      <w:r w:rsidRPr="00A069A2">
        <w:t xml:space="preserve"> performance criteria </w:t>
      </w:r>
      <w:r w:rsidR="00B860BE" w:rsidRPr="00A069A2">
        <w:t xml:space="preserve">remain appropriate and relevant </w:t>
      </w:r>
    </w:p>
    <w:p w14:paraId="1FF673A1" w14:textId="5EB70ACA" w:rsidR="003100CD" w:rsidRPr="00A069A2" w:rsidRDefault="003100CD" w:rsidP="0025176E">
      <w:pPr>
        <w:pStyle w:val="ListParagraph"/>
        <w:numPr>
          <w:ilvl w:val="0"/>
          <w:numId w:val="16"/>
        </w:numPr>
        <w:spacing w:before="0" w:after="0" w:line="240" w:lineRule="auto"/>
      </w:pPr>
      <w:r w:rsidRPr="00A069A2">
        <w:t>Refining indicators and specifications to improve clarity, consistency and usability</w:t>
      </w:r>
    </w:p>
    <w:p w14:paraId="7B25DE5B" w14:textId="1F7A45AD" w:rsidR="00357FD6" w:rsidRPr="00A069A2" w:rsidRDefault="00357FD6" w:rsidP="0025176E">
      <w:pPr>
        <w:pStyle w:val="ListParagraph"/>
        <w:numPr>
          <w:ilvl w:val="0"/>
          <w:numId w:val="16"/>
        </w:numPr>
        <w:spacing w:before="0" w:after="0" w:line="240" w:lineRule="auto"/>
      </w:pPr>
      <w:r w:rsidRPr="00A069A2">
        <w:t>Align</w:t>
      </w:r>
      <w:r w:rsidR="00B16527" w:rsidRPr="00A069A2">
        <w:t>ing</w:t>
      </w:r>
      <w:r w:rsidRPr="00A069A2">
        <w:t xml:space="preserve"> with</w:t>
      </w:r>
      <w:r w:rsidR="008820B6" w:rsidRPr="00A069A2">
        <w:t xml:space="preserve"> national data standards</w:t>
      </w:r>
      <w:r w:rsidR="005B7680" w:rsidRPr="00A069A2">
        <w:t>, external data sources</w:t>
      </w:r>
      <w:r w:rsidR="008820B6" w:rsidRPr="00A069A2">
        <w:t xml:space="preserve"> and policy directions</w:t>
      </w:r>
    </w:p>
    <w:p w14:paraId="2D5893DC" w14:textId="77777777" w:rsidR="003931D6" w:rsidRPr="00A069A2" w:rsidRDefault="003931D6" w:rsidP="003931D6">
      <w:pPr>
        <w:spacing w:before="0" w:after="0" w:line="240" w:lineRule="auto"/>
      </w:pPr>
    </w:p>
    <w:p w14:paraId="4CF8657A" w14:textId="77777777" w:rsidR="00550DF6" w:rsidRPr="00A069A2" w:rsidRDefault="003931D6" w:rsidP="003931D6">
      <w:pPr>
        <w:spacing w:before="0" w:after="0" w:line="240" w:lineRule="auto"/>
      </w:pPr>
      <w:r w:rsidRPr="00A069A2">
        <w:t xml:space="preserve">Informal revisions may be undertaken </w:t>
      </w:r>
      <w:r w:rsidR="00E1786F" w:rsidRPr="00A069A2">
        <w:t>between formal reviews to address</w:t>
      </w:r>
      <w:r w:rsidR="00044D25" w:rsidRPr="00A069A2">
        <w:t xml:space="preserve"> minor corrections or updates. </w:t>
      </w:r>
      <w:r w:rsidR="00CF4823" w:rsidRPr="00A069A2">
        <w:br w:type="page"/>
      </w:r>
    </w:p>
    <w:p w14:paraId="262F8858" w14:textId="77777777" w:rsidR="00550DF6" w:rsidRPr="00A069A2" w:rsidRDefault="00550DF6" w:rsidP="00550DF6">
      <w:pPr>
        <w:pStyle w:val="Heading1"/>
      </w:pPr>
      <w:bookmarkStart w:id="37" w:name="_Toc211333067"/>
      <w:r w:rsidRPr="00A069A2">
        <w:lastRenderedPageBreak/>
        <w:t>Appendix</w:t>
      </w:r>
      <w:bookmarkEnd w:id="37"/>
    </w:p>
    <w:p w14:paraId="106AE6F8" w14:textId="5E96E3C0" w:rsidR="003F6CA1" w:rsidRDefault="00046875" w:rsidP="003F6CA1">
      <w:pPr>
        <w:pStyle w:val="Heading2"/>
      </w:pPr>
      <w:bookmarkStart w:id="38" w:name="_Toc211333068"/>
      <w:r>
        <w:t xml:space="preserve">Acronyms and </w:t>
      </w:r>
      <w:r w:rsidR="45D7F981" w:rsidRPr="00A069A2">
        <w:t>Abbreviations</w:t>
      </w:r>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listing all acronyms and abbreviations used in the document."/>
      </w:tblPr>
      <w:tblGrid>
        <w:gridCol w:w="1271"/>
        <w:gridCol w:w="7745"/>
      </w:tblGrid>
      <w:tr w:rsidR="00A77526" w:rsidRPr="00293C50" w14:paraId="56A8070C" w14:textId="77777777" w:rsidTr="0053581F">
        <w:trPr>
          <w:trHeight w:val="286"/>
        </w:trPr>
        <w:tc>
          <w:tcPr>
            <w:tcW w:w="1271" w:type="dxa"/>
            <w:vAlign w:val="center"/>
          </w:tcPr>
          <w:p w14:paraId="080D0A5E" w14:textId="7C880696" w:rsidR="00A77526" w:rsidRPr="00293C50" w:rsidRDefault="00A77526" w:rsidP="0053581F">
            <w:pPr>
              <w:spacing w:before="100" w:after="100" w:line="240" w:lineRule="auto"/>
              <w:ind w:left="-105"/>
              <w:rPr>
                <w:rFonts w:cs="Arial"/>
                <w:szCs w:val="22"/>
              </w:rPr>
            </w:pPr>
            <w:r>
              <w:rPr>
                <w:rFonts w:cs="Arial"/>
                <w:szCs w:val="22"/>
              </w:rPr>
              <w:t>12MPR</w:t>
            </w:r>
          </w:p>
        </w:tc>
        <w:tc>
          <w:tcPr>
            <w:tcW w:w="7745" w:type="dxa"/>
            <w:vAlign w:val="center"/>
          </w:tcPr>
          <w:p w14:paraId="77536DCB" w14:textId="526AE0B6" w:rsidR="00A77526" w:rsidRPr="00293C50" w:rsidRDefault="00A77526" w:rsidP="00703671">
            <w:pPr>
              <w:spacing w:before="100" w:after="100" w:line="240" w:lineRule="auto"/>
              <w:rPr>
                <w:rFonts w:cs="Arial"/>
                <w:szCs w:val="22"/>
              </w:rPr>
            </w:pPr>
            <w:r>
              <w:rPr>
                <w:rFonts w:cs="Arial"/>
                <w:szCs w:val="22"/>
              </w:rPr>
              <w:t>Twelve Month Performing Reporting</w:t>
            </w:r>
          </w:p>
        </w:tc>
      </w:tr>
      <w:tr w:rsidR="00293C50" w:rsidRPr="00293C50" w14:paraId="05D59926" w14:textId="77777777" w:rsidTr="0053581F">
        <w:trPr>
          <w:trHeight w:val="286"/>
        </w:trPr>
        <w:tc>
          <w:tcPr>
            <w:tcW w:w="1271" w:type="dxa"/>
            <w:vAlign w:val="center"/>
          </w:tcPr>
          <w:p w14:paraId="606C5FF8" w14:textId="77777777" w:rsidR="00293C50" w:rsidRPr="00293C50" w:rsidRDefault="00293C50" w:rsidP="0053581F">
            <w:pPr>
              <w:spacing w:before="100" w:after="100" w:line="240" w:lineRule="auto"/>
              <w:ind w:left="-105"/>
              <w:rPr>
                <w:rFonts w:cs="Arial"/>
                <w:szCs w:val="22"/>
              </w:rPr>
            </w:pPr>
            <w:r w:rsidRPr="00293C50">
              <w:rPr>
                <w:rFonts w:cs="Arial"/>
                <w:szCs w:val="22"/>
              </w:rPr>
              <w:t>ABS</w:t>
            </w:r>
          </w:p>
        </w:tc>
        <w:tc>
          <w:tcPr>
            <w:tcW w:w="7745" w:type="dxa"/>
            <w:vAlign w:val="center"/>
          </w:tcPr>
          <w:p w14:paraId="38AAA701" w14:textId="77777777" w:rsidR="00293C50" w:rsidRPr="00293C50" w:rsidRDefault="00293C50" w:rsidP="00703671">
            <w:pPr>
              <w:spacing w:before="100" w:after="100" w:line="240" w:lineRule="auto"/>
              <w:rPr>
                <w:rFonts w:cs="Arial"/>
                <w:szCs w:val="22"/>
              </w:rPr>
            </w:pPr>
            <w:r w:rsidRPr="00293C50">
              <w:rPr>
                <w:rFonts w:cs="Arial"/>
                <w:szCs w:val="22"/>
              </w:rPr>
              <w:t>Australian Bureau of Statistics</w:t>
            </w:r>
          </w:p>
        </w:tc>
      </w:tr>
      <w:tr w:rsidR="00293C50" w:rsidRPr="00293C50" w14:paraId="521EB2C0" w14:textId="77777777" w:rsidTr="0053581F">
        <w:trPr>
          <w:trHeight w:val="286"/>
        </w:trPr>
        <w:tc>
          <w:tcPr>
            <w:tcW w:w="1271" w:type="dxa"/>
            <w:vAlign w:val="center"/>
          </w:tcPr>
          <w:p w14:paraId="6E60FABA" w14:textId="77777777" w:rsidR="00293C50" w:rsidRPr="00293C50" w:rsidRDefault="00293C50" w:rsidP="0053581F">
            <w:pPr>
              <w:spacing w:before="100" w:after="100" w:line="240" w:lineRule="auto"/>
              <w:ind w:left="-105"/>
              <w:rPr>
                <w:rFonts w:cs="Arial"/>
                <w:szCs w:val="22"/>
              </w:rPr>
            </w:pPr>
            <w:r w:rsidRPr="00293C50">
              <w:rPr>
                <w:rFonts w:cs="Arial"/>
                <w:szCs w:val="22"/>
              </w:rPr>
              <w:t>ACCHO</w:t>
            </w:r>
          </w:p>
        </w:tc>
        <w:tc>
          <w:tcPr>
            <w:tcW w:w="7745" w:type="dxa"/>
            <w:vAlign w:val="center"/>
          </w:tcPr>
          <w:p w14:paraId="197FAD0E" w14:textId="77777777" w:rsidR="00293C50" w:rsidRPr="00293C50" w:rsidRDefault="00293C50" w:rsidP="00703671">
            <w:pPr>
              <w:spacing w:before="100" w:after="100" w:line="240" w:lineRule="auto"/>
              <w:rPr>
                <w:rFonts w:cs="Arial"/>
                <w:szCs w:val="22"/>
              </w:rPr>
            </w:pPr>
            <w:r w:rsidRPr="00293C50">
              <w:rPr>
                <w:rFonts w:cs="Arial"/>
                <w:szCs w:val="22"/>
              </w:rPr>
              <w:t>Aboriginal Community Controlled Health Organisation</w:t>
            </w:r>
          </w:p>
        </w:tc>
      </w:tr>
      <w:tr w:rsidR="00293C50" w:rsidRPr="00293C50" w14:paraId="74C6DFAF" w14:textId="77777777" w:rsidTr="0053581F">
        <w:trPr>
          <w:trHeight w:val="286"/>
        </w:trPr>
        <w:tc>
          <w:tcPr>
            <w:tcW w:w="1271" w:type="dxa"/>
            <w:vAlign w:val="center"/>
          </w:tcPr>
          <w:p w14:paraId="04F2EC0F" w14:textId="77777777" w:rsidR="00293C50" w:rsidRPr="00293C50" w:rsidRDefault="00293C50" w:rsidP="0053581F">
            <w:pPr>
              <w:spacing w:before="100" w:after="100" w:line="240" w:lineRule="auto"/>
              <w:ind w:left="-105"/>
              <w:rPr>
                <w:rFonts w:cs="Arial"/>
                <w:szCs w:val="22"/>
              </w:rPr>
            </w:pPr>
            <w:r w:rsidRPr="00293C50">
              <w:rPr>
                <w:rFonts w:cs="Arial"/>
                <w:szCs w:val="22"/>
              </w:rPr>
              <w:t>AIHW</w:t>
            </w:r>
          </w:p>
        </w:tc>
        <w:tc>
          <w:tcPr>
            <w:tcW w:w="7745" w:type="dxa"/>
            <w:vAlign w:val="center"/>
          </w:tcPr>
          <w:p w14:paraId="7656A362" w14:textId="77777777" w:rsidR="00293C50" w:rsidRPr="00293C50" w:rsidRDefault="00293C50" w:rsidP="00703671">
            <w:pPr>
              <w:spacing w:before="100" w:after="100" w:line="240" w:lineRule="auto"/>
              <w:rPr>
                <w:rFonts w:cs="Arial"/>
                <w:szCs w:val="22"/>
              </w:rPr>
            </w:pPr>
            <w:r w:rsidRPr="00293C50">
              <w:rPr>
                <w:rFonts w:cs="Arial"/>
                <w:szCs w:val="22"/>
              </w:rPr>
              <w:t>Australian Institute of Health and Welfare</w:t>
            </w:r>
          </w:p>
        </w:tc>
      </w:tr>
      <w:tr w:rsidR="00561352" w:rsidRPr="00293C50" w14:paraId="379DC46C" w14:textId="77777777" w:rsidTr="0053581F">
        <w:trPr>
          <w:trHeight w:val="286"/>
        </w:trPr>
        <w:tc>
          <w:tcPr>
            <w:tcW w:w="1271" w:type="dxa"/>
            <w:vAlign w:val="center"/>
          </w:tcPr>
          <w:p w14:paraId="2BA3EF92" w14:textId="25E663AB" w:rsidR="00561352" w:rsidRPr="00293C50" w:rsidRDefault="00561352" w:rsidP="0053581F">
            <w:pPr>
              <w:spacing w:before="100" w:after="100" w:line="240" w:lineRule="auto"/>
              <w:ind w:left="-105"/>
              <w:rPr>
                <w:rFonts w:cs="Arial"/>
                <w:szCs w:val="22"/>
              </w:rPr>
            </w:pPr>
            <w:r>
              <w:rPr>
                <w:rFonts w:cs="Arial"/>
                <w:szCs w:val="22"/>
              </w:rPr>
              <w:t>CB</w:t>
            </w:r>
          </w:p>
        </w:tc>
        <w:tc>
          <w:tcPr>
            <w:tcW w:w="7745" w:type="dxa"/>
            <w:vAlign w:val="center"/>
          </w:tcPr>
          <w:p w14:paraId="4B2A7A2C" w14:textId="3A7BE34F" w:rsidR="00561352" w:rsidRPr="00293C50" w:rsidRDefault="00561352" w:rsidP="00703671">
            <w:pPr>
              <w:spacing w:before="100" w:after="100" w:line="240" w:lineRule="auto"/>
              <w:rPr>
                <w:rFonts w:cs="Arial"/>
                <w:szCs w:val="22"/>
              </w:rPr>
            </w:pPr>
            <w:r>
              <w:rPr>
                <w:rFonts w:cs="Arial"/>
                <w:szCs w:val="22"/>
              </w:rPr>
              <w:t>Capacity build</w:t>
            </w:r>
            <w:r w:rsidR="006C2710">
              <w:rPr>
                <w:rFonts w:cs="Arial"/>
                <w:szCs w:val="22"/>
              </w:rPr>
              <w:t xml:space="preserve"> indicator</w:t>
            </w:r>
          </w:p>
        </w:tc>
      </w:tr>
      <w:tr w:rsidR="007C4E62" w:rsidRPr="00293C50" w14:paraId="46EB882C" w14:textId="77777777" w:rsidTr="0053581F">
        <w:trPr>
          <w:trHeight w:val="286"/>
        </w:trPr>
        <w:tc>
          <w:tcPr>
            <w:tcW w:w="1271" w:type="dxa"/>
            <w:vAlign w:val="center"/>
          </w:tcPr>
          <w:p w14:paraId="31F76309" w14:textId="5DE54A7F" w:rsidR="007C4E62" w:rsidRDefault="007C4E62" w:rsidP="0053581F">
            <w:pPr>
              <w:spacing w:before="100" w:after="100" w:line="240" w:lineRule="auto"/>
              <w:ind w:left="-105"/>
              <w:rPr>
                <w:rFonts w:cs="Arial"/>
                <w:szCs w:val="22"/>
              </w:rPr>
            </w:pPr>
            <w:r>
              <w:rPr>
                <w:rFonts w:cs="Arial"/>
                <w:szCs w:val="22"/>
              </w:rPr>
              <w:t>CM</w:t>
            </w:r>
          </w:p>
        </w:tc>
        <w:tc>
          <w:tcPr>
            <w:tcW w:w="7745" w:type="dxa"/>
            <w:vAlign w:val="center"/>
          </w:tcPr>
          <w:p w14:paraId="7A9F28C2" w14:textId="12265A43" w:rsidR="007C4E62" w:rsidRDefault="007C4E62" w:rsidP="00703671">
            <w:pPr>
              <w:spacing w:before="100" w:after="100" w:line="240" w:lineRule="auto"/>
              <w:rPr>
                <w:rFonts w:cs="Arial"/>
                <w:szCs w:val="22"/>
              </w:rPr>
            </w:pPr>
            <w:r>
              <w:rPr>
                <w:rFonts w:cs="Arial"/>
                <w:szCs w:val="22"/>
              </w:rPr>
              <w:t>Commission</w:t>
            </w:r>
            <w:r w:rsidR="006C2710">
              <w:rPr>
                <w:rFonts w:cs="Arial"/>
                <w:szCs w:val="22"/>
              </w:rPr>
              <w:t xml:space="preserve"> indicator</w:t>
            </w:r>
          </w:p>
        </w:tc>
      </w:tr>
      <w:tr w:rsidR="00561352" w:rsidRPr="00293C50" w14:paraId="4C871D06" w14:textId="77777777" w:rsidTr="0053581F">
        <w:trPr>
          <w:trHeight w:val="286"/>
        </w:trPr>
        <w:tc>
          <w:tcPr>
            <w:tcW w:w="1271" w:type="dxa"/>
            <w:vAlign w:val="center"/>
          </w:tcPr>
          <w:p w14:paraId="2F4F728B" w14:textId="72C059D9" w:rsidR="00561352" w:rsidRDefault="00561352" w:rsidP="0053581F">
            <w:pPr>
              <w:spacing w:before="100" w:after="100" w:line="240" w:lineRule="auto"/>
              <w:ind w:left="-105"/>
              <w:rPr>
                <w:rFonts w:cs="Arial"/>
                <w:szCs w:val="22"/>
              </w:rPr>
            </w:pPr>
            <w:r>
              <w:rPr>
                <w:rFonts w:cs="Arial"/>
                <w:szCs w:val="22"/>
              </w:rPr>
              <w:t>CO</w:t>
            </w:r>
          </w:p>
        </w:tc>
        <w:tc>
          <w:tcPr>
            <w:tcW w:w="7745" w:type="dxa"/>
            <w:vAlign w:val="center"/>
          </w:tcPr>
          <w:p w14:paraId="15E9FC77" w14:textId="60F0F447" w:rsidR="00561352" w:rsidRDefault="00561352" w:rsidP="00703671">
            <w:pPr>
              <w:spacing w:before="100" w:after="100" w:line="240" w:lineRule="auto"/>
              <w:rPr>
                <w:rFonts w:cs="Arial"/>
                <w:szCs w:val="22"/>
              </w:rPr>
            </w:pPr>
            <w:r>
              <w:rPr>
                <w:rFonts w:cs="Arial"/>
                <w:szCs w:val="22"/>
              </w:rPr>
              <w:t>Coordinate</w:t>
            </w:r>
            <w:r w:rsidR="006C2710">
              <w:rPr>
                <w:rFonts w:cs="Arial"/>
                <w:szCs w:val="22"/>
              </w:rPr>
              <w:t xml:space="preserve"> indicator</w:t>
            </w:r>
          </w:p>
        </w:tc>
      </w:tr>
      <w:tr w:rsidR="006C2710" w:rsidRPr="00293C50" w14:paraId="4E7FBC87" w14:textId="77777777" w:rsidTr="0053581F">
        <w:trPr>
          <w:trHeight w:val="286"/>
        </w:trPr>
        <w:tc>
          <w:tcPr>
            <w:tcW w:w="1271" w:type="dxa"/>
            <w:vAlign w:val="center"/>
          </w:tcPr>
          <w:p w14:paraId="3B1129C1" w14:textId="1369CDF7" w:rsidR="006C2710" w:rsidRDefault="006C2710" w:rsidP="0053581F">
            <w:pPr>
              <w:spacing w:before="100" w:after="100" w:line="240" w:lineRule="auto"/>
              <w:ind w:left="-105"/>
              <w:rPr>
                <w:rFonts w:cs="Arial"/>
                <w:szCs w:val="22"/>
              </w:rPr>
            </w:pPr>
            <w:r>
              <w:rPr>
                <w:rFonts w:cs="Arial"/>
                <w:szCs w:val="22"/>
              </w:rPr>
              <w:t>CP</w:t>
            </w:r>
          </w:p>
        </w:tc>
        <w:tc>
          <w:tcPr>
            <w:tcW w:w="7745" w:type="dxa"/>
            <w:vAlign w:val="center"/>
          </w:tcPr>
          <w:p w14:paraId="1C7BA543" w14:textId="4A9577F9" w:rsidR="006C2710" w:rsidRDefault="006C2710" w:rsidP="00703671">
            <w:pPr>
              <w:spacing w:before="100" w:after="100" w:line="240" w:lineRule="auto"/>
              <w:rPr>
                <w:rFonts w:cs="Arial"/>
                <w:szCs w:val="22"/>
              </w:rPr>
            </w:pPr>
            <w:r>
              <w:rPr>
                <w:rFonts w:cs="Arial"/>
                <w:szCs w:val="22"/>
              </w:rPr>
              <w:t>Compliance indicator</w:t>
            </w:r>
          </w:p>
        </w:tc>
      </w:tr>
      <w:tr w:rsidR="004C6158" w:rsidRPr="00293C50" w14:paraId="53B2A803" w14:textId="77777777" w:rsidTr="0053581F">
        <w:trPr>
          <w:trHeight w:val="286"/>
        </w:trPr>
        <w:tc>
          <w:tcPr>
            <w:tcW w:w="1271" w:type="dxa"/>
            <w:vAlign w:val="center"/>
          </w:tcPr>
          <w:p w14:paraId="5653577B" w14:textId="4582C8FB" w:rsidR="004C6158" w:rsidRDefault="004C6158" w:rsidP="0053581F">
            <w:pPr>
              <w:spacing w:before="100" w:after="100" w:line="240" w:lineRule="auto"/>
              <w:ind w:left="-105"/>
              <w:rPr>
                <w:rFonts w:cs="Arial"/>
                <w:szCs w:val="22"/>
              </w:rPr>
            </w:pPr>
            <w:r>
              <w:rPr>
                <w:rFonts w:cs="Arial"/>
                <w:szCs w:val="22"/>
              </w:rPr>
              <w:t>CQI</w:t>
            </w:r>
          </w:p>
        </w:tc>
        <w:tc>
          <w:tcPr>
            <w:tcW w:w="7745" w:type="dxa"/>
            <w:vAlign w:val="center"/>
          </w:tcPr>
          <w:p w14:paraId="564FEFE2" w14:textId="073A8F95" w:rsidR="004C6158" w:rsidRDefault="004C6158" w:rsidP="00703671">
            <w:pPr>
              <w:spacing w:before="100" w:after="100" w:line="240" w:lineRule="auto"/>
              <w:rPr>
                <w:rFonts w:cs="Arial"/>
                <w:szCs w:val="22"/>
              </w:rPr>
            </w:pPr>
            <w:r>
              <w:rPr>
                <w:rFonts w:cs="Arial"/>
                <w:szCs w:val="22"/>
              </w:rPr>
              <w:t>Continuous Quality Improvement</w:t>
            </w:r>
          </w:p>
        </w:tc>
      </w:tr>
      <w:tr w:rsidR="006C2710" w:rsidRPr="00293C50" w14:paraId="6D1343BD" w14:textId="77777777" w:rsidTr="0053581F">
        <w:trPr>
          <w:trHeight w:val="286"/>
        </w:trPr>
        <w:tc>
          <w:tcPr>
            <w:tcW w:w="1271" w:type="dxa"/>
            <w:vAlign w:val="center"/>
          </w:tcPr>
          <w:p w14:paraId="0599D7FF" w14:textId="75664FDB" w:rsidR="006C2710" w:rsidRDefault="006C2710" w:rsidP="0053581F">
            <w:pPr>
              <w:spacing w:before="100" w:after="100" w:line="240" w:lineRule="auto"/>
              <w:ind w:left="-105"/>
              <w:rPr>
                <w:rFonts w:cs="Arial"/>
                <w:szCs w:val="22"/>
              </w:rPr>
            </w:pPr>
            <w:r>
              <w:rPr>
                <w:rFonts w:cs="Arial"/>
                <w:szCs w:val="22"/>
              </w:rPr>
              <w:t>IM</w:t>
            </w:r>
          </w:p>
        </w:tc>
        <w:tc>
          <w:tcPr>
            <w:tcW w:w="7745" w:type="dxa"/>
            <w:vAlign w:val="center"/>
          </w:tcPr>
          <w:p w14:paraId="7A00002A" w14:textId="3AF4C6C3" w:rsidR="006C2710" w:rsidRDefault="006C2710" w:rsidP="00703671">
            <w:pPr>
              <w:spacing w:before="100" w:after="100" w:line="240" w:lineRule="auto"/>
              <w:rPr>
                <w:rFonts w:cs="Arial"/>
                <w:szCs w:val="22"/>
              </w:rPr>
            </w:pPr>
            <w:r>
              <w:rPr>
                <w:rFonts w:cs="Arial"/>
                <w:szCs w:val="22"/>
              </w:rPr>
              <w:t>Impact indicator</w:t>
            </w:r>
          </w:p>
        </w:tc>
      </w:tr>
      <w:tr w:rsidR="00293C50" w:rsidRPr="00293C50" w14:paraId="5828D7C3" w14:textId="77777777" w:rsidTr="0053581F">
        <w:trPr>
          <w:trHeight w:val="286"/>
        </w:trPr>
        <w:tc>
          <w:tcPr>
            <w:tcW w:w="1271" w:type="dxa"/>
            <w:vAlign w:val="center"/>
          </w:tcPr>
          <w:p w14:paraId="547C3AE7" w14:textId="77777777" w:rsidR="00293C50" w:rsidRPr="00293C50" w:rsidRDefault="00293C50" w:rsidP="0053581F">
            <w:pPr>
              <w:spacing w:before="100" w:after="100" w:line="240" w:lineRule="auto"/>
              <w:ind w:left="-105"/>
              <w:rPr>
                <w:rFonts w:cs="Arial"/>
                <w:szCs w:val="22"/>
              </w:rPr>
            </w:pPr>
            <w:r w:rsidRPr="00293C50">
              <w:rPr>
                <w:rFonts w:cs="Arial"/>
                <w:szCs w:val="22"/>
              </w:rPr>
              <w:t>IPAs</w:t>
            </w:r>
          </w:p>
        </w:tc>
        <w:tc>
          <w:tcPr>
            <w:tcW w:w="7745" w:type="dxa"/>
            <w:vAlign w:val="center"/>
          </w:tcPr>
          <w:p w14:paraId="3CEC814A" w14:textId="77777777" w:rsidR="00293C50" w:rsidRPr="00293C50" w:rsidRDefault="00293C50" w:rsidP="00703671">
            <w:pPr>
              <w:spacing w:before="100" w:after="100" w:line="240" w:lineRule="auto"/>
              <w:rPr>
                <w:rFonts w:cs="Arial"/>
                <w:szCs w:val="22"/>
              </w:rPr>
            </w:pPr>
            <w:r w:rsidRPr="00293C50">
              <w:rPr>
                <w:rFonts w:cs="Arial"/>
                <w:szCs w:val="22"/>
              </w:rPr>
              <w:t>Individual Performance Assessments</w:t>
            </w:r>
          </w:p>
        </w:tc>
      </w:tr>
      <w:tr w:rsidR="00293C50" w:rsidRPr="00293C50" w14:paraId="651EC362" w14:textId="77777777" w:rsidTr="0053581F">
        <w:trPr>
          <w:trHeight w:val="286"/>
        </w:trPr>
        <w:tc>
          <w:tcPr>
            <w:tcW w:w="1271" w:type="dxa"/>
            <w:vAlign w:val="center"/>
          </w:tcPr>
          <w:p w14:paraId="31EA328D" w14:textId="77777777" w:rsidR="00293C50" w:rsidRPr="00293C50" w:rsidRDefault="00293C50" w:rsidP="0053581F">
            <w:pPr>
              <w:spacing w:before="100" w:after="100" w:line="240" w:lineRule="auto"/>
              <w:ind w:left="-105"/>
              <w:rPr>
                <w:rFonts w:cs="Arial"/>
                <w:szCs w:val="22"/>
              </w:rPr>
            </w:pPr>
            <w:r w:rsidRPr="00293C50">
              <w:rPr>
                <w:rFonts w:cs="Arial"/>
                <w:szCs w:val="22"/>
              </w:rPr>
              <w:t>IRSD</w:t>
            </w:r>
          </w:p>
        </w:tc>
        <w:tc>
          <w:tcPr>
            <w:tcW w:w="7745" w:type="dxa"/>
            <w:vAlign w:val="center"/>
          </w:tcPr>
          <w:p w14:paraId="00A2157B" w14:textId="77777777" w:rsidR="00293C50" w:rsidRPr="00293C50" w:rsidRDefault="00293C50" w:rsidP="00703671">
            <w:pPr>
              <w:spacing w:before="100" w:after="100" w:line="240" w:lineRule="auto"/>
              <w:rPr>
                <w:rFonts w:cs="Arial"/>
                <w:szCs w:val="22"/>
              </w:rPr>
            </w:pPr>
            <w:r w:rsidRPr="00293C50">
              <w:rPr>
                <w:rFonts w:cs="Arial"/>
                <w:szCs w:val="22"/>
              </w:rPr>
              <w:t>Index of Relative Socio-economic Disadvantage</w:t>
            </w:r>
          </w:p>
        </w:tc>
      </w:tr>
      <w:tr w:rsidR="00293C50" w:rsidRPr="00293C50" w14:paraId="2AA6D039" w14:textId="77777777" w:rsidTr="0053581F">
        <w:trPr>
          <w:trHeight w:val="286"/>
        </w:trPr>
        <w:tc>
          <w:tcPr>
            <w:tcW w:w="1271" w:type="dxa"/>
            <w:vAlign w:val="center"/>
          </w:tcPr>
          <w:p w14:paraId="683A6D2D" w14:textId="51B19B7B" w:rsidR="00293C50" w:rsidRPr="00293C50" w:rsidRDefault="00293C50" w:rsidP="0053581F">
            <w:pPr>
              <w:spacing w:before="100" w:after="100" w:line="240" w:lineRule="auto"/>
              <w:ind w:left="-105"/>
              <w:rPr>
                <w:rFonts w:cs="Arial"/>
                <w:szCs w:val="22"/>
              </w:rPr>
            </w:pPr>
            <w:r w:rsidRPr="00293C50">
              <w:rPr>
                <w:rFonts w:cs="Arial"/>
                <w:szCs w:val="22"/>
              </w:rPr>
              <w:t>LH</w:t>
            </w:r>
            <w:r w:rsidR="00523C30">
              <w:rPr>
                <w:rFonts w:cs="Arial"/>
                <w:szCs w:val="22"/>
              </w:rPr>
              <w:t>N</w:t>
            </w:r>
          </w:p>
        </w:tc>
        <w:tc>
          <w:tcPr>
            <w:tcW w:w="7745" w:type="dxa"/>
            <w:vAlign w:val="center"/>
          </w:tcPr>
          <w:p w14:paraId="247B5634" w14:textId="1B8951A3" w:rsidR="00293C50" w:rsidRPr="00293C50" w:rsidRDefault="00293C50" w:rsidP="00703671">
            <w:pPr>
              <w:spacing w:before="100" w:after="100" w:line="240" w:lineRule="auto"/>
              <w:rPr>
                <w:rFonts w:cs="Arial"/>
                <w:szCs w:val="22"/>
              </w:rPr>
            </w:pPr>
            <w:r w:rsidRPr="00293C50">
              <w:rPr>
                <w:rFonts w:cs="Arial"/>
                <w:szCs w:val="22"/>
              </w:rPr>
              <w:t xml:space="preserve">Local Health </w:t>
            </w:r>
            <w:r w:rsidR="00523C30">
              <w:rPr>
                <w:rFonts w:cs="Arial"/>
                <w:szCs w:val="22"/>
              </w:rPr>
              <w:t>Networks</w:t>
            </w:r>
          </w:p>
        </w:tc>
      </w:tr>
      <w:tr w:rsidR="00293C50" w:rsidRPr="00293C50" w14:paraId="02115F2C" w14:textId="77777777" w:rsidTr="0053581F">
        <w:trPr>
          <w:trHeight w:val="286"/>
        </w:trPr>
        <w:tc>
          <w:tcPr>
            <w:tcW w:w="1271" w:type="dxa"/>
            <w:vAlign w:val="center"/>
          </w:tcPr>
          <w:p w14:paraId="5C8EF18C" w14:textId="77777777" w:rsidR="00293C50" w:rsidRPr="00293C50" w:rsidRDefault="00293C50" w:rsidP="0053581F">
            <w:pPr>
              <w:spacing w:before="100" w:after="100" w:line="240" w:lineRule="auto"/>
              <w:ind w:left="-105"/>
              <w:rPr>
                <w:rFonts w:cs="Arial"/>
                <w:szCs w:val="22"/>
              </w:rPr>
            </w:pPr>
            <w:r w:rsidRPr="00293C50">
              <w:rPr>
                <w:rFonts w:cs="Arial"/>
                <w:szCs w:val="22"/>
              </w:rPr>
              <w:t>LHN</w:t>
            </w:r>
          </w:p>
        </w:tc>
        <w:tc>
          <w:tcPr>
            <w:tcW w:w="7745" w:type="dxa"/>
            <w:vAlign w:val="center"/>
          </w:tcPr>
          <w:p w14:paraId="72D575B4" w14:textId="77777777" w:rsidR="00293C50" w:rsidRPr="00293C50" w:rsidRDefault="00293C50" w:rsidP="00703671">
            <w:pPr>
              <w:spacing w:before="100" w:after="100" w:line="240" w:lineRule="auto"/>
              <w:rPr>
                <w:rFonts w:cs="Arial"/>
                <w:szCs w:val="22"/>
              </w:rPr>
            </w:pPr>
            <w:r w:rsidRPr="00293C50">
              <w:rPr>
                <w:rFonts w:cs="Arial"/>
                <w:szCs w:val="22"/>
              </w:rPr>
              <w:t>Local Health Network</w:t>
            </w:r>
          </w:p>
        </w:tc>
      </w:tr>
      <w:tr w:rsidR="00293C50" w:rsidRPr="00293C50" w14:paraId="6ABF3753" w14:textId="77777777" w:rsidTr="0053581F">
        <w:trPr>
          <w:trHeight w:val="286"/>
        </w:trPr>
        <w:tc>
          <w:tcPr>
            <w:tcW w:w="1271" w:type="dxa"/>
            <w:vAlign w:val="center"/>
          </w:tcPr>
          <w:p w14:paraId="6F7CDA4C" w14:textId="77777777" w:rsidR="00293C50" w:rsidRPr="00293C50" w:rsidRDefault="00293C50" w:rsidP="0053581F">
            <w:pPr>
              <w:spacing w:before="100" w:after="100" w:line="240" w:lineRule="auto"/>
              <w:ind w:left="-105"/>
              <w:rPr>
                <w:rFonts w:cs="Arial"/>
                <w:szCs w:val="22"/>
              </w:rPr>
            </w:pPr>
            <w:r w:rsidRPr="00293C50">
              <w:rPr>
                <w:rFonts w:cs="Arial"/>
                <w:szCs w:val="22"/>
              </w:rPr>
              <w:t>PHN</w:t>
            </w:r>
          </w:p>
        </w:tc>
        <w:tc>
          <w:tcPr>
            <w:tcW w:w="7745" w:type="dxa"/>
            <w:vAlign w:val="center"/>
          </w:tcPr>
          <w:p w14:paraId="23CF821C" w14:textId="77777777" w:rsidR="00293C50" w:rsidRPr="00293C50" w:rsidRDefault="00293C50" w:rsidP="00703671">
            <w:pPr>
              <w:spacing w:before="100" w:after="100" w:line="240" w:lineRule="auto"/>
              <w:rPr>
                <w:rFonts w:cs="Arial"/>
                <w:szCs w:val="22"/>
              </w:rPr>
            </w:pPr>
            <w:r w:rsidRPr="00293C50">
              <w:rPr>
                <w:rFonts w:cs="Arial"/>
                <w:szCs w:val="22"/>
              </w:rPr>
              <w:t>Primary Health Network</w:t>
            </w:r>
          </w:p>
        </w:tc>
      </w:tr>
      <w:tr w:rsidR="00293C50" w:rsidRPr="00293C50" w14:paraId="2CA789EB" w14:textId="77777777" w:rsidTr="0053581F">
        <w:trPr>
          <w:trHeight w:val="286"/>
        </w:trPr>
        <w:tc>
          <w:tcPr>
            <w:tcW w:w="1271" w:type="dxa"/>
            <w:vAlign w:val="center"/>
          </w:tcPr>
          <w:p w14:paraId="44BA4C1C" w14:textId="77777777" w:rsidR="00293C50" w:rsidRPr="00293C50" w:rsidRDefault="00293C50" w:rsidP="0053581F">
            <w:pPr>
              <w:spacing w:before="100" w:after="100" w:line="240" w:lineRule="auto"/>
              <w:ind w:left="-105"/>
              <w:rPr>
                <w:rFonts w:cs="Arial"/>
                <w:szCs w:val="22"/>
              </w:rPr>
            </w:pPr>
            <w:r w:rsidRPr="00293C50">
              <w:rPr>
                <w:rFonts w:cs="Arial"/>
                <w:szCs w:val="22"/>
              </w:rPr>
              <w:t>PHNP</w:t>
            </w:r>
          </w:p>
        </w:tc>
        <w:tc>
          <w:tcPr>
            <w:tcW w:w="7745" w:type="dxa"/>
            <w:vAlign w:val="center"/>
          </w:tcPr>
          <w:p w14:paraId="3A06A9A9" w14:textId="77777777" w:rsidR="00293C50" w:rsidRPr="00293C50" w:rsidRDefault="00293C50" w:rsidP="00703671">
            <w:pPr>
              <w:spacing w:before="100" w:after="100" w:line="240" w:lineRule="auto"/>
              <w:rPr>
                <w:rFonts w:cs="Arial"/>
                <w:szCs w:val="22"/>
              </w:rPr>
            </w:pPr>
            <w:r w:rsidRPr="00293C50">
              <w:rPr>
                <w:rFonts w:cs="Arial"/>
                <w:szCs w:val="22"/>
              </w:rPr>
              <w:t>Primary Health Networks and Partnerships (Branch)</w:t>
            </w:r>
          </w:p>
        </w:tc>
      </w:tr>
      <w:tr w:rsidR="00293C50" w:rsidRPr="00293C50" w14:paraId="090F3045" w14:textId="77777777" w:rsidTr="0053581F">
        <w:trPr>
          <w:trHeight w:val="286"/>
        </w:trPr>
        <w:tc>
          <w:tcPr>
            <w:tcW w:w="1271" w:type="dxa"/>
            <w:vAlign w:val="center"/>
          </w:tcPr>
          <w:p w14:paraId="3262C7D3" w14:textId="77777777" w:rsidR="00293C50" w:rsidRPr="00293C50" w:rsidRDefault="00293C50" w:rsidP="0053581F">
            <w:pPr>
              <w:spacing w:before="100" w:after="100" w:line="240" w:lineRule="auto"/>
              <w:ind w:left="-105"/>
              <w:rPr>
                <w:rFonts w:cs="Arial"/>
                <w:szCs w:val="22"/>
              </w:rPr>
            </w:pPr>
            <w:r w:rsidRPr="00293C50">
              <w:rPr>
                <w:rFonts w:cs="Arial"/>
                <w:szCs w:val="22"/>
              </w:rPr>
              <w:t>PIP</w:t>
            </w:r>
          </w:p>
        </w:tc>
        <w:tc>
          <w:tcPr>
            <w:tcW w:w="7745" w:type="dxa"/>
            <w:vAlign w:val="center"/>
          </w:tcPr>
          <w:p w14:paraId="1298C01F" w14:textId="77777777" w:rsidR="00293C50" w:rsidRPr="00293C50" w:rsidRDefault="00293C50" w:rsidP="00703671">
            <w:pPr>
              <w:spacing w:before="100" w:after="100" w:line="240" w:lineRule="auto"/>
              <w:rPr>
                <w:rFonts w:cs="Arial"/>
                <w:szCs w:val="22"/>
              </w:rPr>
            </w:pPr>
            <w:r w:rsidRPr="00293C50">
              <w:rPr>
                <w:rFonts w:cs="Arial"/>
                <w:szCs w:val="22"/>
              </w:rPr>
              <w:t>Practice Incentives Program</w:t>
            </w:r>
          </w:p>
        </w:tc>
      </w:tr>
      <w:tr w:rsidR="00B3183C" w:rsidRPr="00293C50" w14:paraId="06934DD2" w14:textId="77777777" w:rsidTr="0053581F">
        <w:trPr>
          <w:trHeight w:val="286"/>
        </w:trPr>
        <w:tc>
          <w:tcPr>
            <w:tcW w:w="1271" w:type="dxa"/>
            <w:vAlign w:val="center"/>
          </w:tcPr>
          <w:p w14:paraId="0C2B5B38" w14:textId="5913426F" w:rsidR="00B3183C" w:rsidRPr="00293C50" w:rsidRDefault="00B3183C" w:rsidP="0053581F">
            <w:pPr>
              <w:spacing w:before="100" w:after="100" w:line="240" w:lineRule="auto"/>
              <w:ind w:left="-105"/>
              <w:rPr>
                <w:rFonts w:cs="Arial"/>
                <w:szCs w:val="22"/>
              </w:rPr>
            </w:pPr>
            <w:r>
              <w:rPr>
                <w:rFonts w:cs="Arial"/>
                <w:szCs w:val="22"/>
              </w:rPr>
              <w:t>PMRF</w:t>
            </w:r>
          </w:p>
        </w:tc>
        <w:tc>
          <w:tcPr>
            <w:tcW w:w="7745" w:type="dxa"/>
            <w:vAlign w:val="center"/>
          </w:tcPr>
          <w:p w14:paraId="76571A27" w14:textId="569571A8" w:rsidR="00B3183C" w:rsidRPr="00293C50" w:rsidRDefault="00B3183C" w:rsidP="00703671">
            <w:pPr>
              <w:spacing w:before="100" w:after="100" w:line="240" w:lineRule="auto"/>
              <w:rPr>
                <w:rFonts w:cs="Arial"/>
                <w:szCs w:val="22"/>
              </w:rPr>
            </w:pPr>
            <w:r>
              <w:rPr>
                <w:rFonts w:cs="Arial"/>
                <w:szCs w:val="22"/>
              </w:rPr>
              <w:t>Performance Measurement and Reporting Framework</w:t>
            </w:r>
          </w:p>
        </w:tc>
      </w:tr>
      <w:tr w:rsidR="00293C50" w:rsidRPr="00293C50" w14:paraId="1A2DBEF6" w14:textId="77777777" w:rsidTr="0053581F">
        <w:trPr>
          <w:trHeight w:val="286"/>
        </w:trPr>
        <w:tc>
          <w:tcPr>
            <w:tcW w:w="1271" w:type="dxa"/>
            <w:vAlign w:val="center"/>
          </w:tcPr>
          <w:p w14:paraId="26BB73BA" w14:textId="77777777" w:rsidR="00293C50" w:rsidRPr="00293C50" w:rsidRDefault="00293C50" w:rsidP="0053581F">
            <w:pPr>
              <w:spacing w:before="100" w:after="100" w:line="240" w:lineRule="auto"/>
              <w:ind w:left="-105"/>
              <w:rPr>
                <w:rFonts w:cs="Arial"/>
                <w:szCs w:val="22"/>
              </w:rPr>
            </w:pPr>
            <w:r w:rsidRPr="00293C50">
              <w:rPr>
                <w:rFonts w:cs="Arial"/>
                <w:szCs w:val="22"/>
              </w:rPr>
              <w:t>PREM</w:t>
            </w:r>
          </w:p>
        </w:tc>
        <w:tc>
          <w:tcPr>
            <w:tcW w:w="7745" w:type="dxa"/>
            <w:vAlign w:val="center"/>
          </w:tcPr>
          <w:p w14:paraId="005363F1" w14:textId="77777777" w:rsidR="00293C50" w:rsidRPr="00293C50" w:rsidRDefault="00293C50" w:rsidP="00703671">
            <w:pPr>
              <w:spacing w:before="100" w:after="100" w:line="240" w:lineRule="auto"/>
              <w:rPr>
                <w:rFonts w:cs="Arial"/>
                <w:szCs w:val="22"/>
              </w:rPr>
            </w:pPr>
            <w:r w:rsidRPr="00293C50">
              <w:rPr>
                <w:rFonts w:cs="Arial"/>
                <w:szCs w:val="22"/>
              </w:rPr>
              <w:t>Patient Reported Experience Measure</w:t>
            </w:r>
          </w:p>
        </w:tc>
      </w:tr>
      <w:tr w:rsidR="00293C50" w:rsidRPr="00293C50" w14:paraId="1771D34C" w14:textId="77777777" w:rsidTr="0053581F">
        <w:trPr>
          <w:trHeight w:val="286"/>
        </w:trPr>
        <w:tc>
          <w:tcPr>
            <w:tcW w:w="1271" w:type="dxa"/>
            <w:vAlign w:val="center"/>
          </w:tcPr>
          <w:p w14:paraId="0EC82A45" w14:textId="77777777" w:rsidR="00293C50" w:rsidRPr="00293C50" w:rsidRDefault="00293C50" w:rsidP="0053581F">
            <w:pPr>
              <w:spacing w:before="100" w:after="100" w:line="240" w:lineRule="auto"/>
              <w:ind w:left="-105"/>
              <w:rPr>
                <w:rFonts w:cs="Arial"/>
                <w:szCs w:val="22"/>
              </w:rPr>
            </w:pPr>
            <w:r w:rsidRPr="00293C50">
              <w:rPr>
                <w:rFonts w:cs="Arial"/>
                <w:szCs w:val="22"/>
              </w:rPr>
              <w:t>PROM</w:t>
            </w:r>
          </w:p>
        </w:tc>
        <w:tc>
          <w:tcPr>
            <w:tcW w:w="7745" w:type="dxa"/>
            <w:vAlign w:val="center"/>
          </w:tcPr>
          <w:p w14:paraId="300A5529" w14:textId="77777777" w:rsidR="00293C50" w:rsidRPr="00293C50" w:rsidRDefault="00293C50" w:rsidP="00703671">
            <w:pPr>
              <w:spacing w:before="100" w:after="100" w:line="240" w:lineRule="auto"/>
              <w:rPr>
                <w:rFonts w:cs="Arial"/>
                <w:szCs w:val="22"/>
              </w:rPr>
            </w:pPr>
            <w:r w:rsidRPr="00293C50">
              <w:rPr>
                <w:rFonts w:cs="Arial"/>
                <w:szCs w:val="22"/>
              </w:rPr>
              <w:t>Patient Reported Outcome Measure</w:t>
            </w:r>
          </w:p>
        </w:tc>
      </w:tr>
      <w:tr w:rsidR="00293C50" w:rsidRPr="00293C50" w14:paraId="431D9C8E" w14:textId="77777777" w:rsidTr="0053581F">
        <w:trPr>
          <w:trHeight w:val="286"/>
        </w:trPr>
        <w:tc>
          <w:tcPr>
            <w:tcW w:w="1271" w:type="dxa"/>
            <w:vAlign w:val="center"/>
          </w:tcPr>
          <w:p w14:paraId="38286A98" w14:textId="77777777" w:rsidR="00293C50" w:rsidRPr="00293C50" w:rsidRDefault="00293C50" w:rsidP="0053581F">
            <w:pPr>
              <w:spacing w:before="100" w:after="100" w:line="240" w:lineRule="auto"/>
              <w:ind w:left="-105"/>
              <w:rPr>
                <w:rFonts w:cs="Arial"/>
                <w:szCs w:val="22"/>
              </w:rPr>
            </w:pPr>
            <w:r w:rsidRPr="00293C50">
              <w:rPr>
                <w:rFonts w:cs="Arial"/>
                <w:szCs w:val="22"/>
              </w:rPr>
              <w:t>SEIFA</w:t>
            </w:r>
          </w:p>
        </w:tc>
        <w:tc>
          <w:tcPr>
            <w:tcW w:w="7745" w:type="dxa"/>
            <w:vAlign w:val="center"/>
          </w:tcPr>
          <w:p w14:paraId="018E1739" w14:textId="77777777" w:rsidR="00293C50" w:rsidRPr="00293C50" w:rsidRDefault="00293C50" w:rsidP="00703671">
            <w:pPr>
              <w:spacing w:before="100" w:after="100" w:line="240" w:lineRule="auto"/>
              <w:rPr>
                <w:rFonts w:cs="Arial"/>
                <w:szCs w:val="22"/>
              </w:rPr>
            </w:pPr>
            <w:r w:rsidRPr="00293C50">
              <w:rPr>
                <w:rFonts w:cs="Arial"/>
                <w:szCs w:val="22"/>
              </w:rPr>
              <w:t>Socio-Economic Indexes for Areas</w:t>
            </w:r>
          </w:p>
        </w:tc>
      </w:tr>
    </w:tbl>
    <w:p w14:paraId="21F1F959" w14:textId="77777777" w:rsidR="00293C50" w:rsidRPr="0091321C" w:rsidRDefault="00293C50" w:rsidP="0091321C"/>
    <w:p w14:paraId="5782CFC7" w14:textId="77777777" w:rsidR="00703671" w:rsidRDefault="00703671" w:rsidP="006C0AFE">
      <w:pPr>
        <w:pStyle w:val="Body"/>
      </w:pPr>
    </w:p>
    <w:p w14:paraId="08C46B7A" w14:textId="77777777" w:rsidR="00703671" w:rsidRDefault="00703671">
      <w:pPr>
        <w:spacing w:before="0" w:after="0" w:line="240" w:lineRule="auto"/>
        <w:rPr>
          <w:rFonts w:cs="Arial"/>
          <w:b/>
          <w:bCs/>
          <w:iCs/>
          <w:color w:val="358189"/>
          <w:sz w:val="36"/>
          <w:szCs w:val="28"/>
        </w:rPr>
      </w:pPr>
      <w:r>
        <w:br w:type="page"/>
      </w:r>
    </w:p>
    <w:p w14:paraId="38B096A1" w14:textId="6AC846C0" w:rsidR="002B6DCB" w:rsidRPr="00A069A2" w:rsidRDefault="002B6DCB" w:rsidP="002B6DCB">
      <w:pPr>
        <w:pStyle w:val="Heading2"/>
      </w:pPr>
      <w:bookmarkStart w:id="39" w:name="_Toc211333069"/>
      <w:r w:rsidRPr="00A069A2">
        <w:lastRenderedPageBreak/>
        <w:t>References</w:t>
      </w:r>
      <w:bookmarkEnd w:id="39"/>
    </w:p>
    <w:p w14:paraId="53B83BB9" w14:textId="67860F47" w:rsidR="00616AD0" w:rsidRPr="00A069A2" w:rsidRDefault="00616AD0" w:rsidP="00616AD0">
      <w:r w:rsidRPr="00A069A2">
        <w:rPr>
          <w:b/>
          <w:bCs/>
        </w:rPr>
        <w:t xml:space="preserve">Australian Bureau of Statistics (ABS) 2023, </w:t>
      </w:r>
      <w:r w:rsidRPr="00A069A2">
        <w:t>Socio-Economic Indexes for Areas (SEIFA): Technical Paper, 2021, ABS, Canberra. Available at: https://www.abs.gov.au/statistics/detailed-methodology-information/concepts-sources-methods/socio-economic-indexes-areas-seifa-technical-paper/latest-release [Accessed 8 August 2025</w:t>
      </w:r>
      <w:r w:rsidR="00CB6812" w:rsidRPr="00A069A2">
        <w:t>]</w:t>
      </w:r>
      <w:r w:rsidR="003C53DF" w:rsidRPr="00A069A2">
        <w:t>.</w:t>
      </w:r>
    </w:p>
    <w:p w14:paraId="02A35519" w14:textId="77777777" w:rsidR="00616AD0" w:rsidRPr="00A069A2" w:rsidRDefault="00616AD0" w:rsidP="00616AD0">
      <w:pPr>
        <w:rPr>
          <w:b/>
          <w:bCs/>
        </w:rPr>
      </w:pPr>
    </w:p>
    <w:p w14:paraId="256403D9" w14:textId="6713C14F" w:rsidR="002B6DCB" w:rsidRPr="00A069A2" w:rsidRDefault="002B6DCB" w:rsidP="00616AD0">
      <w:r w:rsidRPr="00A069A2">
        <w:rPr>
          <w:b/>
          <w:bCs/>
        </w:rPr>
        <w:t>Australian Institute of Health and Welfare (AIHW) 2017</w:t>
      </w:r>
      <w:r w:rsidRPr="00A069A2">
        <w:t>, </w:t>
      </w:r>
      <w:r w:rsidRPr="00A069A2">
        <w:rPr>
          <w:i/>
          <w:iCs/>
        </w:rPr>
        <w:t>The Australian Health Performance Framework</w:t>
      </w:r>
      <w:r w:rsidRPr="00A069A2">
        <w:t>, National Health Information Principal Committee, AIHW, Canberra. Available at: https://www.aihw.gov.au/getmedia/1c95574c-ac07-4126-8b7c-31eb29d9b381/oos318_attachment-1.pdf.aspx [Accessed 8 August 2025</w:t>
      </w:r>
      <w:r w:rsidR="00CB6812" w:rsidRPr="00A069A2">
        <w:t>]</w:t>
      </w:r>
      <w:r w:rsidR="003C53DF" w:rsidRPr="00A069A2">
        <w:t>.</w:t>
      </w:r>
    </w:p>
    <w:p w14:paraId="0982DB53" w14:textId="77777777" w:rsidR="002964EB" w:rsidRPr="00A069A2" w:rsidRDefault="002964EB" w:rsidP="00616AD0"/>
    <w:p w14:paraId="76959447" w14:textId="77777777" w:rsidR="00231701" w:rsidRDefault="002964EB" w:rsidP="00616AD0">
      <w:pPr>
        <w:pStyle w:val="Body"/>
      </w:pPr>
      <w:r w:rsidRPr="00A069A2">
        <w:rPr>
          <w:b/>
          <w:bCs/>
        </w:rPr>
        <w:t>Busse, R, Klazinga, N, Panteli, D &amp; Quentin, W (eds) 2019</w:t>
      </w:r>
      <w:r w:rsidRPr="00A069A2">
        <w:t>, </w:t>
      </w:r>
      <w:r w:rsidRPr="00A069A2">
        <w:rPr>
          <w:i/>
          <w:iCs/>
        </w:rPr>
        <w:t>Improving healthcare quality in Europe: Characteristics, effectiveness and implementation of different strategies</w:t>
      </w:r>
      <w:r w:rsidRPr="00A069A2">
        <w:t>, European Observatory on Health Systems and Policies, Copenhagen. Available at: https://europepmc.org/article/MED/31721544 [Accessed 8 August 2025].</w:t>
      </w:r>
    </w:p>
    <w:p w14:paraId="63667089" w14:textId="77777777" w:rsidR="00231701" w:rsidRDefault="00231701" w:rsidP="00231701">
      <w:pPr>
        <w:pStyle w:val="Heading2"/>
      </w:pPr>
      <w:bookmarkStart w:id="40" w:name="_Toc522006919"/>
      <w:bookmarkStart w:id="41" w:name="_Toc211333070"/>
      <w:r w:rsidRPr="00BA2855">
        <w:t>Versio</w:t>
      </w:r>
      <w:r w:rsidRPr="001B7E6B">
        <w:t>n</w:t>
      </w:r>
      <w:r>
        <w:t xml:space="preserve"> History</w:t>
      </w:r>
      <w:bookmarkEnd w:id="40"/>
      <w:bookmarkEnd w:id="41"/>
    </w:p>
    <w:tbl>
      <w:tblPr>
        <w:tblStyle w:val="TableGrid"/>
        <w:tblW w:w="9558" w:type="dxa"/>
        <w:tblLayout w:type="fixed"/>
        <w:tblLook w:val="04A0" w:firstRow="1" w:lastRow="0" w:firstColumn="1" w:lastColumn="0" w:noHBand="0" w:noVBand="1"/>
        <w:tblCaption w:val="Version history table"/>
        <w:tblDescription w:val="This table is made up of 4 columns and 2 rows. It identifies versions and descripiton of chages with each version."/>
      </w:tblPr>
      <w:tblGrid>
        <w:gridCol w:w="1062"/>
        <w:gridCol w:w="3147"/>
        <w:gridCol w:w="2444"/>
        <w:gridCol w:w="2905"/>
      </w:tblGrid>
      <w:tr w:rsidR="00231701" w:rsidRPr="00DC6287" w14:paraId="4A0622C8" w14:textId="77777777" w:rsidTr="002625F4">
        <w:trPr>
          <w:trHeight w:val="619"/>
          <w:tblHeader/>
        </w:trPr>
        <w:tc>
          <w:tcPr>
            <w:tcW w:w="1062" w:type="dxa"/>
            <w:shd w:val="clear" w:color="auto" w:fill="153A6E"/>
            <w:vAlign w:val="bottom"/>
          </w:tcPr>
          <w:p w14:paraId="6BF824A3" w14:textId="77777777" w:rsidR="00231701" w:rsidRPr="00385676" w:rsidRDefault="00231701">
            <w:pPr>
              <w:jc w:val="center"/>
              <w:rPr>
                <w:b/>
                <w:color w:val="FFFFFF" w:themeColor="background1"/>
              </w:rPr>
            </w:pPr>
            <w:r w:rsidRPr="00385676">
              <w:rPr>
                <w:b/>
                <w:color w:val="FFFFFF" w:themeColor="background1"/>
              </w:rPr>
              <w:t>Version</w:t>
            </w:r>
          </w:p>
        </w:tc>
        <w:tc>
          <w:tcPr>
            <w:tcW w:w="3147" w:type="dxa"/>
            <w:shd w:val="clear" w:color="auto" w:fill="153A6E"/>
            <w:vAlign w:val="bottom"/>
          </w:tcPr>
          <w:p w14:paraId="29A27E7F" w14:textId="77777777" w:rsidR="00231701" w:rsidRPr="00385676" w:rsidRDefault="00231701">
            <w:pPr>
              <w:jc w:val="center"/>
              <w:rPr>
                <w:b/>
                <w:color w:val="FFFFFF" w:themeColor="background1"/>
              </w:rPr>
            </w:pPr>
            <w:r w:rsidRPr="00385676">
              <w:rPr>
                <w:b/>
                <w:color w:val="FFFFFF" w:themeColor="background1"/>
              </w:rPr>
              <w:t>Description of change</w:t>
            </w:r>
          </w:p>
        </w:tc>
        <w:tc>
          <w:tcPr>
            <w:tcW w:w="2444" w:type="dxa"/>
            <w:shd w:val="clear" w:color="auto" w:fill="153A6E"/>
            <w:vAlign w:val="bottom"/>
          </w:tcPr>
          <w:p w14:paraId="59DB9C96" w14:textId="77777777" w:rsidR="00231701" w:rsidRPr="00385676" w:rsidRDefault="00231701">
            <w:pPr>
              <w:jc w:val="center"/>
              <w:rPr>
                <w:b/>
                <w:color w:val="FFFFFF" w:themeColor="background1"/>
              </w:rPr>
            </w:pPr>
            <w:r w:rsidRPr="00385676">
              <w:rPr>
                <w:b/>
                <w:color w:val="FFFFFF" w:themeColor="background1"/>
              </w:rPr>
              <w:t>Author</w:t>
            </w:r>
          </w:p>
        </w:tc>
        <w:tc>
          <w:tcPr>
            <w:tcW w:w="2905" w:type="dxa"/>
            <w:shd w:val="clear" w:color="auto" w:fill="153A6E"/>
            <w:vAlign w:val="bottom"/>
          </w:tcPr>
          <w:p w14:paraId="59130726" w14:textId="77777777" w:rsidR="00231701" w:rsidRPr="00385676" w:rsidRDefault="00231701">
            <w:pPr>
              <w:jc w:val="center"/>
              <w:rPr>
                <w:b/>
                <w:color w:val="FFFFFF" w:themeColor="background1"/>
              </w:rPr>
            </w:pPr>
            <w:r w:rsidRPr="00385676">
              <w:rPr>
                <w:b/>
                <w:color w:val="FFFFFF" w:themeColor="background1"/>
              </w:rPr>
              <w:t>Effective date</w:t>
            </w:r>
          </w:p>
        </w:tc>
      </w:tr>
      <w:tr w:rsidR="00231701" w:rsidRPr="00DC6287" w14:paraId="777C6E99" w14:textId="77777777" w:rsidTr="002625F4">
        <w:trPr>
          <w:trHeight w:val="408"/>
        </w:trPr>
        <w:tc>
          <w:tcPr>
            <w:tcW w:w="1062" w:type="dxa"/>
          </w:tcPr>
          <w:p w14:paraId="687134A9" w14:textId="77777777" w:rsidR="00231701" w:rsidRPr="00BA2855" w:rsidRDefault="00231701">
            <w:pPr>
              <w:pStyle w:val="Helptext"/>
              <w:rPr>
                <w:color w:val="auto"/>
              </w:rPr>
            </w:pPr>
            <w:r w:rsidRPr="00BA2855">
              <w:rPr>
                <w:color w:val="auto"/>
              </w:rPr>
              <w:t>1.0</w:t>
            </w:r>
          </w:p>
        </w:tc>
        <w:tc>
          <w:tcPr>
            <w:tcW w:w="3147" w:type="dxa"/>
          </w:tcPr>
          <w:p w14:paraId="59FE27B6" w14:textId="77777777" w:rsidR="00231701" w:rsidRPr="00BA2855" w:rsidRDefault="00231701">
            <w:pPr>
              <w:pStyle w:val="Helptext"/>
              <w:rPr>
                <w:color w:val="auto"/>
              </w:rPr>
            </w:pPr>
            <w:r w:rsidRPr="00BA2855">
              <w:rPr>
                <w:color w:val="auto"/>
              </w:rPr>
              <w:t>Initial release version</w:t>
            </w:r>
          </w:p>
        </w:tc>
        <w:tc>
          <w:tcPr>
            <w:tcW w:w="2444" w:type="dxa"/>
          </w:tcPr>
          <w:p w14:paraId="064655AD" w14:textId="2FD3171D" w:rsidR="00231701" w:rsidRPr="00BA2855" w:rsidRDefault="00231701">
            <w:pPr>
              <w:pStyle w:val="Helptext"/>
              <w:rPr>
                <w:color w:val="auto"/>
              </w:rPr>
            </w:pPr>
            <w:r w:rsidRPr="002625F4">
              <w:rPr>
                <w:color w:val="auto"/>
              </w:rPr>
              <w:t>Department of Health</w:t>
            </w:r>
            <w:r w:rsidR="4DF2A707" w:rsidRPr="002625F4">
              <w:rPr>
                <w:color w:val="auto"/>
              </w:rPr>
              <w:t>, Disability and Ageing</w:t>
            </w:r>
          </w:p>
        </w:tc>
        <w:tc>
          <w:tcPr>
            <w:tcW w:w="2905" w:type="dxa"/>
          </w:tcPr>
          <w:p w14:paraId="5351782E" w14:textId="440E8B26" w:rsidR="00231701" w:rsidRPr="00BA2855" w:rsidRDefault="00FE3D07">
            <w:pPr>
              <w:pStyle w:val="Helptext"/>
              <w:rPr>
                <w:color w:val="auto"/>
              </w:rPr>
            </w:pPr>
            <w:r>
              <w:rPr>
                <w:color w:val="auto"/>
              </w:rPr>
              <w:t>August 2025</w:t>
            </w:r>
          </w:p>
        </w:tc>
      </w:tr>
    </w:tbl>
    <w:p w14:paraId="0E27A541" w14:textId="26369D19" w:rsidR="005A676C" w:rsidRPr="00A069A2" w:rsidRDefault="005A676C" w:rsidP="00616AD0">
      <w:pPr>
        <w:pStyle w:val="Body"/>
        <w:rPr>
          <w:b/>
          <w:bCs/>
          <w:iCs/>
        </w:rPr>
      </w:pPr>
    </w:p>
    <w:p w14:paraId="52CABDFF" w14:textId="6013637B" w:rsidR="005A676C" w:rsidRPr="00A069A2" w:rsidRDefault="00E85F7A" w:rsidP="00E62748">
      <w:pPr>
        <w:pStyle w:val="Heading2"/>
      </w:pPr>
      <w:bookmarkStart w:id="42" w:name="_Toc211333071"/>
      <w:r w:rsidRPr="00A069A2">
        <w:t xml:space="preserve">Primary Health Network </w:t>
      </w:r>
      <w:r w:rsidR="007F5EE6">
        <w:t xml:space="preserve">(PHN) </w:t>
      </w:r>
      <w:r w:rsidRPr="00A069A2">
        <w:t>Program Logic</w:t>
      </w:r>
      <w:bookmarkEnd w:id="42"/>
    </w:p>
    <w:p w14:paraId="1C4DBF23" w14:textId="4C53B198" w:rsidR="007F5EE6" w:rsidRDefault="00302337" w:rsidP="00C60238">
      <w:pPr>
        <w:spacing w:after="0"/>
        <w:rPr>
          <w:rFonts w:cs="Arial"/>
          <w:bCs/>
          <w:szCs w:val="22"/>
        </w:rPr>
      </w:pPr>
      <w:r w:rsidRPr="008913A1">
        <w:rPr>
          <w:rFonts w:cs="Arial"/>
          <w:bCs/>
          <w:szCs w:val="22"/>
        </w:rPr>
        <w:t xml:space="preserve">The </w:t>
      </w:r>
      <w:r w:rsidR="000938B0">
        <w:rPr>
          <w:rFonts w:cs="Arial"/>
          <w:bCs/>
          <w:szCs w:val="22"/>
        </w:rPr>
        <w:t xml:space="preserve">PHN </w:t>
      </w:r>
      <w:r w:rsidR="008913A1" w:rsidRPr="008913A1">
        <w:rPr>
          <w:rFonts w:cs="Arial"/>
          <w:bCs/>
          <w:szCs w:val="22"/>
        </w:rPr>
        <w:t>P</w:t>
      </w:r>
      <w:r w:rsidR="008913A1">
        <w:rPr>
          <w:rFonts w:cs="Arial"/>
          <w:bCs/>
          <w:szCs w:val="22"/>
        </w:rPr>
        <w:t xml:space="preserve">rogram Logic is available </w:t>
      </w:r>
      <w:r w:rsidR="00561C60">
        <w:rPr>
          <w:rFonts w:cs="Arial"/>
          <w:bCs/>
          <w:szCs w:val="22"/>
        </w:rPr>
        <w:t>at</w:t>
      </w:r>
      <w:r w:rsidR="007F5EE6">
        <w:rPr>
          <w:rFonts w:cs="Arial"/>
          <w:bCs/>
          <w:szCs w:val="22"/>
        </w:rPr>
        <w:t>:</w:t>
      </w:r>
    </w:p>
    <w:p w14:paraId="45A39DE6" w14:textId="22502F7B" w:rsidR="005A676C" w:rsidRPr="008913A1" w:rsidRDefault="007F5EE6" w:rsidP="00C60238">
      <w:pPr>
        <w:spacing w:after="0"/>
        <w:rPr>
          <w:rFonts w:cs="Arial"/>
          <w:bCs/>
          <w:szCs w:val="22"/>
        </w:rPr>
      </w:pPr>
      <w:hyperlink r:id="rId30" w:history="1">
        <w:r w:rsidRPr="00D34D34">
          <w:rPr>
            <w:rStyle w:val="Hyperlink"/>
            <w:rFonts w:cs="Arial"/>
            <w:bCs/>
            <w:szCs w:val="22"/>
          </w:rPr>
          <w:t>https://www.health.gov.au/resources/publications/primary-health-networks-phn-program-logic?language=en</w:t>
        </w:r>
      </w:hyperlink>
      <w:r w:rsidR="00561C60">
        <w:rPr>
          <w:rFonts w:cs="Arial"/>
          <w:bCs/>
          <w:szCs w:val="22"/>
        </w:rPr>
        <w:t xml:space="preserve"> </w:t>
      </w:r>
    </w:p>
    <w:p w14:paraId="3791FA0E" w14:textId="6BC41C8E" w:rsidR="00974CAF" w:rsidRPr="00A069A2" w:rsidRDefault="00974CAF" w:rsidP="1E5B4ED0">
      <w:pPr>
        <w:spacing w:before="0" w:after="0" w:line="240" w:lineRule="auto"/>
        <w:ind w:right="1134"/>
      </w:pPr>
    </w:p>
    <w:p w14:paraId="6B376297" w14:textId="302F3F6F" w:rsidR="00D15EBF" w:rsidRPr="00A069A2" w:rsidRDefault="00D15EBF" w:rsidP="1E5B4ED0">
      <w:pPr>
        <w:spacing w:before="0" w:after="0" w:line="240" w:lineRule="auto"/>
        <w:ind w:right="1134"/>
        <w:sectPr w:rsidR="00D15EBF" w:rsidRPr="00A069A2" w:rsidSect="00080D0B">
          <w:pgSz w:w="11906" w:h="16838"/>
          <w:pgMar w:top="1440" w:right="1440" w:bottom="1440" w:left="1440" w:header="709" w:footer="709" w:gutter="0"/>
          <w:cols w:space="708"/>
          <w:docGrid w:linePitch="360"/>
        </w:sectPr>
      </w:pPr>
    </w:p>
    <w:p w14:paraId="46CE23D4" w14:textId="77777777" w:rsidR="00205A93" w:rsidRPr="00A069A2" w:rsidRDefault="00205A93" w:rsidP="00346C4A">
      <w:pPr>
        <w:pStyle w:val="URL"/>
      </w:pPr>
      <w:r w:rsidRPr="00A069A2">
        <w:lastRenderedPageBreak/>
        <w:t>Health.gov.au</w:t>
      </w:r>
    </w:p>
    <w:p w14:paraId="6D416849" w14:textId="7DBBDF47" w:rsidR="00205A93" w:rsidRPr="00A069A2" w:rsidRDefault="00205A93" w:rsidP="004D1339">
      <w:pPr>
        <w:jc w:val="center"/>
      </w:pPr>
      <w:r w:rsidRPr="00A069A2">
        <w:t xml:space="preserve">All information in this publication is correct as at </w:t>
      </w:r>
      <w:r w:rsidR="00AA092D" w:rsidRPr="00A069A2">
        <w:t>August 2025</w:t>
      </w:r>
    </w:p>
    <w:sectPr w:rsidR="00205A93" w:rsidRPr="00A069A2" w:rsidSect="00C01F8E">
      <w:headerReference w:type="even" r:id="rId31"/>
      <w:headerReference w:type="default" r:id="rId32"/>
      <w:footerReference w:type="default" r:id="rId33"/>
      <w:headerReference w:type="first" r:id="rId34"/>
      <w:type w:val="oddPage"/>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E68D" w14:textId="77777777" w:rsidR="00D41FF3" w:rsidRDefault="00D41FF3" w:rsidP="00346C4A">
      <w:r>
        <w:separator/>
      </w:r>
    </w:p>
    <w:p w14:paraId="480395E0" w14:textId="77777777" w:rsidR="00D41FF3" w:rsidRDefault="00D41FF3" w:rsidP="00346C4A"/>
  </w:endnote>
  <w:endnote w:type="continuationSeparator" w:id="0">
    <w:p w14:paraId="38CA757B" w14:textId="77777777" w:rsidR="00D41FF3" w:rsidRDefault="00D41FF3" w:rsidP="00346C4A">
      <w:r>
        <w:continuationSeparator/>
      </w:r>
    </w:p>
    <w:p w14:paraId="4A09CF5E" w14:textId="77777777" w:rsidR="00D41FF3" w:rsidRDefault="00D41FF3" w:rsidP="00346C4A"/>
  </w:endnote>
  <w:endnote w:type="continuationNotice" w:id="1">
    <w:p w14:paraId="43B9F88E" w14:textId="77777777" w:rsidR="00D41FF3" w:rsidRDefault="00D41FF3"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48E8" w14:textId="4E0893A7" w:rsidR="0024481C" w:rsidRDefault="0024481C">
    <w:pPr>
      <w:pStyle w:val="Footer"/>
    </w:pPr>
    <w:r>
      <w:rPr>
        <w:noProof/>
      </w:rPr>
      <mc:AlternateContent>
        <mc:Choice Requires="wps">
          <w:drawing>
            <wp:anchor distT="0" distB="0" distL="0" distR="0" simplePos="0" relativeHeight="251658247" behindDoc="0" locked="0" layoutInCell="1" allowOverlap="1" wp14:anchorId="3A153EAB" wp14:editId="5C11E728">
              <wp:simplePos x="635" y="635"/>
              <wp:positionH relativeFrom="page">
                <wp:align>center</wp:align>
              </wp:positionH>
              <wp:positionV relativeFrom="page">
                <wp:align>bottom</wp:align>
              </wp:positionV>
              <wp:extent cx="609600" cy="485775"/>
              <wp:effectExtent l="0" t="0" r="0" b="0"/>
              <wp:wrapNone/>
              <wp:docPr id="191926183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B6E3937" w14:textId="6E95B849"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153EAB" id="_x0000_t202" coordsize="21600,21600" o:spt="202" path="m,l,21600r21600,l21600,xe">
              <v:stroke joinstyle="miter"/>
              <v:path gradientshapeok="t" o:connecttype="rect"/>
            </v:shapetype>
            <v:shape id="Text Box 9" o:spid="_x0000_s1029" type="#_x0000_t202" alt="OFFICIAL"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B6E3937" w14:textId="6E95B849"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B0A1" w14:textId="24FA11B8" w:rsidR="0024481C" w:rsidRDefault="0024481C">
    <w:pPr>
      <w:pStyle w:val="Footer"/>
    </w:pPr>
    <w:r>
      <w:rPr>
        <w:noProof/>
      </w:rPr>
      <mc:AlternateContent>
        <mc:Choice Requires="wps">
          <w:drawing>
            <wp:anchor distT="0" distB="0" distL="0" distR="0" simplePos="0" relativeHeight="251658248" behindDoc="0" locked="0" layoutInCell="1" allowOverlap="1" wp14:anchorId="28867426" wp14:editId="49228C8A">
              <wp:simplePos x="635" y="635"/>
              <wp:positionH relativeFrom="page">
                <wp:align>center</wp:align>
              </wp:positionH>
              <wp:positionV relativeFrom="page">
                <wp:align>bottom</wp:align>
              </wp:positionV>
              <wp:extent cx="609600" cy="485775"/>
              <wp:effectExtent l="0" t="0" r="0" b="0"/>
              <wp:wrapNone/>
              <wp:docPr id="181232016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2FB7C9C" w14:textId="14E85AE5"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67426" id="_x0000_t202" coordsize="21600,21600" o:spt="202" path="m,l,21600r21600,l21600,xe">
              <v:stroke joinstyle="miter"/>
              <v:path gradientshapeok="t" o:connecttype="rect"/>
            </v:shapetype>
            <v:shape id="Text Box 10" o:spid="_x0000_s1030" type="#_x0000_t202" alt="OFFICIAL" style="position:absolute;left:0;text-align:left;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52FB7C9C" w14:textId="14E85AE5"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BB94" w14:textId="0271A353" w:rsidR="00236073" w:rsidRDefault="0024481C" w:rsidP="00841111">
    <w:pPr>
      <w:pStyle w:val="Footer"/>
    </w:pPr>
    <w:r>
      <w:rPr>
        <w:noProof/>
      </w:rPr>
      <mc:AlternateContent>
        <mc:Choice Requires="wps">
          <w:drawing>
            <wp:anchor distT="0" distB="0" distL="0" distR="0" simplePos="0" relativeHeight="251658252" behindDoc="0" locked="0" layoutInCell="1" allowOverlap="1" wp14:anchorId="5C936424" wp14:editId="1D75B3BE">
              <wp:simplePos x="635" y="635"/>
              <wp:positionH relativeFrom="page">
                <wp:align>center</wp:align>
              </wp:positionH>
              <wp:positionV relativeFrom="page">
                <wp:align>bottom</wp:align>
              </wp:positionV>
              <wp:extent cx="609600" cy="485775"/>
              <wp:effectExtent l="0" t="0" r="0" b="0"/>
              <wp:wrapNone/>
              <wp:docPr id="200346942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8DD0ACB" w14:textId="42F3E76F"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36424" id="_x0000_t202" coordsize="21600,21600" o:spt="202" path="m,l,21600r21600,l21600,xe">
              <v:stroke joinstyle="miter"/>
              <v:path gradientshapeok="t" o:connecttype="rect"/>
            </v:shapetype>
            <v:shape id="Text Box 12" o:spid="_x0000_s1032" type="#_x0000_t202" alt="OFFICIAL" style="position:absolute;left:0;text-align:left;margin-left:0;margin-top:0;width:48pt;height:38.2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28DD0ACB" w14:textId="42F3E76F"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F4D9" w14:textId="6CEDA982" w:rsidR="00236073" w:rsidRDefault="00236073" w:rsidP="000A51C4">
    <w:pPr>
      <w:pStyle w:val="Footer"/>
      <w:jc w:val="left"/>
    </w:pPr>
  </w:p>
  <w:sdt>
    <w:sdtPr>
      <w:id w:val="141162288"/>
      <w:docPartObj>
        <w:docPartGallery w:val="Page Numbers (Bottom of Page)"/>
        <w:docPartUnique/>
      </w:docPartObj>
    </w:sdtPr>
    <w:sdtEndPr>
      <w:rPr>
        <w:noProof/>
      </w:rPr>
    </w:sdtEndPr>
    <w:sdtContent>
      <w:p w14:paraId="7CA8D345" w14:textId="77777777" w:rsidR="00236073" w:rsidRDefault="0045375F" w:rsidP="000A51C4">
        <w:pPr>
          <w:pStyle w:val="Footer"/>
          <w:jc w:val="left"/>
        </w:pPr>
        <w:r>
          <w:t>PHN Program Performance Measurement and Reporting Framework – Part A</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C2D7" w14:textId="11D022FE" w:rsidR="00236073" w:rsidRDefault="0024481C" w:rsidP="000D56E4">
    <w:pPr>
      <w:pStyle w:val="Footer"/>
    </w:pPr>
    <w:r>
      <w:rPr>
        <w:noProof/>
      </w:rPr>
      <mc:AlternateContent>
        <mc:Choice Requires="wps">
          <w:drawing>
            <wp:anchor distT="0" distB="0" distL="0" distR="0" simplePos="0" relativeHeight="251658254" behindDoc="0" locked="0" layoutInCell="1" allowOverlap="1" wp14:anchorId="78DB2B4F" wp14:editId="0B196904">
              <wp:simplePos x="635" y="635"/>
              <wp:positionH relativeFrom="page">
                <wp:align>center</wp:align>
              </wp:positionH>
              <wp:positionV relativeFrom="page">
                <wp:align>bottom</wp:align>
              </wp:positionV>
              <wp:extent cx="609600" cy="485775"/>
              <wp:effectExtent l="0" t="0" r="0" b="0"/>
              <wp:wrapNone/>
              <wp:docPr id="49479402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BEA64EC" w14:textId="2A2E8821"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B2B4F" id="_x0000_t202" coordsize="21600,21600" o:spt="202" path="m,l,21600r21600,l21600,xe">
              <v:stroke joinstyle="miter"/>
              <v:path gradientshapeok="t" o:connecttype="rect"/>
            </v:shapetype>
            <v:shape id="Text Box 11" o:spid="_x0000_s1034" type="#_x0000_t202" alt="OFFICIAL" style="position:absolute;left:0;text-align:left;margin-left:0;margin-top:0;width:48pt;height:38.2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F8kFwDgIAABwE&#10;AAAOAAAAAAAAAAAAAAAAAC4CAABkcnMvZTJvRG9jLnhtbFBLAQItABQABgAIAAAAIQCAFE8C2gAA&#10;AAMBAAAPAAAAAAAAAAAAAAAAAGgEAABkcnMvZG93bnJldi54bWxQSwUGAAAAAAQABADzAAAAbwUA&#10;AAAA&#10;" filled="f" stroked="f">
              <v:textbox style="mso-fit-shape-to-text:t" inset="0,0,0,15pt">
                <w:txbxContent>
                  <w:p w14:paraId="3BEA64EC" w14:textId="2A2E8821"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673BADD4"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DFA3" w14:textId="78D7A92F"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5A9A" w14:textId="77777777" w:rsidR="00D41FF3" w:rsidRDefault="00D41FF3" w:rsidP="00346C4A">
      <w:r>
        <w:separator/>
      </w:r>
    </w:p>
    <w:p w14:paraId="0B76AC4D" w14:textId="77777777" w:rsidR="00D41FF3" w:rsidRDefault="00D41FF3" w:rsidP="00346C4A"/>
  </w:footnote>
  <w:footnote w:type="continuationSeparator" w:id="0">
    <w:p w14:paraId="7DD57A6D" w14:textId="77777777" w:rsidR="00D41FF3" w:rsidRDefault="00D41FF3" w:rsidP="00346C4A">
      <w:r>
        <w:continuationSeparator/>
      </w:r>
    </w:p>
    <w:p w14:paraId="01C6B464" w14:textId="77777777" w:rsidR="00D41FF3" w:rsidRDefault="00D41FF3" w:rsidP="00346C4A"/>
  </w:footnote>
  <w:footnote w:type="continuationNotice" w:id="1">
    <w:p w14:paraId="75DC0355" w14:textId="77777777" w:rsidR="00D41FF3" w:rsidRDefault="00D41FF3" w:rsidP="00346C4A"/>
  </w:footnote>
  <w:footnote w:id="2">
    <w:p w14:paraId="1A8A9B2C" w14:textId="513C2F91" w:rsidR="006E21AF" w:rsidRPr="00A7182C" w:rsidRDefault="006E21AF" w:rsidP="00FD1ABD">
      <w:pPr>
        <w:pStyle w:val="FootnoteText"/>
        <w:spacing w:after="60"/>
        <w:rPr>
          <w:i/>
        </w:rPr>
      </w:pPr>
      <w:r>
        <w:rPr>
          <w:rStyle w:val="FootnoteReference"/>
        </w:rPr>
        <w:footnoteRef/>
      </w:r>
      <w:r w:rsidRPr="005E5772">
        <w:t xml:space="preserve"> </w:t>
      </w:r>
      <w:r w:rsidRPr="005F0EA6">
        <w:rPr>
          <w:rFonts w:cs="Arial"/>
          <w:sz w:val="18"/>
          <w:szCs w:val="18"/>
        </w:rPr>
        <w:t>PHN Program Theory of Change: “</w:t>
      </w:r>
      <w:r w:rsidRPr="005F0EA6">
        <w:rPr>
          <w:rFonts w:cs="Arial"/>
          <w:i/>
          <w:sz w:val="18"/>
          <w:szCs w:val="18"/>
        </w:rPr>
        <w:t>PHNs understand the health needs and local health system of their respective regions. PHNs use this knowledge to implement effective commissioning, capacity-building and coordination of health care in their region. PHNs are therefore best placed to deliver targeted and tailored approaches that improve the health outcomes of their community</w:t>
      </w:r>
      <w:r w:rsidR="00280F45" w:rsidRPr="005F0EA6">
        <w:rPr>
          <w:rFonts w:cs="Arial"/>
          <w:sz w:val="18"/>
          <w:szCs w:val="18"/>
        </w:rPr>
        <w:t>.”</w:t>
      </w:r>
    </w:p>
  </w:footnote>
  <w:footnote w:id="3">
    <w:p w14:paraId="2F5D6A42" w14:textId="21A7E8B9" w:rsidR="00200E2B" w:rsidRDefault="00200E2B">
      <w:pPr>
        <w:pStyle w:val="FootnoteText"/>
      </w:pPr>
      <w:r>
        <w:rPr>
          <w:rStyle w:val="FootnoteReference"/>
        </w:rPr>
        <w:footnoteRef/>
      </w:r>
      <w:r>
        <w:t xml:space="preserve"> Note that two indicators</w:t>
      </w:r>
      <w:r w:rsidR="004F3FBE">
        <w:t xml:space="preserve"> (CO-02,</w:t>
      </w:r>
      <w:r w:rsidR="00DC2B81">
        <w:t xml:space="preserve"> </w:t>
      </w:r>
      <w:r w:rsidR="00DF7B32">
        <w:t>CB-0</w:t>
      </w:r>
      <w:r w:rsidR="00523DA6">
        <w:t>6</w:t>
      </w:r>
      <w:r w:rsidR="00DC2B81">
        <w:t>)</w:t>
      </w:r>
      <w:r w:rsidR="004F3FBE">
        <w:t xml:space="preserve"> </w:t>
      </w:r>
      <w:r>
        <w:t xml:space="preserve">are considered both Progress and Performance </w:t>
      </w:r>
      <w:r w:rsidR="007D15A6">
        <w:t>indicators</w:t>
      </w:r>
      <w:r>
        <w:t xml:space="preserve"> and therefore conflate the total number of indicators</w:t>
      </w:r>
      <w:r w:rsidR="007D15A6">
        <w:t xml:space="preserve"> in Table </w:t>
      </w:r>
      <w:r w:rsidR="008526D0">
        <w:t>10</w:t>
      </w:r>
      <w:r w:rsidR="007D15A6">
        <w:t>.</w:t>
      </w:r>
    </w:p>
  </w:footnote>
  <w:footnote w:id="4">
    <w:p w14:paraId="678F269A" w14:textId="1925AD49" w:rsidR="00E4117D" w:rsidRDefault="00E4117D">
      <w:pPr>
        <w:pStyle w:val="FootnoteText"/>
      </w:pPr>
      <w:r>
        <w:rPr>
          <w:rStyle w:val="FootnoteReference"/>
        </w:rPr>
        <w:footnoteRef/>
      </w:r>
      <w:r>
        <w:t xml:space="preserve"> </w:t>
      </w:r>
      <w:r w:rsidRPr="00E4117D">
        <w:rPr>
          <w:sz w:val="18"/>
          <w:szCs w:val="18"/>
        </w:rPr>
        <w:t>While most PHNs are solely within state and territory boundaries, Murray PHN is classified as Victorian but includes the New South Wales town of Albury.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1717" w14:textId="578A21EF" w:rsidR="0024481C" w:rsidRDefault="0024481C">
    <w:pPr>
      <w:pStyle w:val="Header"/>
    </w:pPr>
    <w:r>
      <w:rPr>
        <w:noProof/>
      </w:rPr>
      <mc:AlternateContent>
        <mc:Choice Requires="wps">
          <w:drawing>
            <wp:anchor distT="0" distB="0" distL="0" distR="0" simplePos="0" relativeHeight="251658246" behindDoc="0" locked="0" layoutInCell="1" allowOverlap="1" wp14:anchorId="334E3CA6" wp14:editId="455CEAFF">
              <wp:simplePos x="635" y="635"/>
              <wp:positionH relativeFrom="page">
                <wp:align>center</wp:align>
              </wp:positionH>
              <wp:positionV relativeFrom="page">
                <wp:align>top</wp:align>
              </wp:positionV>
              <wp:extent cx="609600" cy="485775"/>
              <wp:effectExtent l="0" t="0" r="0" b="9525"/>
              <wp:wrapNone/>
              <wp:docPr id="12883418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997517D" w14:textId="3D1E101D"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E3CA6" id="_x0000_t202" coordsize="21600,21600" o:spt="202" path="m,l,21600r21600,l21600,xe">
              <v:stroke joinstyle="miter"/>
              <v:path gradientshapeok="t" o:connecttype="rect"/>
            </v:shapetype>
            <v:shape id="Text Box 2" o:spid="_x0000_s1027"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997517D" w14:textId="3D1E101D"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87B" w14:textId="6944AAA8" w:rsidR="008E0C77" w:rsidRDefault="0024481C" w:rsidP="008E0C77">
    <w:pPr>
      <w:pStyle w:val="Headertext"/>
      <w:spacing w:after="180"/>
      <w:jc w:val="left"/>
    </w:pPr>
    <w:r>
      <w:rPr>
        <w:noProof/>
        <w:lang w:eastAsia="en-AU"/>
      </w:rPr>
      <mc:AlternateContent>
        <mc:Choice Requires="wps">
          <w:drawing>
            <wp:anchor distT="0" distB="0" distL="0" distR="0" simplePos="0" relativeHeight="251658243" behindDoc="0" locked="0" layoutInCell="1" allowOverlap="1" wp14:anchorId="4AF78836" wp14:editId="49B231E0">
              <wp:simplePos x="635" y="635"/>
              <wp:positionH relativeFrom="page">
                <wp:align>center</wp:align>
              </wp:positionH>
              <wp:positionV relativeFrom="page">
                <wp:align>top</wp:align>
              </wp:positionV>
              <wp:extent cx="609600" cy="485775"/>
              <wp:effectExtent l="0" t="0" r="0" b="9525"/>
              <wp:wrapNone/>
              <wp:docPr id="18427731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E6C136E" w14:textId="53323F46"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78836" id="_x0000_t202" coordsize="21600,21600" o:spt="202" path="m,l,21600r21600,l21600,xe">
              <v:stroke joinstyle="miter"/>
              <v:path gradientshapeok="t" o:connecttype="rect"/>
            </v:shapetype>
            <v:shape id="Text Box 3" o:spid="_x0000_s1028"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3E6C136E" w14:textId="53323F46"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4B961936" wp14:editId="58520841">
          <wp:simplePos x="0" y="0"/>
          <wp:positionH relativeFrom="page">
            <wp:align>center</wp:align>
          </wp:positionH>
          <wp:positionV relativeFrom="page">
            <wp:align>center</wp:align>
          </wp:positionV>
          <wp:extent cx="7560000" cy="10692000"/>
          <wp:effectExtent l="0" t="0" r="3175" b="0"/>
          <wp:wrapNone/>
          <wp:docPr id="1701887120" name="Picture 1701887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B4F5" w14:textId="27A3F210" w:rsidR="007F1C78" w:rsidRDefault="007F1C78" w:rsidP="00014D2F">
    <w:pPr>
      <w:pStyle w:val="Header"/>
      <w:tabs>
        <w:tab w:val="clear" w:pos="4513"/>
        <w:tab w:val="clear" w:pos="9026"/>
        <w:tab w:val="center" w:pos="4535"/>
      </w:tabs>
      <w:ind w:left="-993"/>
      <w:rPr>
        <w:noProof/>
        <w:lang w:eastAsia="en-AU"/>
      </w:rPr>
    </w:pPr>
    <w:r>
      <w:rPr>
        <w:noProof/>
        <w:lang w:eastAsia="en-AU"/>
      </w:rPr>
      <w:drawing>
        <wp:inline distT="0" distB="0" distL="0" distR="0" wp14:anchorId="4006CC3F" wp14:editId="261DC97E">
          <wp:extent cx="3343663" cy="530353"/>
          <wp:effectExtent l="0" t="0" r="0" b="3175"/>
          <wp:docPr id="3452225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2253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p w14:paraId="1CA4F0F4" w14:textId="64D2946D" w:rsidR="00CA79CF" w:rsidRDefault="003C4AE7" w:rsidP="007F1C78">
    <w:pPr>
      <w:pStyle w:val="Header"/>
      <w:tabs>
        <w:tab w:val="clear" w:pos="9026"/>
        <w:tab w:val="left" w:pos="6240"/>
      </w:tabs>
    </w:pPr>
    <w:r>
      <w:rPr>
        <w:noProof/>
        <w:lang w:eastAsia="en-AU"/>
      </w:rPr>
      <w:drawing>
        <wp:anchor distT="0" distB="0" distL="114300" distR="114300" simplePos="0" relativeHeight="251658250" behindDoc="1" locked="0" layoutInCell="1" allowOverlap="1" wp14:anchorId="5E138512" wp14:editId="737ED276">
          <wp:simplePos x="0" y="0"/>
          <wp:positionH relativeFrom="page">
            <wp:posOffset>6350</wp:posOffset>
          </wp:positionH>
          <wp:positionV relativeFrom="page">
            <wp:posOffset>1073150</wp:posOffset>
          </wp:positionV>
          <wp:extent cx="7558405" cy="9618337"/>
          <wp:effectExtent l="0" t="0" r="4445" b="2540"/>
          <wp:wrapNone/>
          <wp:docPr id="658938130" name="Picture 658938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2" cstate="print">
                    <a:extLst>
                      <a:ext uri="{28A0092B-C50C-407E-A947-70E740481C1C}">
                        <a14:useLocalDpi xmlns:a14="http://schemas.microsoft.com/office/drawing/2010/main"/>
                      </a:ext>
                    </a:extLst>
                  </a:blip>
                  <a:srcRect/>
                  <a:stretch>
                    <a:fillRect/>
                  </a:stretch>
                </pic:blipFill>
                <pic:spPr bwMode="auto">
                  <a:xfrm>
                    <a:off x="0" y="0"/>
                    <a:ext cx="7558768" cy="96187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5A93">
      <w:tab/>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2F96" w14:textId="515B3EFA" w:rsidR="000D56E4" w:rsidRDefault="0024481C">
    <w:pPr>
      <w:pStyle w:val="Header"/>
    </w:pPr>
    <w:r>
      <w:rPr>
        <w:noProof/>
      </w:rPr>
      <mc:AlternateContent>
        <mc:Choice Requires="wps">
          <w:drawing>
            <wp:anchor distT="0" distB="0" distL="0" distR="0" simplePos="0" relativeHeight="251658251" behindDoc="0" locked="0" layoutInCell="1" allowOverlap="1" wp14:anchorId="3566B7D8" wp14:editId="55715A14">
              <wp:simplePos x="635" y="635"/>
              <wp:positionH relativeFrom="page">
                <wp:align>center</wp:align>
              </wp:positionH>
              <wp:positionV relativeFrom="page">
                <wp:align>top</wp:align>
              </wp:positionV>
              <wp:extent cx="609600" cy="485775"/>
              <wp:effectExtent l="0" t="0" r="0" b="9525"/>
              <wp:wrapNone/>
              <wp:docPr id="1179646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E826C75" w14:textId="5C87811F"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6B7D8" id="_x0000_t202" coordsize="21600,21600" o:spt="202" path="m,l,21600r21600,l21600,xe">
              <v:stroke joinstyle="miter"/>
              <v:path gradientshapeok="t" o:connecttype="rect"/>
            </v:shapetype>
            <v:shape id="Text Box 5" o:spid="_x0000_s1031" type="#_x0000_t202" alt="OFFICIAL" style="position:absolute;margin-left:0;margin-top:0;width:48pt;height:38.2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2E826C75" w14:textId="5C87811F"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3EDF" w14:textId="2D596CF6"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9356" w14:textId="0A53F143" w:rsidR="000D56E4" w:rsidRDefault="0024481C">
    <w:pPr>
      <w:pStyle w:val="Header"/>
    </w:pPr>
    <w:r>
      <w:rPr>
        <w:noProof/>
      </w:rPr>
      <mc:AlternateContent>
        <mc:Choice Requires="wps">
          <w:drawing>
            <wp:anchor distT="0" distB="0" distL="0" distR="0" simplePos="0" relativeHeight="251658253" behindDoc="0" locked="0" layoutInCell="1" allowOverlap="1" wp14:anchorId="55AA303D" wp14:editId="7933CC1C">
              <wp:simplePos x="635" y="635"/>
              <wp:positionH relativeFrom="page">
                <wp:align>center</wp:align>
              </wp:positionH>
              <wp:positionV relativeFrom="page">
                <wp:align>top</wp:align>
              </wp:positionV>
              <wp:extent cx="609600" cy="485775"/>
              <wp:effectExtent l="0" t="0" r="0" b="9525"/>
              <wp:wrapNone/>
              <wp:docPr id="18215642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57B7D6" w14:textId="3E34587F"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A303D" id="_x0000_t202" coordsize="21600,21600" o:spt="202" path="m,l,21600r21600,l21600,xe">
              <v:stroke joinstyle="miter"/>
              <v:path gradientshapeok="t" o:connecttype="rect"/>
            </v:shapetype>
            <v:shape id="Text Box 4" o:spid="_x0000_s1033" type="#_x0000_t202" alt="OFFICIAL" style="position:absolute;margin-left:0;margin-top:0;width:48pt;height:38.2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1657B7D6" w14:textId="3E34587F" w:rsidR="0024481C" w:rsidRPr="0024481C" w:rsidRDefault="0024481C" w:rsidP="0024481C">
                    <w:pPr>
                      <w:spacing w:after="0"/>
                      <w:rPr>
                        <w:rFonts w:ascii="Aptos" w:eastAsia="Aptos" w:hAnsi="Aptos" w:cs="Aptos"/>
                        <w:noProof/>
                        <w:color w:val="FF0000"/>
                        <w:sz w:val="24"/>
                      </w:rPr>
                    </w:pPr>
                    <w:r w:rsidRPr="0024481C">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A870" w14:textId="2C9279A6" w:rsidR="00E752EA" w:rsidRDefault="00E752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6F48" w14:textId="28DCD19E" w:rsidR="00205A93" w:rsidRDefault="00205A93" w:rsidP="008E0C77">
    <w:pPr>
      <w:pStyle w:val="Headertext"/>
      <w:spacing w:after="180"/>
      <w:jc w:val="left"/>
    </w:pPr>
    <w:r>
      <w:rPr>
        <w:noProof/>
        <w:lang w:eastAsia="en-AU"/>
      </w:rPr>
      <w:drawing>
        <wp:anchor distT="0" distB="0" distL="114300" distR="114300" simplePos="0" relativeHeight="251658241" behindDoc="1" locked="0" layoutInCell="1" allowOverlap="1" wp14:anchorId="426948C0" wp14:editId="3A625824">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0484" w14:textId="74383D3E" w:rsidR="00E752EA" w:rsidRDefault="00E7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302EEF"/>
    <w:multiLevelType w:val="multilevel"/>
    <w:tmpl w:val="FFD0748E"/>
    <w:lvl w:ilvl="0">
      <w:start w:val="1"/>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734F08"/>
    <w:multiLevelType w:val="hybridMultilevel"/>
    <w:tmpl w:val="BF70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D0562"/>
    <w:multiLevelType w:val="hybridMultilevel"/>
    <w:tmpl w:val="6C16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D632B"/>
    <w:multiLevelType w:val="hybridMultilevel"/>
    <w:tmpl w:val="4D3A1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22FA7"/>
    <w:multiLevelType w:val="hybridMultilevel"/>
    <w:tmpl w:val="8E6C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AD1E4C"/>
    <w:multiLevelType w:val="hybridMultilevel"/>
    <w:tmpl w:val="0C845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3470D0"/>
    <w:multiLevelType w:val="hybridMultilevel"/>
    <w:tmpl w:val="638ED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8F01BFE"/>
    <w:multiLevelType w:val="hybridMultilevel"/>
    <w:tmpl w:val="DA42B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42244C"/>
    <w:multiLevelType w:val="hybridMultilevel"/>
    <w:tmpl w:val="79CC0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467063"/>
    <w:multiLevelType w:val="hybridMultilevel"/>
    <w:tmpl w:val="8702B8BC"/>
    <w:lvl w:ilvl="0" w:tplc="BD9232E2">
      <w:start w:val="1"/>
      <w:numFmt w:val="bullet"/>
      <w:lvlText w:val=""/>
      <w:lvlJc w:val="left"/>
      <w:pPr>
        <w:ind w:left="1020" w:hanging="360"/>
      </w:pPr>
      <w:rPr>
        <w:rFonts w:ascii="Symbol" w:hAnsi="Symbol"/>
      </w:rPr>
    </w:lvl>
    <w:lvl w:ilvl="1" w:tplc="99E67136">
      <w:start w:val="1"/>
      <w:numFmt w:val="bullet"/>
      <w:lvlText w:val=""/>
      <w:lvlJc w:val="left"/>
      <w:pPr>
        <w:ind w:left="1020" w:hanging="360"/>
      </w:pPr>
      <w:rPr>
        <w:rFonts w:ascii="Symbol" w:hAnsi="Symbol"/>
      </w:rPr>
    </w:lvl>
    <w:lvl w:ilvl="2" w:tplc="A2540A06">
      <w:start w:val="1"/>
      <w:numFmt w:val="bullet"/>
      <w:lvlText w:val=""/>
      <w:lvlJc w:val="left"/>
      <w:pPr>
        <w:ind w:left="1020" w:hanging="360"/>
      </w:pPr>
      <w:rPr>
        <w:rFonts w:ascii="Symbol" w:hAnsi="Symbol"/>
      </w:rPr>
    </w:lvl>
    <w:lvl w:ilvl="3" w:tplc="0D3048B0">
      <w:start w:val="1"/>
      <w:numFmt w:val="bullet"/>
      <w:lvlText w:val=""/>
      <w:lvlJc w:val="left"/>
      <w:pPr>
        <w:ind w:left="1020" w:hanging="360"/>
      </w:pPr>
      <w:rPr>
        <w:rFonts w:ascii="Symbol" w:hAnsi="Symbol"/>
      </w:rPr>
    </w:lvl>
    <w:lvl w:ilvl="4" w:tplc="0D340244">
      <w:start w:val="1"/>
      <w:numFmt w:val="bullet"/>
      <w:lvlText w:val=""/>
      <w:lvlJc w:val="left"/>
      <w:pPr>
        <w:ind w:left="1020" w:hanging="360"/>
      </w:pPr>
      <w:rPr>
        <w:rFonts w:ascii="Symbol" w:hAnsi="Symbol"/>
      </w:rPr>
    </w:lvl>
    <w:lvl w:ilvl="5" w:tplc="289685B2">
      <w:start w:val="1"/>
      <w:numFmt w:val="bullet"/>
      <w:lvlText w:val=""/>
      <w:lvlJc w:val="left"/>
      <w:pPr>
        <w:ind w:left="1020" w:hanging="360"/>
      </w:pPr>
      <w:rPr>
        <w:rFonts w:ascii="Symbol" w:hAnsi="Symbol"/>
      </w:rPr>
    </w:lvl>
    <w:lvl w:ilvl="6" w:tplc="8CE83A78">
      <w:start w:val="1"/>
      <w:numFmt w:val="bullet"/>
      <w:lvlText w:val=""/>
      <w:lvlJc w:val="left"/>
      <w:pPr>
        <w:ind w:left="1020" w:hanging="360"/>
      </w:pPr>
      <w:rPr>
        <w:rFonts w:ascii="Symbol" w:hAnsi="Symbol"/>
      </w:rPr>
    </w:lvl>
    <w:lvl w:ilvl="7" w:tplc="9F26E0F4">
      <w:start w:val="1"/>
      <w:numFmt w:val="bullet"/>
      <w:lvlText w:val=""/>
      <w:lvlJc w:val="left"/>
      <w:pPr>
        <w:ind w:left="1020" w:hanging="360"/>
      </w:pPr>
      <w:rPr>
        <w:rFonts w:ascii="Symbol" w:hAnsi="Symbol"/>
      </w:rPr>
    </w:lvl>
    <w:lvl w:ilvl="8" w:tplc="6B76245A">
      <w:start w:val="1"/>
      <w:numFmt w:val="bullet"/>
      <w:lvlText w:val=""/>
      <w:lvlJc w:val="left"/>
      <w:pPr>
        <w:ind w:left="1020" w:hanging="360"/>
      </w:pPr>
      <w:rPr>
        <w:rFonts w:ascii="Symbol" w:hAnsi="Symbol"/>
      </w:rPr>
    </w:lvl>
  </w:abstractNum>
  <w:abstractNum w:abstractNumId="13" w15:restartNumberingAfterBreak="0">
    <w:nsid w:val="41953833"/>
    <w:multiLevelType w:val="hybridMultilevel"/>
    <w:tmpl w:val="8780D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584A83"/>
    <w:multiLevelType w:val="hybridMultilevel"/>
    <w:tmpl w:val="92C28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60871E6"/>
    <w:multiLevelType w:val="hybridMultilevel"/>
    <w:tmpl w:val="4F9EC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6C6D34"/>
    <w:multiLevelType w:val="hybridMultilevel"/>
    <w:tmpl w:val="608097E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2109CE"/>
    <w:multiLevelType w:val="hybridMultilevel"/>
    <w:tmpl w:val="9F143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AB3256"/>
    <w:multiLevelType w:val="hybridMultilevel"/>
    <w:tmpl w:val="ADAC3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631B65"/>
    <w:multiLevelType w:val="hybridMultilevel"/>
    <w:tmpl w:val="49AEF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313480"/>
    <w:multiLevelType w:val="hybridMultilevel"/>
    <w:tmpl w:val="BE30D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F34478C"/>
    <w:multiLevelType w:val="hybridMultilevel"/>
    <w:tmpl w:val="14A8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7746284">
    <w:abstractNumId w:val="17"/>
  </w:num>
  <w:num w:numId="2" w16cid:durableId="1355569013">
    <w:abstractNumId w:val="21"/>
  </w:num>
  <w:num w:numId="3" w16cid:durableId="1748729758">
    <w:abstractNumId w:val="0"/>
  </w:num>
  <w:num w:numId="4" w16cid:durableId="1620799973">
    <w:abstractNumId w:val="23"/>
  </w:num>
  <w:num w:numId="5" w16cid:durableId="1991860197">
    <w:abstractNumId w:val="2"/>
  </w:num>
  <w:num w:numId="6" w16cid:durableId="247345663">
    <w:abstractNumId w:val="9"/>
  </w:num>
  <w:num w:numId="7" w16cid:durableId="1433360337">
    <w:abstractNumId w:val="14"/>
  </w:num>
  <w:num w:numId="8" w16cid:durableId="1267496096">
    <w:abstractNumId w:val="1"/>
  </w:num>
  <w:num w:numId="9" w16cid:durableId="411507534">
    <w:abstractNumId w:val="10"/>
  </w:num>
  <w:num w:numId="10" w16cid:durableId="2095393908">
    <w:abstractNumId w:val="4"/>
  </w:num>
  <w:num w:numId="11" w16cid:durableId="1946224854">
    <w:abstractNumId w:val="8"/>
  </w:num>
  <w:num w:numId="12" w16cid:durableId="1972779635">
    <w:abstractNumId w:val="24"/>
  </w:num>
  <w:num w:numId="13" w16cid:durableId="87193758">
    <w:abstractNumId w:val="3"/>
  </w:num>
  <w:num w:numId="14" w16cid:durableId="601377097">
    <w:abstractNumId w:val="16"/>
  </w:num>
  <w:num w:numId="15" w16cid:durableId="1165630045">
    <w:abstractNumId w:val="6"/>
  </w:num>
  <w:num w:numId="16" w16cid:durableId="1559435420">
    <w:abstractNumId w:val="11"/>
  </w:num>
  <w:num w:numId="17" w16cid:durableId="133453137">
    <w:abstractNumId w:val="7"/>
  </w:num>
  <w:num w:numId="18" w16cid:durableId="426081148">
    <w:abstractNumId w:val="15"/>
  </w:num>
  <w:num w:numId="19" w16cid:durableId="1886485049">
    <w:abstractNumId w:val="12"/>
  </w:num>
  <w:num w:numId="20" w16cid:durableId="333916438">
    <w:abstractNumId w:val="20"/>
  </w:num>
  <w:num w:numId="21" w16cid:durableId="571351090">
    <w:abstractNumId w:val="19"/>
  </w:num>
  <w:num w:numId="22" w16cid:durableId="1919942680">
    <w:abstractNumId w:val="18"/>
  </w:num>
  <w:num w:numId="23" w16cid:durableId="1530534900">
    <w:abstractNumId w:val="5"/>
  </w:num>
  <w:num w:numId="24" w16cid:durableId="1798448865">
    <w:abstractNumId w:val="13"/>
  </w:num>
  <w:num w:numId="25" w16cid:durableId="7898981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NotTrackFormatting/>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38"/>
    <w:rsid w:val="00000852"/>
    <w:rsid w:val="00001D88"/>
    <w:rsid w:val="00002110"/>
    <w:rsid w:val="000021D6"/>
    <w:rsid w:val="0000329A"/>
    <w:rsid w:val="00003743"/>
    <w:rsid w:val="00003CA8"/>
    <w:rsid w:val="000047B4"/>
    <w:rsid w:val="000051A5"/>
    <w:rsid w:val="00005712"/>
    <w:rsid w:val="00005B12"/>
    <w:rsid w:val="0000678A"/>
    <w:rsid w:val="00007239"/>
    <w:rsid w:val="000078FC"/>
    <w:rsid w:val="00007FD8"/>
    <w:rsid w:val="00010E11"/>
    <w:rsid w:val="000117F8"/>
    <w:rsid w:val="00011D16"/>
    <w:rsid w:val="0001200A"/>
    <w:rsid w:val="00012240"/>
    <w:rsid w:val="000128B6"/>
    <w:rsid w:val="00012EF5"/>
    <w:rsid w:val="0001343F"/>
    <w:rsid w:val="00013F85"/>
    <w:rsid w:val="00014180"/>
    <w:rsid w:val="00014D2F"/>
    <w:rsid w:val="000150A2"/>
    <w:rsid w:val="00015122"/>
    <w:rsid w:val="000159A2"/>
    <w:rsid w:val="00015F15"/>
    <w:rsid w:val="000160CA"/>
    <w:rsid w:val="00016940"/>
    <w:rsid w:val="0001759E"/>
    <w:rsid w:val="0002044B"/>
    <w:rsid w:val="00020906"/>
    <w:rsid w:val="00020B87"/>
    <w:rsid w:val="00020E3B"/>
    <w:rsid w:val="00022483"/>
    <w:rsid w:val="00023B55"/>
    <w:rsid w:val="00026139"/>
    <w:rsid w:val="000265BC"/>
    <w:rsid w:val="00026CD7"/>
    <w:rsid w:val="00027071"/>
    <w:rsid w:val="00027601"/>
    <w:rsid w:val="00027B35"/>
    <w:rsid w:val="0003087B"/>
    <w:rsid w:val="0003105D"/>
    <w:rsid w:val="000315EE"/>
    <w:rsid w:val="00031FC8"/>
    <w:rsid w:val="0003236F"/>
    <w:rsid w:val="00033198"/>
    <w:rsid w:val="00033321"/>
    <w:rsid w:val="000336AD"/>
    <w:rsid w:val="000338E5"/>
    <w:rsid w:val="00033ECC"/>
    <w:rsid w:val="0003422F"/>
    <w:rsid w:val="00034E00"/>
    <w:rsid w:val="000350B8"/>
    <w:rsid w:val="00035CB0"/>
    <w:rsid w:val="00036F06"/>
    <w:rsid w:val="0004059A"/>
    <w:rsid w:val="0004112D"/>
    <w:rsid w:val="000436DA"/>
    <w:rsid w:val="00043B1E"/>
    <w:rsid w:val="00043D7C"/>
    <w:rsid w:val="00043E6D"/>
    <w:rsid w:val="00043E7D"/>
    <w:rsid w:val="00044079"/>
    <w:rsid w:val="00044CFD"/>
    <w:rsid w:val="00044D25"/>
    <w:rsid w:val="0004536F"/>
    <w:rsid w:val="000460A4"/>
    <w:rsid w:val="00046875"/>
    <w:rsid w:val="000468CF"/>
    <w:rsid w:val="00046996"/>
    <w:rsid w:val="00046A29"/>
    <w:rsid w:val="00046FF0"/>
    <w:rsid w:val="00050176"/>
    <w:rsid w:val="00050199"/>
    <w:rsid w:val="000504DF"/>
    <w:rsid w:val="00051A94"/>
    <w:rsid w:val="00053FDA"/>
    <w:rsid w:val="000550DC"/>
    <w:rsid w:val="00055D88"/>
    <w:rsid w:val="00055E3C"/>
    <w:rsid w:val="00057890"/>
    <w:rsid w:val="0006035C"/>
    <w:rsid w:val="000618ED"/>
    <w:rsid w:val="00062535"/>
    <w:rsid w:val="0006290D"/>
    <w:rsid w:val="00062966"/>
    <w:rsid w:val="00062A7D"/>
    <w:rsid w:val="00062B65"/>
    <w:rsid w:val="00062C8A"/>
    <w:rsid w:val="00063DE9"/>
    <w:rsid w:val="00063EAD"/>
    <w:rsid w:val="00064021"/>
    <w:rsid w:val="000650AD"/>
    <w:rsid w:val="000653D8"/>
    <w:rsid w:val="00066992"/>
    <w:rsid w:val="0006730B"/>
    <w:rsid w:val="00067456"/>
    <w:rsid w:val="00067495"/>
    <w:rsid w:val="00067CC3"/>
    <w:rsid w:val="00071506"/>
    <w:rsid w:val="0007154F"/>
    <w:rsid w:val="000721AE"/>
    <w:rsid w:val="00072BC6"/>
    <w:rsid w:val="00072DE8"/>
    <w:rsid w:val="00073ED6"/>
    <w:rsid w:val="000745B4"/>
    <w:rsid w:val="0007490A"/>
    <w:rsid w:val="00075EBD"/>
    <w:rsid w:val="00075FA6"/>
    <w:rsid w:val="000762FA"/>
    <w:rsid w:val="00076515"/>
    <w:rsid w:val="00076AB2"/>
    <w:rsid w:val="0007702F"/>
    <w:rsid w:val="00077262"/>
    <w:rsid w:val="00077E8C"/>
    <w:rsid w:val="000801E5"/>
    <w:rsid w:val="00080D0B"/>
    <w:rsid w:val="00081AB1"/>
    <w:rsid w:val="00083C14"/>
    <w:rsid w:val="0008637D"/>
    <w:rsid w:val="00086F87"/>
    <w:rsid w:val="000870F5"/>
    <w:rsid w:val="00090293"/>
    <w:rsid w:val="00090316"/>
    <w:rsid w:val="00090DC0"/>
    <w:rsid w:val="00090F86"/>
    <w:rsid w:val="0009105D"/>
    <w:rsid w:val="000921F6"/>
    <w:rsid w:val="000929DA"/>
    <w:rsid w:val="000932E3"/>
    <w:rsid w:val="00093419"/>
    <w:rsid w:val="00093715"/>
    <w:rsid w:val="0009381B"/>
    <w:rsid w:val="000938B0"/>
    <w:rsid w:val="00093981"/>
    <w:rsid w:val="00093CD9"/>
    <w:rsid w:val="00093D73"/>
    <w:rsid w:val="00094DB6"/>
    <w:rsid w:val="0009509C"/>
    <w:rsid w:val="000952E8"/>
    <w:rsid w:val="000969AA"/>
    <w:rsid w:val="00096D9D"/>
    <w:rsid w:val="00097E94"/>
    <w:rsid w:val="000A0BAC"/>
    <w:rsid w:val="000A14B6"/>
    <w:rsid w:val="000A1FBD"/>
    <w:rsid w:val="000A291A"/>
    <w:rsid w:val="000A3053"/>
    <w:rsid w:val="000A4597"/>
    <w:rsid w:val="000A51C4"/>
    <w:rsid w:val="000A5356"/>
    <w:rsid w:val="000A60E5"/>
    <w:rsid w:val="000A6110"/>
    <w:rsid w:val="000B05B9"/>
    <w:rsid w:val="000B067A"/>
    <w:rsid w:val="000B0BC5"/>
    <w:rsid w:val="000B0CB3"/>
    <w:rsid w:val="000B1540"/>
    <w:rsid w:val="000B1644"/>
    <w:rsid w:val="000B204E"/>
    <w:rsid w:val="000B2103"/>
    <w:rsid w:val="000B23C8"/>
    <w:rsid w:val="000B294F"/>
    <w:rsid w:val="000B33FD"/>
    <w:rsid w:val="000B3E9D"/>
    <w:rsid w:val="000B4ABA"/>
    <w:rsid w:val="000B51C8"/>
    <w:rsid w:val="000B56D2"/>
    <w:rsid w:val="000B5902"/>
    <w:rsid w:val="000B6B6A"/>
    <w:rsid w:val="000B6BEF"/>
    <w:rsid w:val="000B76A1"/>
    <w:rsid w:val="000C05B5"/>
    <w:rsid w:val="000C061F"/>
    <w:rsid w:val="000C115A"/>
    <w:rsid w:val="000C12B9"/>
    <w:rsid w:val="000C1E49"/>
    <w:rsid w:val="000C2EA2"/>
    <w:rsid w:val="000C4B16"/>
    <w:rsid w:val="000C4D4A"/>
    <w:rsid w:val="000C50C3"/>
    <w:rsid w:val="000C61A2"/>
    <w:rsid w:val="000C7B55"/>
    <w:rsid w:val="000C7EE6"/>
    <w:rsid w:val="000D0348"/>
    <w:rsid w:val="000D1087"/>
    <w:rsid w:val="000D2156"/>
    <w:rsid w:val="000D21F6"/>
    <w:rsid w:val="000D337B"/>
    <w:rsid w:val="000D36C7"/>
    <w:rsid w:val="000D3B50"/>
    <w:rsid w:val="000D3CDD"/>
    <w:rsid w:val="000D42C3"/>
    <w:rsid w:val="000D4500"/>
    <w:rsid w:val="000D489A"/>
    <w:rsid w:val="000D56E4"/>
    <w:rsid w:val="000D5FFA"/>
    <w:rsid w:val="000D7988"/>
    <w:rsid w:val="000D7AEA"/>
    <w:rsid w:val="000E01A9"/>
    <w:rsid w:val="000E1509"/>
    <w:rsid w:val="000E1EA0"/>
    <w:rsid w:val="000E2083"/>
    <w:rsid w:val="000E242E"/>
    <w:rsid w:val="000E286E"/>
    <w:rsid w:val="000E2C66"/>
    <w:rsid w:val="000E2D63"/>
    <w:rsid w:val="000E3110"/>
    <w:rsid w:val="000E37FA"/>
    <w:rsid w:val="000E45DE"/>
    <w:rsid w:val="000E4CFE"/>
    <w:rsid w:val="000E501B"/>
    <w:rsid w:val="000E597B"/>
    <w:rsid w:val="000E59E5"/>
    <w:rsid w:val="000E630D"/>
    <w:rsid w:val="000E6684"/>
    <w:rsid w:val="000E6E7D"/>
    <w:rsid w:val="000F123C"/>
    <w:rsid w:val="000F1B20"/>
    <w:rsid w:val="000F206A"/>
    <w:rsid w:val="000F2FED"/>
    <w:rsid w:val="000F44FC"/>
    <w:rsid w:val="000F4F4E"/>
    <w:rsid w:val="000F57CC"/>
    <w:rsid w:val="000F57FF"/>
    <w:rsid w:val="000F58F4"/>
    <w:rsid w:val="000F5C75"/>
    <w:rsid w:val="000F6A51"/>
    <w:rsid w:val="000F6E7E"/>
    <w:rsid w:val="000F6ECE"/>
    <w:rsid w:val="000F7493"/>
    <w:rsid w:val="000F7D24"/>
    <w:rsid w:val="00100B04"/>
    <w:rsid w:val="00100F6D"/>
    <w:rsid w:val="001019E7"/>
    <w:rsid w:val="00101B0D"/>
    <w:rsid w:val="001022EE"/>
    <w:rsid w:val="001024EF"/>
    <w:rsid w:val="00104ED5"/>
    <w:rsid w:val="0010616D"/>
    <w:rsid w:val="00107BB4"/>
    <w:rsid w:val="00110478"/>
    <w:rsid w:val="001144E7"/>
    <w:rsid w:val="001164C5"/>
    <w:rsid w:val="0011674E"/>
    <w:rsid w:val="0011711B"/>
    <w:rsid w:val="001176C6"/>
    <w:rsid w:val="00117F8A"/>
    <w:rsid w:val="001203D2"/>
    <w:rsid w:val="001203FB"/>
    <w:rsid w:val="0012100B"/>
    <w:rsid w:val="00121230"/>
    <w:rsid w:val="001217B4"/>
    <w:rsid w:val="00121B9B"/>
    <w:rsid w:val="001222C1"/>
    <w:rsid w:val="00122ADC"/>
    <w:rsid w:val="00123B46"/>
    <w:rsid w:val="0012455A"/>
    <w:rsid w:val="001245DB"/>
    <w:rsid w:val="00127626"/>
    <w:rsid w:val="00127BB1"/>
    <w:rsid w:val="0013089F"/>
    <w:rsid w:val="00130EFA"/>
    <w:rsid w:val="00130F59"/>
    <w:rsid w:val="00131DD2"/>
    <w:rsid w:val="001329E2"/>
    <w:rsid w:val="001337E1"/>
    <w:rsid w:val="00133EC0"/>
    <w:rsid w:val="0013491F"/>
    <w:rsid w:val="0013627F"/>
    <w:rsid w:val="001409DE"/>
    <w:rsid w:val="0014176C"/>
    <w:rsid w:val="00141B69"/>
    <w:rsid w:val="00141B6B"/>
    <w:rsid w:val="00141CE5"/>
    <w:rsid w:val="001440A3"/>
    <w:rsid w:val="001447F1"/>
    <w:rsid w:val="00144908"/>
    <w:rsid w:val="00145CC0"/>
    <w:rsid w:val="00146655"/>
    <w:rsid w:val="001469BF"/>
    <w:rsid w:val="00146CCB"/>
    <w:rsid w:val="00150859"/>
    <w:rsid w:val="00150BD4"/>
    <w:rsid w:val="00150D6A"/>
    <w:rsid w:val="001524E7"/>
    <w:rsid w:val="00152A90"/>
    <w:rsid w:val="00152DD6"/>
    <w:rsid w:val="00153F2B"/>
    <w:rsid w:val="001558FF"/>
    <w:rsid w:val="00155C8C"/>
    <w:rsid w:val="00155DAD"/>
    <w:rsid w:val="001570DD"/>
    <w:rsid w:val="001571C7"/>
    <w:rsid w:val="00157EC4"/>
    <w:rsid w:val="00161094"/>
    <w:rsid w:val="001623EC"/>
    <w:rsid w:val="001629D1"/>
    <w:rsid w:val="0016310B"/>
    <w:rsid w:val="001632F4"/>
    <w:rsid w:val="0016385B"/>
    <w:rsid w:val="00163D3E"/>
    <w:rsid w:val="00164ACA"/>
    <w:rsid w:val="00165473"/>
    <w:rsid w:val="0016776A"/>
    <w:rsid w:val="00167A9B"/>
    <w:rsid w:val="00170551"/>
    <w:rsid w:val="00170A30"/>
    <w:rsid w:val="00171E78"/>
    <w:rsid w:val="00172884"/>
    <w:rsid w:val="00172A55"/>
    <w:rsid w:val="0017340F"/>
    <w:rsid w:val="00173652"/>
    <w:rsid w:val="00173827"/>
    <w:rsid w:val="00174662"/>
    <w:rsid w:val="001758C2"/>
    <w:rsid w:val="001758CD"/>
    <w:rsid w:val="001763B2"/>
    <w:rsid w:val="0017665C"/>
    <w:rsid w:val="00177AD2"/>
    <w:rsid w:val="001808A2"/>
    <w:rsid w:val="001815A8"/>
    <w:rsid w:val="00181D13"/>
    <w:rsid w:val="00182920"/>
    <w:rsid w:val="001840B9"/>
    <w:rsid w:val="001840FA"/>
    <w:rsid w:val="00184217"/>
    <w:rsid w:val="001850C3"/>
    <w:rsid w:val="001850EE"/>
    <w:rsid w:val="00185264"/>
    <w:rsid w:val="0018621F"/>
    <w:rsid w:val="00187B1C"/>
    <w:rsid w:val="00187C31"/>
    <w:rsid w:val="00190079"/>
    <w:rsid w:val="001900D8"/>
    <w:rsid w:val="00190244"/>
    <w:rsid w:val="0019069B"/>
    <w:rsid w:val="00190D87"/>
    <w:rsid w:val="001921E0"/>
    <w:rsid w:val="0019236C"/>
    <w:rsid w:val="00193050"/>
    <w:rsid w:val="00195208"/>
    <w:rsid w:val="0019622E"/>
    <w:rsid w:val="001963DA"/>
    <w:rsid w:val="001966A7"/>
    <w:rsid w:val="00196BF3"/>
    <w:rsid w:val="00196EAE"/>
    <w:rsid w:val="00197BE2"/>
    <w:rsid w:val="00197D3D"/>
    <w:rsid w:val="001A0A36"/>
    <w:rsid w:val="001A15CE"/>
    <w:rsid w:val="001A2889"/>
    <w:rsid w:val="001A4627"/>
    <w:rsid w:val="001A4979"/>
    <w:rsid w:val="001A5363"/>
    <w:rsid w:val="001A7516"/>
    <w:rsid w:val="001A7E32"/>
    <w:rsid w:val="001B0CE0"/>
    <w:rsid w:val="001B0EF5"/>
    <w:rsid w:val="001B15D3"/>
    <w:rsid w:val="001B3379"/>
    <w:rsid w:val="001B3443"/>
    <w:rsid w:val="001B3F59"/>
    <w:rsid w:val="001B4A06"/>
    <w:rsid w:val="001B585D"/>
    <w:rsid w:val="001B587D"/>
    <w:rsid w:val="001B5CB3"/>
    <w:rsid w:val="001B5DDE"/>
    <w:rsid w:val="001B5ECC"/>
    <w:rsid w:val="001B68B0"/>
    <w:rsid w:val="001B6DA9"/>
    <w:rsid w:val="001C0326"/>
    <w:rsid w:val="001C1709"/>
    <w:rsid w:val="001C192F"/>
    <w:rsid w:val="001C2AAD"/>
    <w:rsid w:val="001C369C"/>
    <w:rsid w:val="001C3C42"/>
    <w:rsid w:val="001C3DE5"/>
    <w:rsid w:val="001C5668"/>
    <w:rsid w:val="001C586F"/>
    <w:rsid w:val="001C5C0E"/>
    <w:rsid w:val="001C6488"/>
    <w:rsid w:val="001D008E"/>
    <w:rsid w:val="001D0BDC"/>
    <w:rsid w:val="001D2532"/>
    <w:rsid w:val="001D2C73"/>
    <w:rsid w:val="001D2C97"/>
    <w:rsid w:val="001D3731"/>
    <w:rsid w:val="001D44D0"/>
    <w:rsid w:val="001D487A"/>
    <w:rsid w:val="001D48DA"/>
    <w:rsid w:val="001D5592"/>
    <w:rsid w:val="001D725D"/>
    <w:rsid w:val="001D77B8"/>
    <w:rsid w:val="001D7869"/>
    <w:rsid w:val="001E07EB"/>
    <w:rsid w:val="001E08E1"/>
    <w:rsid w:val="001E1543"/>
    <w:rsid w:val="001E25D4"/>
    <w:rsid w:val="001E2769"/>
    <w:rsid w:val="001E3734"/>
    <w:rsid w:val="001E3AFC"/>
    <w:rsid w:val="001E3B06"/>
    <w:rsid w:val="001E3E23"/>
    <w:rsid w:val="001E4B46"/>
    <w:rsid w:val="001E4DEF"/>
    <w:rsid w:val="001E5B0F"/>
    <w:rsid w:val="001E63F8"/>
    <w:rsid w:val="001E6909"/>
    <w:rsid w:val="001E7738"/>
    <w:rsid w:val="001E7F37"/>
    <w:rsid w:val="001F1BB2"/>
    <w:rsid w:val="001F1F21"/>
    <w:rsid w:val="001F2F78"/>
    <w:rsid w:val="001F4512"/>
    <w:rsid w:val="001F4965"/>
    <w:rsid w:val="001F5059"/>
    <w:rsid w:val="001F64DE"/>
    <w:rsid w:val="001F7F84"/>
    <w:rsid w:val="00200E2B"/>
    <w:rsid w:val="00200EC7"/>
    <w:rsid w:val="00201023"/>
    <w:rsid w:val="0020163C"/>
    <w:rsid w:val="002026CD"/>
    <w:rsid w:val="0020285A"/>
    <w:rsid w:val="002030C2"/>
    <w:rsid w:val="002033FC"/>
    <w:rsid w:val="002044BB"/>
    <w:rsid w:val="0020459C"/>
    <w:rsid w:val="00204B93"/>
    <w:rsid w:val="00205568"/>
    <w:rsid w:val="00205599"/>
    <w:rsid w:val="002059DF"/>
    <w:rsid w:val="00205A93"/>
    <w:rsid w:val="00206CC3"/>
    <w:rsid w:val="002075FA"/>
    <w:rsid w:val="00207793"/>
    <w:rsid w:val="00207F32"/>
    <w:rsid w:val="00210B09"/>
    <w:rsid w:val="00210C9E"/>
    <w:rsid w:val="00211787"/>
    <w:rsid w:val="00211840"/>
    <w:rsid w:val="00211BA1"/>
    <w:rsid w:val="002132DF"/>
    <w:rsid w:val="00213883"/>
    <w:rsid w:val="0021418B"/>
    <w:rsid w:val="0021441D"/>
    <w:rsid w:val="00214FB6"/>
    <w:rsid w:val="002157D2"/>
    <w:rsid w:val="002158F4"/>
    <w:rsid w:val="00215F8A"/>
    <w:rsid w:val="00216340"/>
    <w:rsid w:val="00216451"/>
    <w:rsid w:val="002176F0"/>
    <w:rsid w:val="00217A63"/>
    <w:rsid w:val="00220E5F"/>
    <w:rsid w:val="002212B5"/>
    <w:rsid w:val="00221ABA"/>
    <w:rsid w:val="002222F9"/>
    <w:rsid w:val="002248EE"/>
    <w:rsid w:val="00225813"/>
    <w:rsid w:val="00225994"/>
    <w:rsid w:val="00225A0E"/>
    <w:rsid w:val="00226668"/>
    <w:rsid w:val="0022694F"/>
    <w:rsid w:val="00226AF0"/>
    <w:rsid w:val="00226F2B"/>
    <w:rsid w:val="00230725"/>
    <w:rsid w:val="00230B75"/>
    <w:rsid w:val="00231466"/>
    <w:rsid w:val="00231701"/>
    <w:rsid w:val="0023275C"/>
    <w:rsid w:val="00232B48"/>
    <w:rsid w:val="00232BED"/>
    <w:rsid w:val="00233501"/>
    <w:rsid w:val="002336A2"/>
    <w:rsid w:val="00233809"/>
    <w:rsid w:val="00234F4E"/>
    <w:rsid w:val="002352EC"/>
    <w:rsid w:val="002355E3"/>
    <w:rsid w:val="00235AF2"/>
    <w:rsid w:val="00236073"/>
    <w:rsid w:val="00236B1A"/>
    <w:rsid w:val="00236ED8"/>
    <w:rsid w:val="00237093"/>
    <w:rsid w:val="002371C0"/>
    <w:rsid w:val="002372EB"/>
    <w:rsid w:val="00237ECF"/>
    <w:rsid w:val="00240046"/>
    <w:rsid w:val="0024144F"/>
    <w:rsid w:val="00243E75"/>
    <w:rsid w:val="002440A9"/>
    <w:rsid w:val="00244321"/>
    <w:rsid w:val="00244668"/>
    <w:rsid w:val="0024481C"/>
    <w:rsid w:val="00245F5A"/>
    <w:rsid w:val="00245F87"/>
    <w:rsid w:val="0024797F"/>
    <w:rsid w:val="00247BCC"/>
    <w:rsid w:val="002504C3"/>
    <w:rsid w:val="0025119E"/>
    <w:rsid w:val="00251269"/>
    <w:rsid w:val="0025176E"/>
    <w:rsid w:val="00251CCC"/>
    <w:rsid w:val="00252079"/>
    <w:rsid w:val="00252080"/>
    <w:rsid w:val="002523B7"/>
    <w:rsid w:val="00252AAD"/>
    <w:rsid w:val="00252EE0"/>
    <w:rsid w:val="002530A6"/>
    <w:rsid w:val="002533A5"/>
    <w:rsid w:val="002535C0"/>
    <w:rsid w:val="00253608"/>
    <w:rsid w:val="002541EE"/>
    <w:rsid w:val="002549A2"/>
    <w:rsid w:val="00256836"/>
    <w:rsid w:val="002572BB"/>
    <w:rsid w:val="0025754B"/>
    <w:rsid w:val="002579FE"/>
    <w:rsid w:val="00257E05"/>
    <w:rsid w:val="0026027F"/>
    <w:rsid w:val="00261A51"/>
    <w:rsid w:val="00261CF8"/>
    <w:rsid w:val="002625F4"/>
    <w:rsid w:val="00262C2D"/>
    <w:rsid w:val="0026311C"/>
    <w:rsid w:val="00264C5A"/>
    <w:rsid w:val="00265056"/>
    <w:rsid w:val="002663B4"/>
    <w:rsid w:val="0026668C"/>
    <w:rsid w:val="0026690F"/>
    <w:rsid w:val="00266AC1"/>
    <w:rsid w:val="002670B4"/>
    <w:rsid w:val="00267512"/>
    <w:rsid w:val="002706D2"/>
    <w:rsid w:val="002706F1"/>
    <w:rsid w:val="00271182"/>
    <w:rsid w:val="002714FB"/>
    <w:rsid w:val="0027178C"/>
    <w:rsid w:val="002719FA"/>
    <w:rsid w:val="00271EA0"/>
    <w:rsid w:val="0027242A"/>
    <w:rsid w:val="00272668"/>
    <w:rsid w:val="00272BFE"/>
    <w:rsid w:val="0027330B"/>
    <w:rsid w:val="002742B3"/>
    <w:rsid w:val="00274615"/>
    <w:rsid w:val="00274BD0"/>
    <w:rsid w:val="00274F02"/>
    <w:rsid w:val="00274FEF"/>
    <w:rsid w:val="00275AFC"/>
    <w:rsid w:val="00275C5A"/>
    <w:rsid w:val="002761EB"/>
    <w:rsid w:val="00276345"/>
    <w:rsid w:val="0027669D"/>
    <w:rsid w:val="002770B3"/>
    <w:rsid w:val="00277505"/>
    <w:rsid w:val="002803AD"/>
    <w:rsid w:val="00280E97"/>
    <w:rsid w:val="00280F45"/>
    <w:rsid w:val="0028113B"/>
    <w:rsid w:val="00281347"/>
    <w:rsid w:val="00281E63"/>
    <w:rsid w:val="00282052"/>
    <w:rsid w:val="002828D5"/>
    <w:rsid w:val="00283E8E"/>
    <w:rsid w:val="00284707"/>
    <w:rsid w:val="002849EA"/>
    <w:rsid w:val="0028519E"/>
    <w:rsid w:val="00285584"/>
    <w:rsid w:val="002856A5"/>
    <w:rsid w:val="0028599E"/>
    <w:rsid w:val="00286558"/>
    <w:rsid w:val="00286824"/>
    <w:rsid w:val="00287094"/>
    <w:rsid w:val="002872ED"/>
    <w:rsid w:val="00290455"/>
    <w:rsid w:val="002905C2"/>
    <w:rsid w:val="00290CD3"/>
    <w:rsid w:val="00291BB2"/>
    <w:rsid w:val="0029211A"/>
    <w:rsid w:val="002922B0"/>
    <w:rsid w:val="00292A03"/>
    <w:rsid w:val="0029360B"/>
    <w:rsid w:val="00293C50"/>
    <w:rsid w:val="00293E1D"/>
    <w:rsid w:val="00295AF2"/>
    <w:rsid w:val="00295C91"/>
    <w:rsid w:val="002964EB"/>
    <w:rsid w:val="00297151"/>
    <w:rsid w:val="00297313"/>
    <w:rsid w:val="00297318"/>
    <w:rsid w:val="00297C42"/>
    <w:rsid w:val="002A12D6"/>
    <w:rsid w:val="002A2DF5"/>
    <w:rsid w:val="002A3B31"/>
    <w:rsid w:val="002A4690"/>
    <w:rsid w:val="002A52F5"/>
    <w:rsid w:val="002A55D3"/>
    <w:rsid w:val="002A5F6C"/>
    <w:rsid w:val="002A62C1"/>
    <w:rsid w:val="002A646E"/>
    <w:rsid w:val="002A68D8"/>
    <w:rsid w:val="002A72E0"/>
    <w:rsid w:val="002B00C1"/>
    <w:rsid w:val="002B0A78"/>
    <w:rsid w:val="002B2017"/>
    <w:rsid w:val="002B20E6"/>
    <w:rsid w:val="002B42A3"/>
    <w:rsid w:val="002B43B3"/>
    <w:rsid w:val="002B442C"/>
    <w:rsid w:val="002B4592"/>
    <w:rsid w:val="002B5156"/>
    <w:rsid w:val="002B5CD7"/>
    <w:rsid w:val="002B690F"/>
    <w:rsid w:val="002B6DCB"/>
    <w:rsid w:val="002B738C"/>
    <w:rsid w:val="002C0854"/>
    <w:rsid w:val="002C0CDD"/>
    <w:rsid w:val="002C1029"/>
    <w:rsid w:val="002C1685"/>
    <w:rsid w:val="002C1BAC"/>
    <w:rsid w:val="002C2592"/>
    <w:rsid w:val="002C2A04"/>
    <w:rsid w:val="002C4300"/>
    <w:rsid w:val="002C52D8"/>
    <w:rsid w:val="002C5A83"/>
    <w:rsid w:val="002C5BCE"/>
    <w:rsid w:val="002C5E5B"/>
    <w:rsid w:val="002C5E80"/>
    <w:rsid w:val="002C6AD8"/>
    <w:rsid w:val="002C7BF4"/>
    <w:rsid w:val="002D0472"/>
    <w:rsid w:val="002D04C0"/>
    <w:rsid w:val="002D13A0"/>
    <w:rsid w:val="002D17F4"/>
    <w:rsid w:val="002D19D9"/>
    <w:rsid w:val="002D1B7B"/>
    <w:rsid w:val="002D2676"/>
    <w:rsid w:val="002D4BDB"/>
    <w:rsid w:val="002D58AE"/>
    <w:rsid w:val="002D58D2"/>
    <w:rsid w:val="002D6159"/>
    <w:rsid w:val="002D711D"/>
    <w:rsid w:val="002D7989"/>
    <w:rsid w:val="002E0609"/>
    <w:rsid w:val="002E11BB"/>
    <w:rsid w:val="002E1A1D"/>
    <w:rsid w:val="002E22C7"/>
    <w:rsid w:val="002E3B26"/>
    <w:rsid w:val="002E4081"/>
    <w:rsid w:val="002E490D"/>
    <w:rsid w:val="002E57C4"/>
    <w:rsid w:val="002E5B78"/>
    <w:rsid w:val="002E6EAF"/>
    <w:rsid w:val="002E6FE6"/>
    <w:rsid w:val="002E72ED"/>
    <w:rsid w:val="002F0505"/>
    <w:rsid w:val="002F1F32"/>
    <w:rsid w:val="002F3AE3"/>
    <w:rsid w:val="002F42EE"/>
    <w:rsid w:val="002F4A6C"/>
    <w:rsid w:val="002F5054"/>
    <w:rsid w:val="002F6252"/>
    <w:rsid w:val="002F6834"/>
    <w:rsid w:val="002F79AF"/>
    <w:rsid w:val="00302017"/>
    <w:rsid w:val="003020D4"/>
    <w:rsid w:val="00302337"/>
    <w:rsid w:val="003025B9"/>
    <w:rsid w:val="0030266D"/>
    <w:rsid w:val="0030329C"/>
    <w:rsid w:val="00303868"/>
    <w:rsid w:val="00303EDF"/>
    <w:rsid w:val="0030464B"/>
    <w:rsid w:val="003051C2"/>
    <w:rsid w:val="0030598E"/>
    <w:rsid w:val="003069A5"/>
    <w:rsid w:val="003069BD"/>
    <w:rsid w:val="0030786C"/>
    <w:rsid w:val="003100CD"/>
    <w:rsid w:val="00310416"/>
    <w:rsid w:val="00310D33"/>
    <w:rsid w:val="00311317"/>
    <w:rsid w:val="0031500B"/>
    <w:rsid w:val="00317637"/>
    <w:rsid w:val="00317A45"/>
    <w:rsid w:val="00317BE1"/>
    <w:rsid w:val="0032091F"/>
    <w:rsid w:val="00320EC7"/>
    <w:rsid w:val="00321B47"/>
    <w:rsid w:val="00321E75"/>
    <w:rsid w:val="00322795"/>
    <w:rsid w:val="003227E6"/>
    <w:rsid w:val="00322F4B"/>
    <w:rsid w:val="003233DE"/>
    <w:rsid w:val="00323D0A"/>
    <w:rsid w:val="0032466B"/>
    <w:rsid w:val="00324984"/>
    <w:rsid w:val="00324A22"/>
    <w:rsid w:val="00324B05"/>
    <w:rsid w:val="00326B9E"/>
    <w:rsid w:val="00327B44"/>
    <w:rsid w:val="00330373"/>
    <w:rsid w:val="00330DF4"/>
    <w:rsid w:val="00332027"/>
    <w:rsid w:val="003330EB"/>
    <w:rsid w:val="00334319"/>
    <w:rsid w:val="00334421"/>
    <w:rsid w:val="00334970"/>
    <w:rsid w:val="00334D58"/>
    <w:rsid w:val="00334F8F"/>
    <w:rsid w:val="0033557A"/>
    <w:rsid w:val="00335E26"/>
    <w:rsid w:val="00336605"/>
    <w:rsid w:val="00337608"/>
    <w:rsid w:val="00337E65"/>
    <w:rsid w:val="00340C09"/>
    <w:rsid w:val="003415FD"/>
    <w:rsid w:val="0034178A"/>
    <w:rsid w:val="00341C7C"/>
    <w:rsid w:val="00342148"/>
    <w:rsid w:val="003421EC"/>
    <w:rsid w:val="0034229C"/>
    <w:rsid w:val="003429F0"/>
    <w:rsid w:val="003442B9"/>
    <w:rsid w:val="00344C27"/>
    <w:rsid w:val="00344E8F"/>
    <w:rsid w:val="00345605"/>
    <w:rsid w:val="00345C55"/>
    <w:rsid w:val="003461B1"/>
    <w:rsid w:val="00346C4A"/>
    <w:rsid w:val="003506B6"/>
    <w:rsid w:val="0035097A"/>
    <w:rsid w:val="00350B9A"/>
    <w:rsid w:val="003516EB"/>
    <w:rsid w:val="00351E35"/>
    <w:rsid w:val="003522AE"/>
    <w:rsid w:val="003536DD"/>
    <w:rsid w:val="003540A4"/>
    <w:rsid w:val="00355137"/>
    <w:rsid w:val="00355FA2"/>
    <w:rsid w:val="003560CA"/>
    <w:rsid w:val="00356CC8"/>
    <w:rsid w:val="00357FD6"/>
    <w:rsid w:val="00360400"/>
    <w:rsid w:val="00360E4E"/>
    <w:rsid w:val="003610E6"/>
    <w:rsid w:val="00362B37"/>
    <w:rsid w:val="00366308"/>
    <w:rsid w:val="003675DA"/>
    <w:rsid w:val="00367A42"/>
    <w:rsid w:val="00367F70"/>
    <w:rsid w:val="003703DF"/>
    <w:rsid w:val="0037061B"/>
    <w:rsid w:val="0037080F"/>
    <w:rsid w:val="00370AAA"/>
    <w:rsid w:val="00371451"/>
    <w:rsid w:val="0037398A"/>
    <w:rsid w:val="00373DA9"/>
    <w:rsid w:val="00374801"/>
    <w:rsid w:val="00374D32"/>
    <w:rsid w:val="00375F77"/>
    <w:rsid w:val="00376859"/>
    <w:rsid w:val="00376AE5"/>
    <w:rsid w:val="00377A78"/>
    <w:rsid w:val="00377D96"/>
    <w:rsid w:val="00380184"/>
    <w:rsid w:val="00380DA1"/>
    <w:rsid w:val="003816F2"/>
    <w:rsid w:val="00381BBE"/>
    <w:rsid w:val="00381F2E"/>
    <w:rsid w:val="00382903"/>
    <w:rsid w:val="00383776"/>
    <w:rsid w:val="003846FF"/>
    <w:rsid w:val="00384AB8"/>
    <w:rsid w:val="00385AD4"/>
    <w:rsid w:val="00385BB4"/>
    <w:rsid w:val="0038671A"/>
    <w:rsid w:val="00386C30"/>
    <w:rsid w:val="00387924"/>
    <w:rsid w:val="0039191A"/>
    <w:rsid w:val="003931D6"/>
    <w:rsid w:val="00393302"/>
    <w:rsid w:val="00393584"/>
    <w:rsid w:val="00393634"/>
    <w:rsid w:val="00393711"/>
    <w:rsid w:val="003937C1"/>
    <w:rsid w:val="0039384D"/>
    <w:rsid w:val="0039397A"/>
    <w:rsid w:val="00394E8D"/>
    <w:rsid w:val="00395C22"/>
    <w:rsid w:val="00395C23"/>
    <w:rsid w:val="00396362"/>
    <w:rsid w:val="003975F1"/>
    <w:rsid w:val="00397701"/>
    <w:rsid w:val="00397AD8"/>
    <w:rsid w:val="003A0AE5"/>
    <w:rsid w:val="003A183D"/>
    <w:rsid w:val="003A1A41"/>
    <w:rsid w:val="003A1C8D"/>
    <w:rsid w:val="003A2E4F"/>
    <w:rsid w:val="003A3157"/>
    <w:rsid w:val="003A40B4"/>
    <w:rsid w:val="003A4438"/>
    <w:rsid w:val="003A4614"/>
    <w:rsid w:val="003A4AD4"/>
    <w:rsid w:val="003A5013"/>
    <w:rsid w:val="003A5078"/>
    <w:rsid w:val="003A50A6"/>
    <w:rsid w:val="003A5BF2"/>
    <w:rsid w:val="003A5F71"/>
    <w:rsid w:val="003A62DD"/>
    <w:rsid w:val="003A775A"/>
    <w:rsid w:val="003B0074"/>
    <w:rsid w:val="003B0DAB"/>
    <w:rsid w:val="003B2130"/>
    <w:rsid w:val="003B213A"/>
    <w:rsid w:val="003B2386"/>
    <w:rsid w:val="003B30C1"/>
    <w:rsid w:val="003B378F"/>
    <w:rsid w:val="003B3AF4"/>
    <w:rsid w:val="003B43AD"/>
    <w:rsid w:val="003B5188"/>
    <w:rsid w:val="003B53B1"/>
    <w:rsid w:val="003B60C1"/>
    <w:rsid w:val="003B7D77"/>
    <w:rsid w:val="003C0FEC"/>
    <w:rsid w:val="003C111D"/>
    <w:rsid w:val="003C15B8"/>
    <w:rsid w:val="003C2AC8"/>
    <w:rsid w:val="003C2E8B"/>
    <w:rsid w:val="003C3210"/>
    <w:rsid w:val="003C34B4"/>
    <w:rsid w:val="003C42E1"/>
    <w:rsid w:val="003C4AE7"/>
    <w:rsid w:val="003C53DF"/>
    <w:rsid w:val="003C5815"/>
    <w:rsid w:val="003C6D92"/>
    <w:rsid w:val="003C7022"/>
    <w:rsid w:val="003C784D"/>
    <w:rsid w:val="003D03A5"/>
    <w:rsid w:val="003D0F8C"/>
    <w:rsid w:val="003D101C"/>
    <w:rsid w:val="003D17F9"/>
    <w:rsid w:val="003D217E"/>
    <w:rsid w:val="003D2A87"/>
    <w:rsid w:val="003D2D88"/>
    <w:rsid w:val="003D41EA"/>
    <w:rsid w:val="003D4335"/>
    <w:rsid w:val="003D4850"/>
    <w:rsid w:val="003D4CBF"/>
    <w:rsid w:val="003D535A"/>
    <w:rsid w:val="003D5A81"/>
    <w:rsid w:val="003D5CD0"/>
    <w:rsid w:val="003D7018"/>
    <w:rsid w:val="003D7D67"/>
    <w:rsid w:val="003E00D2"/>
    <w:rsid w:val="003E08EB"/>
    <w:rsid w:val="003E10B8"/>
    <w:rsid w:val="003E153E"/>
    <w:rsid w:val="003E3046"/>
    <w:rsid w:val="003E3481"/>
    <w:rsid w:val="003E3EB2"/>
    <w:rsid w:val="003E446B"/>
    <w:rsid w:val="003E5265"/>
    <w:rsid w:val="003E6688"/>
    <w:rsid w:val="003E67E4"/>
    <w:rsid w:val="003E6FDE"/>
    <w:rsid w:val="003F0955"/>
    <w:rsid w:val="003F1415"/>
    <w:rsid w:val="003F29A9"/>
    <w:rsid w:val="003F36A2"/>
    <w:rsid w:val="003F582B"/>
    <w:rsid w:val="003F6CA1"/>
    <w:rsid w:val="003F6FE1"/>
    <w:rsid w:val="003F7011"/>
    <w:rsid w:val="003F7327"/>
    <w:rsid w:val="003F769B"/>
    <w:rsid w:val="003F789C"/>
    <w:rsid w:val="00400E74"/>
    <w:rsid w:val="00400F00"/>
    <w:rsid w:val="00401B97"/>
    <w:rsid w:val="00401BDF"/>
    <w:rsid w:val="00402B18"/>
    <w:rsid w:val="00402C08"/>
    <w:rsid w:val="00403879"/>
    <w:rsid w:val="00404C46"/>
    <w:rsid w:val="00404F8B"/>
    <w:rsid w:val="00405256"/>
    <w:rsid w:val="00405E3B"/>
    <w:rsid w:val="004062F4"/>
    <w:rsid w:val="00406561"/>
    <w:rsid w:val="00406945"/>
    <w:rsid w:val="00407895"/>
    <w:rsid w:val="00407D07"/>
    <w:rsid w:val="0041001C"/>
    <w:rsid w:val="00410031"/>
    <w:rsid w:val="0041014C"/>
    <w:rsid w:val="0041025E"/>
    <w:rsid w:val="004105F3"/>
    <w:rsid w:val="004115A2"/>
    <w:rsid w:val="004122E9"/>
    <w:rsid w:val="00414231"/>
    <w:rsid w:val="0041450E"/>
    <w:rsid w:val="00415C81"/>
    <w:rsid w:val="00416731"/>
    <w:rsid w:val="00417337"/>
    <w:rsid w:val="00417940"/>
    <w:rsid w:val="00420CEB"/>
    <w:rsid w:val="00421980"/>
    <w:rsid w:val="00422C00"/>
    <w:rsid w:val="00423125"/>
    <w:rsid w:val="00423649"/>
    <w:rsid w:val="00423656"/>
    <w:rsid w:val="00423BA9"/>
    <w:rsid w:val="00424AFB"/>
    <w:rsid w:val="00426363"/>
    <w:rsid w:val="004264E6"/>
    <w:rsid w:val="00426855"/>
    <w:rsid w:val="00426D12"/>
    <w:rsid w:val="004274C8"/>
    <w:rsid w:val="0042764E"/>
    <w:rsid w:val="00427C2C"/>
    <w:rsid w:val="00430AF6"/>
    <w:rsid w:val="0043103D"/>
    <w:rsid w:val="004311EA"/>
    <w:rsid w:val="00431531"/>
    <w:rsid w:val="00431FF3"/>
    <w:rsid w:val="00432378"/>
    <w:rsid w:val="00432764"/>
    <w:rsid w:val="00432C90"/>
    <w:rsid w:val="00434840"/>
    <w:rsid w:val="004349D0"/>
    <w:rsid w:val="00434E68"/>
    <w:rsid w:val="00435996"/>
    <w:rsid w:val="00435E9C"/>
    <w:rsid w:val="00436AEC"/>
    <w:rsid w:val="00437C65"/>
    <w:rsid w:val="00437C99"/>
    <w:rsid w:val="00437D67"/>
    <w:rsid w:val="00440D65"/>
    <w:rsid w:val="0044121E"/>
    <w:rsid w:val="00441C88"/>
    <w:rsid w:val="00441EA6"/>
    <w:rsid w:val="004427AB"/>
    <w:rsid w:val="00442BEE"/>
    <w:rsid w:val="004432F6"/>
    <w:rsid w:val="004435E6"/>
    <w:rsid w:val="004448AD"/>
    <w:rsid w:val="004460BD"/>
    <w:rsid w:val="004460E1"/>
    <w:rsid w:val="00446F59"/>
    <w:rsid w:val="00447451"/>
    <w:rsid w:val="00447E31"/>
    <w:rsid w:val="00452301"/>
    <w:rsid w:val="00452754"/>
    <w:rsid w:val="004531EB"/>
    <w:rsid w:val="0045375F"/>
    <w:rsid w:val="00453923"/>
    <w:rsid w:val="00453A48"/>
    <w:rsid w:val="004544F8"/>
    <w:rsid w:val="00454B9B"/>
    <w:rsid w:val="004552BC"/>
    <w:rsid w:val="0045677B"/>
    <w:rsid w:val="00457858"/>
    <w:rsid w:val="004605B5"/>
    <w:rsid w:val="004607B0"/>
    <w:rsid w:val="00460B0B"/>
    <w:rsid w:val="00461023"/>
    <w:rsid w:val="00461F82"/>
    <w:rsid w:val="00462FAC"/>
    <w:rsid w:val="004640D5"/>
    <w:rsid w:val="00464631"/>
    <w:rsid w:val="00464B79"/>
    <w:rsid w:val="004653C3"/>
    <w:rsid w:val="004661E3"/>
    <w:rsid w:val="004661F8"/>
    <w:rsid w:val="00467059"/>
    <w:rsid w:val="004678A7"/>
    <w:rsid w:val="00467BBF"/>
    <w:rsid w:val="00467D53"/>
    <w:rsid w:val="00470B75"/>
    <w:rsid w:val="00470C41"/>
    <w:rsid w:val="00471725"/>
    <w:rsid w:val="00471B2C"/>
    <w:rsid w:val="00472411"/>
    <w:rsid w:val="00473BB0"/>
    <w:rsid w:val="00475F8F"/>
    <w:rsid w:val="0047602F"/>
    <w:rsid w:val="00476374"/>
    <w:rsid w:val="0047688D"/>
    <w:rsid w:val="00476C5D"/>
    <w:rsid w:val="0047713A"/>
    <w:rsid w:val="004779B3"/>
    <w:rsid w:val="00477F26"/>
    <w:rsid w:val="004800CD"/>
    <w:rsid w:val="00480C6E"/>
    <w:rsid w:val="00480DCB"/>
    <w:rsid w:val="00482460"/>
    <w:rsid w:val="0048256C"/>
    <w:rsid w:val="004825A1"/>
    <w:rsid w:val="00483F30"/>
    <w:rsid w:val="00484B68"/>
    <w:rsid w:val="00484CA2"/>
    <w:rsid w:val="00485632"/>
    <w:rsid w:val="00485AEA"/>
    <w:rsid w:val="004867E2"/>
    <w:rsid w:val="00487500"/>
    <w:rsid w:val="00487A1E"/>
    <w:rsid w:val="00490268"/>
    <w:rsid w:val="004903FF"/>
    <w:rsid w:val="00492060"/>
    <w:rsid w:val="004929A9"/>
    <w:rsid w:val="00492DDE"/>
    <w:rsid w:val="00493D82"/>
    <w:rsid w:val="00494234"/>
    <w:rsid w:val="004962EB"/>
    <w:rsid w:val="004976D0"/>
    <w:rsid w:val="00497876"/>
    <w:rsid w:val="00497888"/>
    <w:rsid w:val="004A00BD"/>
    <w:rsid w:val="004A02F6"/>
    <w:rsid w:val="004A03CE"/>
    <w:rsid w:val="004A04CF"/>
    <w:rsid w:val="004A08EF"/>
    <w:rsid w:val="004A114D"/>
    <w:rsid w:val="004A14CB"/>
    <w:rsid w:val="004A2593"/>
    <w:rsid w:val="004A28E2"/>
    <w:rsid w:val="004A399C"/>
    <w:rsid w:val="004A3B17"/>
    <w:rsid w:val="004A402B"/>
    <w:rsid w:val="004A4F24"/>
    <w:rsid w:val="004A5244"/>
    <w:rsid w:val="004A594D"/>
    <w:rsid w:val="004A59C4"/>
    <w:rsid w:val="004A5A56"/>
    <w:rsid w:val="004A7AD0"/>
    <w:rsid w:val="004B08E0"/>
    <w:rsid w:val="004B15D1"/>
    <w:rsid w:val="004B2749"/>
    <w:rsid w:val="004B2BC8"/>
    <w:rsid w:val="004B4855"/>
    <w:rsid w:val="004B54E3"/>
    <w:rsid w:val="004B604E"/>
    <w:rsid w:val="004B7129"/>
    <w:rsid w:val="004C0A55"/>
    <w:rsid w:val="004C1E4F"/>
    <w:rsid w:val="004C25AE"/>
    <w:rsid w:val="004C2FEC"/>
    <w:rsid w:val="004C4C8C"/>
    <w:rsid w:val="004C6158"/>
    <w:rsid w:val="004C68D8"/>
    <w:rsid w:val="004C6BCF"/>
    <w:rsid w:val="004C78E3"/>
    <w:rsid w:val="004C799B"/>
    <w:rsid w:val="004C7EBA"/>
    <w:rsid w:val="004D0835"/>
    <w:rsid w:val="004D1339"/>
    <w:rsid w:val="004D25C2"/>
    <w:rsid w:val="004D2759"/>
    <w:rsid w:val="004D2D41"/>
    <w:rsid w:val="004D3ABB"/>
    <w:rsid w:val="004D3B2E"/>
    <w:rsid w:val="004D3CE1"/>
    <w:rsid w:val="004D44C5"/>
    <w:rsid w:val="004D4738"/>
    <w:rsid w:val="004D4C96"/>
    <w:rsid w:val="004D4F23"/>
    <w:rsid w:val="004D5294"/>
    <w:rsid w:val="004D58BF"/>
    <w:rsid w:val="004D61EF"/>
    <w:rsid w:val="004D66A7"/>
    <w:rsid w:val="004D69E1"/>
    <w:rsid w:val="004D6B3C"/>
    <w:rsid w:val="004D71A4"/>
    <w:rsid w:val="004E005A"/>
    <w:rsid w:val="004E0D4A"/>
    <w:rsid w:val="004E21E5"/>
    <w:rsid w:val="004E24F1"/>
    <w:rsid w:val="004E28D6"/>
    <w:rsid w:val="004E2BA3"/>
    <w:rsid w:val="004E2CFD"/>
    <w:rsid w:val="004E38C2"/>
    <w:rsid w:val="004E4335"/>
    <w:rsid w:val="004E4E3A"/>
    <w:rsid w:val="004E5ACF"/>
    <w:rsid w:val="004E713E"/>
    <w:rsid w:val="004E7297"/>
    <w:rsid w:val="004E79D7"/>
    <w:rsid w:val="004F0944"/>
    <w:rsid w:val="004F13EE"/>
    <w:rsid w:val="004F16E6"/>
    <w:rsid w:val="004F2022"/>
    <w:rsid w:val="004F2848"/>
    <w:rsid w:val="004F2FA8"/>
    <w:rsid w:val="004F3EFD"/>
    <w:rsid w:val="004F3FBE"/>
    <w:rsid w:val="004F5012"/>
    <w:rsid w:val="004F7C05"/>
    <w:rsid w:val="004F7D36"/>
    <w:rsid w:val="00500624"/>
    <w:rsid w:val="00501452"/>
    <w:rsid w:val="00501754"/>
    <w:rsid w:val="00501C94"/>
    <w:rsid w:val="00502181"/>
    <w:rsid w:val="00502240"/>
    <w:rsid w:val="005045BC"/>
    <w:rsid w:val="00504950"/>
    <w:rsid w:val="00504AA2"/>
    <w:rsid w:val="00504DCA"/>
    <w:rsid w:val="00505129"/>
    <w:rsid w:val="0050541E"/>
    <w:rsid w:val="00505A3B"/>
    <w:rsid w:val="00505DE5"/>
    <w:rsid w:val="00506432"/>
    <w:rsid w:val="005066EB"/>
    <w:rsid w:val="00510124"/>
    <w:rsid w:val="005102DD"/>
    <w:rsid w:val="005106F4"/>
    <w:rsid w:val="00510B50"/>
    <w:rsid w:val="00510BE1"/>
    <w:rsid w:val="0051242B"/>
    <w:rsid w:val="005135AD"/>
    <w:rsid w:val="00514825"/>
    <w:rsid w:val="005157C9"/>
    <w:rsid w:val="005170C3"/>
    <w:rsid w:val="00517144"/>
    <w:rsid w:val="00517B5F"/>
    <w:rsid w:val="0052051D"/>
    <w:rsid w:val="00521019"/>
    <w:rsid w:val="005219FB"/>
    <w:rsid w:val="005221D9"/>
    <w:rsid w:val="0052262B"/>
    <w:rsid w:val="00523C30"/>
    <w:rsid w:val="00523DA6"/>
    <w:rsid w:val="005251BE"/>
    <w:rsid w:val="00525EC8"/>
    <w:rsid w:val="00526671"/>
    <w:rsid w:val="005272E5"/>
    <w:rsid w:val="0052790C"/>
    <w:rsid w:val="00530193"/>
    <w:rsid w:val="005305B7"/>
    <w:rsid w:val="005310A2"/>
    <w:rsid w:val="005313D1"/>
    <w:rsid w:val="005329AE"/>
    <w:rsid w:val="00533AC8"/>
    <w:rsid w:val="00533DEB"/>
    <w:rsid w:val="005340C7"/>
    <w:rsid w:val="0053581F"/>
    <w:rsid w:val="00535A8B"/>
    <w:rsid w:val="005362FC"/>
    <w:rsid w:val="00537A16"/>
    <w:rsid w:val="00540119"/>
    <w:rsid w:val="00540A4B"/>
    <w:rsid w:val="00540EFC"/>
    <w:rsid w:val="00541F40"/>
    <w:rsid w:val="0054360F"/>
    <w:rsid w:val="00543CA0"/>
    <w:rsid w:val="005458B1"/>
    <w:rsid w:val="00545931"/>
    <w:rsid w:val="005459C2"/>
    <w:rsid w:val="00545BE3"/>
    <w:rsid w:val="00545D0C"/>
    <w:rsid w:val="00545EE6"/>
    <w:rsid w:val="0055054B"/>
    <w:rsid w:val="00550638"/>
    <w:rsid w:val="00550DF6"/>
    <w:rsid w:val="00551B90"/>
    <w:rsid w:val="00551C5E"/>
    <w:rsid w:val="005528E2"/>
    <w:rsid w:val="00552DF4"/>
    <w:rsid w:val="00552FB7"/>
    <w:rsid w:val="00553096"/>
    <w:rsid w:val="0055338A"/>
    <w:rsid w:val="005533F0"/>
    <w:rsid w:val="00553EA8"/>
    <w:rsid w:val="00555058"/>
    <w:rsid w:val="005550E7"/>
    <w:rsid w:val="0055526C"/>
    <w:rsid w:val="00555828"/>
    <w:rsid w:val="005564FB"/>
    <w:rsid w:val="0055667D"/>
    <w:rsid w:val="005572C7"/>
    <w:rsid w:val="00557333"/>
    <w:rsid w:val="00557D5A"/>
    <w:rsid w:val="00560392"/>
    <w:rsid w:val="00560405"/>
    <w:rsid w:val="00560CCB"/>
    <w:rsid w:val="00561352"/>
    <w:rsid w:val="00561C60"/>
    <w:rsid w:val="005625C0"/>
    <w:rsid w:val="0056261E"/>
    <w:rsid w:val="00562B59"/>
    <w:rsid w:val="0056306E"/>
    <w:rsid w:val="00563492"/>
    <w:rsid w:val="00563C14"/>
    <w:rsid w:val="00563FD3"/>
    <w:rsid w:val="0056486D"/>
    <w:rsid w:val="005650ED"/>
    <w:rsid w:val="00566055"/>
    <w:rsid w:val="005664CE"/>
    <w:rsid w:val="00566B5D"/>
    <w:rsid w:val="00567596"/>
    <w:rsid w:val="0056786B"/>
    <w:rsid w:val="00567AF2"/>
    <w:rsid w:val="00570A8B"/>
    <w:rsid w:val="00570EB4"/>
    <w:rsid w:val="00571536"/>
    <w:rsid w:val="005723C3"/>
    <w:rsid w:val="00572E63"/>
    <w:rsid w:val="00573575"/>
    <w:rsid w:val="00574842"/>
    <w:rsid w:val="00574E7E"/>
    <w:rsid w:val="00575084"/>
    <w:rsid w:val="00575754"/>
    <w:rsid w:val="005809B7"/>
    <w:rsid w:val="00581353"/>
    <w:rsid w:val="005815D3"/>
    <w:rsid w:val="00581C1A"/>
    <w:rsid w:val="00582081"/>
    <w:rsid w:val="00586A8A"/>
    <w:rsid w:val="00590C42"/>
    <w:rsid w:val="00590ED8"/>
    <w:rsid w:val="00591268"/>
    <w:rsid w:val="005912D1"/>
    <w:rsid w:val="005918E1"/>
    <w:rsid w:val="00591E20"/>
    <w:rsid w:val="00592C0B"/>
    <w:rsid w:val="00595408"/>
    <w:rsid w:val="005959B4"/>
    <w:rsid w:val="00595E84"/>
    <w:rsid w:val="005963C1"/>
    <w:rsid w:val="00596746"/>
    <w:rsid w:val="00596FD4"/>
    <w:rsid w:val="0059786E"/>
    <w:rsid w:val="005A02A1"/>
    <w:rsid w:val="005A04E2"/>
    <w:rsid w:val="005A0C59"/>
    <w:rsid w:val="005A0C8E"/>
    <w:rsid w:val="005A1C66"/>
    <w:rsid w:val="005A1EF9"/>
    <w:rsid w:val="005A323E"/>
    <w:rsid w:val="005A37A3"/>
    <w:rsid w:val="005A467F"/>
    <w:rsid w:val="005A46BC"/>
    <w:rsid w:val="005A48EB"/>
    <w:rsid w:val="005A59B5"/>
    <w:rsid w:val="005A59CC"/>
    <w:rsid w:val="005A5D83"/>
    <w:rsid w:val="005A5E04"/>
    <w:rsid w:val="005A619D"/>
    <w:rsid w:val="005A6607"/>
    <w:rsid w:val="005A676C"/>
    <w:rsid w:val="005A6CFB"/>
    <w:rsid w:val="005A7A17"/>
    <w:rsid w:val="005B0CB8"/>
    <w:rsid w:val="005B1A1D"/>
    <w:rsid w:val="005B2DBB"/>
    <w:rsid w:val="005B367D"/>
    <w:rsid w:val="005B3F02"/>
    <w:rsid w:val="005B434E"/>
    <w:rsid w:val="005B4DBA"/>
    <w:rsid w:val="005B57CA"/>
    <w:rsid w:val="005B5A3D"/>
    <w:rsid w:val="005B600E"/>
    <w:rsid w:val="005B6E35"/>
    <w:rsid w:val="005B70EF"/>
    <w:rsid w:val="005B7405"/>
    <w:rsid w:val="005B7680"/>
    <w:rsid w:val="005C0D5C"/>
    <w:rsid w:val="005C147B"/>
    <w:rsid w:val="005C1693"/>
    <w:rsid w:val="005C2C96"/>
    <w:rsid w:val="005C3D63"/>
    <w:rsid w:val="005C3FF9"/>
    <w:rsid w:val="005C414B"/>
    <w:rsid w:val="005C53E7"/>
    <w:rsid w:val="005C5AEB"/>
    <w:rsid w:val="005C5CDA"/>
    <w:rsid w:val="005C6155"/>
    <w:rsid w:val="005C6B01"/>
    <w:rsid w:val="005C7481"/>
    <w:rsid w:val="005D0252"/>
    <w:rsid w:val="005D0471"/>
    <w:rsid w:val="005D0B8A"/>
    <w:rsid w:val="005D111B"/>
    <w:rsid w:val="005D1188"/>
    <w:rsid w:val="005D1505"/>
    <w:rsid w:val="005D15F4"/>
    <w:rsid w:val="005D1723"/>
    <w:rsid w:val="005D18B1"/>
    <w:rsid w:val="005D3B65"/>
    <w:rsid w:val="005D44C3"/>
    <w:rsid w:val="005D4770"/>
    <w:rsid w:val="005D5F56"/>
    <w:rsid w:val="005D72B4"/>
    <w:rsid w:val="005E0A3F"/>
    <w:rsid w:val="005E169F"/>
    <w:rsid w:val="005E1FA2"/>
    <w:rsid w:val="005E2775"/>
    <w:rsid w:val="005E2844"/>
    <w:rsid w:val="005E3A6D"/>
    <w:rsid w:val="005E3E0D"/>
    <w:rsid w:val="005E3FF9"/>
    <w:rsid w:val="005E4138"/>
    <w:rsid w:val="005E4E0F"/>
    <w:rsid w:val="005E5F9D"/>
    <w:rsid w:val="005E6027"/>
    <w:rsid w:val="005E6883"/>
    <w:rsid w:val="005E69A0"/>
    <w:rsid w:val="005E6EED"/>
    <w:rsid w:val="005E772F"/>
    <w:rsid w:val="005F0EA6"/>
    <w:rsid w:val="005F1E62"/>
    <w:rsid w:val="005F2414"/>
    <w:rsid w:val="005F253A"/>
    <w:rsid w:val="005F2C21"/>
    <w:rsid w:val="005F2E2F"/>
    <w:rsid w:val="005F3AC5"/>
    <w:rsid w:val="005F4ECA"/>
    <w:rsid w:val="005F5176"/>
    <w:rsid w:val="005F7501"/>
    <w:rsid w:val="006004BD"/>
    <w:rsid w:val="006022AC"/>
    <w:rsid w:val="006028D7"/>
    <w:rsid w:val="00602B10"/>
    <w:rsid w:val="006036E5"/>
    <w:rsid w:val="00603965"/>
    <w:rsid w:val="00603AEF"/>
    <w:rsid w:val="006041BE"/>
    <w:rsid w:val="006043C7"/>
    <w:rsid w:val="006043F5"/>
    <w:rsid w:val="00604DEA"/>
    <w:rsid w:val="00604FF7"/>
    <w:rsid w:val="0060706C"/>
    <w:rsid w:val="006072F8"/>
    <w:rsid w:val="006107C1"/>
    <w:rsid w:val="00611196"/>
    <w:rsid w:val="00612140"/>
    <w:rsid w:val="00613021"/>
    <w:rsid w:val="00613955"/>
    <w:rsid w:val="00613B4C"/>
    <w:rsid w:val="00613D4E"/>
    <w:rsid w:val="0061437F"/>
    <w:rsid w:val="00614919"/>
    <w:rsid w:val="00614A09"/>
    <w:rsid w:val="006155B0"/>
    <w:rsid w:val="00616628"/>
    <w:rsid w:val="00616AD0"/>
    <w:rsid w:val="00616DC7"/>
    <w:rsid w:val="0062029E"/>
    <w:rsid w:val="00620B9A"/>
    <w:rsid w:val="00622BB4"/>
    <w:rsid w:val="00622ED4"/>
    <w:rsid w:val="006245B7"/>
    <w:rsid w:val="006248D3"/>
    <w:rsid w:val="00624B52"/>
    <w:rsid w:val="006254A6"/>
    <w:rsid w:val="00625CF9"/>
    <w:rsid w:val="00625D8B"/>
    <w:rsid w:val="006272E5"/>
    <w:rsid w:val="00627995"/>
    <w:rsid w:val="00631DF4"/>
    <w:rsid w:val="0063239A"/>
    <w:rsid w:val="00632D49"/>
    <w:rsid w:val="0063340D"/>
    <w:rsid w:val="0063350C"/>
    <w:rsid w:val="00633FA6"/>
    <w:rsid w:val="00634175"/>
    <w:rsid w:val="00634635"/>
    <w:rsid w:val="00634998"/>
    <w:rsid w:val="0063756A"/>
    <w:rsid w:val="00640689"/>
    <w:rsid w:val="006408AC"/>
    <w:rsid w:val="00640A58"/>
    <w:rsid w:val="00640D06"/>
    <w:rsid w:val="006411ED"/>
    <w:rsid w:val="006417F3"/>
    <w:rsid w:val="00641AF6"/>
    <w:rsid w:val="00642B85"/>
    <w:rsid w:val="00645C0A"/>
    <w:rsid w:val="006460C5"/>
    <w:rsid w:val="0064683E"/>
    <w:rsid w:val="00646CF1"/>
    <w:rsid w:val="00647306"/>
    <w:rsid w:val="006501D5"/>
    <w:rsid w:val="0065066D"/>
    <w:rsid w:val="006511B6"/>
    <w:rsid w:val="00652742"/>
    <w:rsid w:val="00652AE3"/>
    <w:rsid w:val="006535BC"/>
    <w:rsid w:val="00653AF7"/>
    <w:rsid w:val="00654110"/>
    <w:rsid w:val="0065496D"/>
    <w:rsid w:val="006566A5"/>
    <w:rsid w:val="00656DE8"/>
    <w:rsid w:val="0065710D"/>
    <w:rsid w:val="00657C18"/>
    <w:rsid w:val="00657FF8"/>
    <w:rsid w:val="006608B9"/>
    <w:rsid w:val="006625FA"/>
    <w:rsid w:val="00662760"/>
    <w:rsid w:val="00663D45"/>
    <w:rsid w:val="00664A18"/>
    <w:rsid w:val="00666524"/>
    <w:rsid w:val="00666AC5"/>
    <w:rsid w:val="00666F4E"/>
    <w:rsid w:val="00667692"/>
    <w:rsid w:val="006677D2"/>
    <w:rsid w:val="00667A9B"/>
    <w:rsid w:val="00667BCD"/>
    <w:rsid w:val="0067029D"/>
    <w:rsid w:val="00670D99"/>
    <w:rsid w:val="00670E2B"/>
    <w:rsid w:val="00671346"/>
    <w:rsid w:val="00672C43"/>
    <w:rsid w:val="006734BB"/>
    <w:rsid w:val="0067379D"/>
    <w:rsid w:val="00673DA0"/>
    <w:rsid w:val="00673E6F"/>
    <w:rsid w:val="006742DC"/>
    <w:rsid w:val="006743F3"/>
    <w:rsid w:val="00674886"/>
    <w:rsid w:val="00675206"/>
    <w:rsid w:val="00675B92"/>
    <w:rsid w:val="00676A19"/>
    <w:rsid w:val="00677A08"/>
    <w:rsid w:val="00677A8E"/>
    <w:rsid w:val="00677EEF"/>
    <w:rsid w:val="0068017C"/>
    <w:rsid w:val="0068020C"/>
    <w:rsid w:val="006813E0"/>
    <w:rsid w:val="006817C2"/>
    <w:rsid w:val="00681A34"/>
    <w:rsid w:val="006821EB"/>
    <w:rsid w:val="00682AB9"/>
    <w:rsid w:val="0068309B"/>
    <w:rsid w:val="006833E7"/>
    <w:rsid w:val="00683E02"/>
    <w:rsid w:val="00684B5F"/>
    <w:rsid w:val="0068563A"/>
    <w:rsid w:val="00685AD2"/>
    <w:rsid w:val="006862C0"/>
    <w:rsid w:val="006915D1"/>
    <w:rsid w:val="00691C12"/>
    <w:rsid w:val="00691F03"/>
    <w:rsid w:val="006924F7"/>
    <w:rsid w:val="00693BFC"/>
    <w:rsid w:val="00693FE6"/>
    <w:rsid w:val="006944E2"/>
    <w:rsid w:val="0069571C"/>
    <w:rsid w:val="00695C34"/>
    <w:rsid w:val="00695D22"/>
    <w:rsid w:val="006966D2"/>
    <w:rsid w:val="00696A78"/>
    <w:rsid w:val="00696A9A"/>
    <w:rsid w:val="0069786F"/>
    <w:rsid w:val="006978DD"/>
    <w:rsid w:val="006A0EDE"/>
    <w:rsid w:val="006A14BA"/>
    <w:rsid w:val="006A1F9B"/>
    <w:rsid w:val="006A474A"/>
    <w:rsid w:val="006A589A"/>
    <w:rsid w:val="006A5F36"/>
    <w:rsid w:val="006A6391"/>
    <w:rsid w:val="006A66ED"/>
    <w:rsid w:val="006A6BFE"/>
    <w:rsid w:val="006A6C5A"/>
    <w:rsid w:val="006A6CD2"/>
    <w:rsid w:val="006A72EA"/>
    <w:rsid w:val="006B02DB"/>
    <w:rsid w:val="006B101F"/>
    <w:rsid w:val="006B1527"/>
    <w:rsid w:val="006B2091"/>
    <w:rsid w:val="006B2286"/>
    <w:rsid w:val="006B40E7"/>
    <w:rsid w:val="006B56BB"/>
    <w:rsid w:val="006B5F00"/>
    <w:rsid w:val="006B60C6"/>
    <w:rsid w:val="006B6C7E"/>
    <w:rsid w:val="006C027C"/>
    <w:rsid w:val="006C0963"/>
    <w:rsid w:val="006C0AFE"/>
    <w:rsid w:val="006C156E"/>
    <w:rsid w:val="006C168E"/>
    <w:rsid w:val="006C1EBF"/>
    <w:rsid w:val="006C2710"/>
    <w:rsid w:val="006C3B56"/>
    <w:rsid w:val="006C4FF4"/>
    <w:rsid w:val="006C5262"/>
    <w:rsid w:val="006C5B22"/>
    <w:rsid w:val="006C5F5F"/>
    <w:rsid w:val="006C6172"/>
    <w:rsid w:val="006C6BB8"/>
    <w:rsid w:val="006C6EAF"/>
    <w:rsid w:val="006C77A8"/>
    <w:rsid w:val="006D1136"/>
    <w:rsid w:val="006D19D3"/>
    <w:rsid w:val="006D2479"/>
    <w:rsid w:val="006D253D"/>
    <w:rsid w:val="006D2C60"/>
    <w:rsid w:val="006D4098"/>
    <w:rsid w:val="006D48AF"/>
    <w:rsid w:val="006D538B"/>
    <w:rsid w:val="006D5A0A"/>
    <w:rsid w:val="006D7681"/>
    <w:rsid w:val="006D7AB5"/>
    <w:rsid w:val="006D7B2E"/>
    <w:rsid w:val="006E02EA"/>
    <w:rsid w:val="006E0675"/>
    <w:rsid w:val="006E0968"/>
    <w:rsid w:val="006E21AF"/>
    <w:rsid w:val="006E21DB"/>
    <w:rsid w:val="006E2883"/>
    <w:rsid w:val="006E290E"/>
    <w:rsid w:val="006E2A49"/>
    <w:rsid w:val="006E2AF6"/>
    <w:rsid w:val="006E3239"/>
    <w:rsid w:val="006E4486"/>
    <w:rsid w:val="006E6056"/>
    <w:rsid w:val="006F0370"/>
    <w:rsid w:val="006F0F4D"/>
    <w:rsid w:val="006F15AD"/>
    <w:rsid w:val="006F1BFE"/>
    <w:rsid w:val="006F2132"/>
    <w:rsid w:val="006F27D3"/>
    <w:rsid w:val="006F3964"/>
    <w:rsid w:val="006F4249"/>
    <w:rsid w:val="006F4728"/>
    <w:rsid w:val="006F48D2"/>
    <w:rsid w:val="006F77DD"/>
    <w:rsid w:val="006F7831"/>
    <w:rsid w:val="006F7845"/>
    <w:rsid w:val="006F78E5"/>
    <w:rsid w:val="007003E5"/>
    <w:rsid w:val="00700711"/>
    <w:rsid w:val="00700E22"/>
    <w:rsid w:val="00701059"/>
    <w:rsid w:val="00701275"/>
    <w:rsid w:val="0070150D"/>
    <w:rsid w:val="00701D73"/>
    <w:rsid w:val="00701F5C"/>
    <w:rsid w:val="00702512"/>
    <w:rsid w:val="007026E2"/>
    <w:rsid w:val="00703671"/>
    <w:rsid w:val="007039A0"/>
    <w:rsid w:val="00703AA7"/>
    <w:rsid w:val="00703CF0"/>
    <w:rsid w:val="00705BA9"/>
    <w:rsid w:val="00706E0C"/>
    <w:rsid w:val="00707F56"/>
    <w:rsid w:val="007104B0"/>
    <w:rsid w:val="007115A1"/>
    <w:rsid w:val="00711CC6"/>
    <w:rsid w:val="00711D8B"/>
    <w:rsid w:val="00711ED7"/>
    <w:rsid w:val="00712435"/>
    <w:rsid w:val="0071292E"/>
    <w:rsid w:val="007130F6"/>
    <w:rsid w:val="00713558"/>
    <w:rsid w:val="00715941"/>
    <w:rsid w:val="00716120"/>
    <w:rsid w:val="00717299"/>
    <w:rsid w:val="007175A4"/>
    <w:rsid w:val="007177B9"/>
    <w:rsid w:val="007205A2"/>
    <w:rsid w:val="00720D08"/>
    <w:rsid w:val="00722226"/>
    <w:rsid w:val="007224B9"/>
    <w:rsid w:val="00722A91"/>
    <w:rsid w:val="00722F6F"/>
    <w:rsid w:val="007246D9"/>
    <w:rsid w:val="007248A0"/>
    <w:rsid w:val="00724AD5"/>
    <w:rsid w:val="00725B8B"/>
    <w:rsid w:val="00726263"/>
    <w:rsid w:val="007263B9"/>
    <w:rsid w:val="0072666C"/>
    <w:rsid w:val="007266B4"/>
    <w:rsid w:val="00730DFF"/>
    <w:rsid w:val="00731E98"/>
    <w:rsid w:val="00732069"/>
    <w:rsid w:val="0073239C"/>
    <w:rsid w:val="007324EE"/>
    <w:rsid w:val="0073293F"/>
    <w:rsid w:val="007334F8"/>
    <w:rsid w:val="007339CD"/>
    <w:rsid w:val="00733A66"/>
    <w:rsid w:val="007348C7"/>
    <w:rsid w:val="00734B94"/>
    <w:rsid w:val="007359D8"/>
    <w:rsid w:val="007359F1"/>
    <w:rsid w:val="007362D4"/>
    <w:rsid w:val="0073707D"/>
    <w:rsid w:val="0074018C"/>
    <w:rsid w:val="00740F4B"/>
    <w:rsid w:val="0074118A"/>
    <w:rsid w:val="0074119E"/>
    <w:rsid w:val="00741A49"/>
    <w:rsid w:val="00741AF2"/>
    <w:rsid w:val="00741E8E"/>
    <w:rsid w:val="00743065"/>
    <w:rsid w:val="00743A59"/>
    <w:rsid w:val="00743CBA"/>
    <w:rsid w:val="00743E16"/>
    <w:rsid w:val="00743E9A"/>
    <w:rsid w:val="007442E6"/>
    <w:rsid w:val="0074509D"/>
    <w:rsid w:val="0074621D"/>
    <w:rsid w:val="00746A64"/>
    <w:rsid w:val="00746E2E"/>
    <w:rsid w:val="0075050E"/>
    <w:rsid w:val="00750D83"/>
    <w:rsid w:val="007518A3"/>
    <w:rsid w:val="00751A23"/>
    <w:rsid w:val="00752968"/>
    <w:rsid w:val="00754A3C"/>
    <w:rsid w:val="0075591D"/>
    <w:rsid w:val="0075673F"/>
    <w:rsid w:val="00756954"/>
    <w:rsid w:val="0075732C"/>
    <w:rsid w:val="00757775"/>
    <w:rsid w:val="00757823"/>
    <w:rsid w:val="00760136"/>
    <w:rsid w:val="00760EDB"/>
    <w:rsid w:val="00761458"/>
    <w:rsid w:val="0076250C"/>
    <w:rsid w:val="00762EEB"/>
    <w:rsid w:val="00763904"/>
    <w:rsid w:val="0076412C"/>
    <w:rsid w:val="007642AE"/>
    <w:rsid w:val="0076489B"/>
    <w:rsid w:val="00765C65"/>
    <w:rsid w:val="0076672A"/>
    <w:rsid w:val="00766FE3"/>
    <w:rsid w:val="007676AB"/>
    <w:rsid w:val="0076774B"/>
    <w:rsid w:val="00767CC4"/>
    <w:rsid w:val="007725ED"/>
    <w:rsid w:val="007725F0"/>
    <w:rsid w:val="0077280D"/>
    <w:rsid w:val="00772AEF"/>
    <w:rsid w:val="00772FA5"/>
    <w:rsid w:val="00773A2C"/>
    <w:rsid w:val="0077438D"/>
    <w:rsid w:val="007750D1"/>
    <w:rsid w:val="00775265"/>
    <w:rsid w:val="00775E45"/>
    <w:rsid w:val="00776E74"/>
    <w:rsid w:val="00777AA8"/>
    <w:rsid w:val="0078114F"/>
    <w:rsid w:val="00781C0F"/>
    <w:rsid w:val="00781C3F"/>
    <w:rsid w:val="00782836"/>
    <w:rsid w:val="00782F90"/>
    <w:rsid w:val="00783A5B"/>
    <w:rsid w:val="00784961"/>
    <w:rsid w:val="00784C21"/>
    <w:rsid w:val="00785169"/>
    <w:rsid w:val="007856F6"/>
    <w:rsid w:val="00786E40"/>
    <w:rsid w:val="00790AFF"/>
    <w:rsid w:val="00791154"/>
    <w:rsid w:val="007946D4"/>
    <w:rsid w:val="0079483A"/>
    <w:rsid w:val="007954AB"/>
    <w:rsid w:val="00795618"/>
    <w:rsid w:val="00795BA9"/>
    <w:rsid w:val="00796812"/>
    <w:rsid w:val="00797186"/>
    <w:rsid w:val="007A10EA"/>
    <w:rsid w:val="007A13E9"/>
    <w:rsid w:val="007A14C5"/>
    <w:rsid w:val="007A189E"/>
    <w:rsid w:val="007A3117"/>
    <w:rsid w:val="007A34BD"/>
    <w:rsid w:val="007A3E38"/>
    <w:rsid w:val="007A4547"/>
    <w:rsid w:val="007A4A10"/>
    <w:rsid w:val="007A4AA7"/>
    <w:rsid w:val="007A4F30"/>
    <w:rsid w:val="007A5288"/>
    <w:rsid w:val="007A54C0"/>
    <w:rsid w:val="007A5B56"/>
    <w:rsid w:val="007A645E"/>
    <w:rsid w:val="007B0B94"/>
    <w:rsid w:val="007B0C23"/>
    <w:rsid w:val="007B12CD"/>
    <w:rsid w:val="007B1760"/>
    <w:rsid w:val="007B1D79"/>
    <w:rsid w:val="007B24C0"/>
    <w:rsid w:val="007B2B48"/>
    <w:rsid w:val="007B513C"/>
    <w:rsid w:val="007B7072"/>
    <w:rsid w:val="007B7E93"/>
    <w:rsid w:val="007C0384"/>
    <w:rsid w:val="007C0E64"/>
    <w:rsid w:val="007C22B2"/>
    <w:rsid w:val="007C283A"/>
    <w:rsid w:val="007C382B"/>
    <w:rsid w:val="007C3AA9"/>
    <w:rsid w:val="007C490C"/>
    <w:rsid w:val="007C4E62"/>
    <w:rsid w:val="007C559E"/>
    <w:rsid w:val="007C6CC4"/>
    <w:rsid w:val="007C6D9C"/>
    <w:rsid w:val="007C717A"/>
    <w:rsid w:val="007C7718"/>
    <w:rsid w:val="007C7DDB"/>
    <w:rsid w:val="007D00AB"/>
    <w:rsid w:val="007D00E4"/>
    <w:rsid w:val="007D0182"/>
    <w:rsid w:val="007D0A7E"/>
    <w:rsid w:val="007D15A6"/>
    <w:rsid w:val="007D256A"/>
    <w:rsid w:val="007D27FE"/>
    <w:rsid w:val="007D2CC7"/>
    <w:rsid w:val="007D37B1"/>
    <w:rsid w:val="007D40D7"/>
    <w:rsid w:val="007D4EB5"/>
    <w:rsid w:val="007D504F"/>
    <w:rsid w:val="007D5781"/>
    <w:rsid w:val="007D673D"/>
    <w:rsid w:val="007D6E6E"/>
    <w:rsid w:val="007D750D"/>
    <w:rsid w:val="007E0BDA"/>
    <w:rsid w:val="007E191C"/>
    <w:rsid w:val="007E347C"/>
    <w:rsid w:val="007E3587"/>
    <w:rsid w:val="007E3594"/>
    <w:rsid w:val="007E3939"/>
    <w:rsid w:val="007E43BF"/>
    <w:rsid w:val="007E455A"/>
    <w:rsid w:val="007E52D0"/>
    <w:rsid w:val="007E5D2B"/>
    <w:rsid w:val="007E5E71"/>
    <w:rsid w:val="007E5E94"/>
    <w:rsid w:val="007E671E"/>
    <w:rsid w:val="007E76E4"/>
    <w:rsid w:val="007F016B"/>
    <w:rsid w:val="007F03BE"/>
    <w:rsid w:val="007F06DF"/>
    <w:rsid w:val="007F1205"/>
    <w:rsid w:val="007F1C78"/>
    <w:rsid w:val="007F2220"/>
    <w:rsid w:val="007F249B"/>
    <w:rsid w:val="007F2866"/>
    <w:rsid w:val="007F3594"/>
    <w:rsid w:val="007F3853"/>
    <w:rsid w:val="007F4972"/>
    <w:rsid w:val="007F4B3E"/>
    <w:rsid w:val="007F50E9"/>
    <w:rsid w:val="007F5264"/>
    <w:rsid w:val="007F588A"/>
    <w:rsid w:val="007F5EE6"/>
    <w:rsid w:val="007F7733"/>
    <w:rsid w:val="00800F2E"/>
    <w:rsid w:val="00801010"/>
    <w:rsid w:val="00801431"/>
    <w:rsid w:val="00803975"/>
    <w:rsid w:val="00804077"/>
    <w:rsid w:val="0080607D"/>
    <w:rsid w:val="008065FE"/>
    <w:rsid w:val="00806BEE"/>
    <w:rsid w:val="0080790D"/>
    <w:rsid w:val="00807CBB"/>
    <w:rsid w:val="00811EE5"/>
    <w:rsid w:val="008127AF"/>
    <w:rsid w:val="00812B46"/>
    <w:rsid w:val="00812D84"/>
    <w:rsid w:val="00813C95"/>
    <w:rsid w:val="008140A0"/>
    <w:rsid w:val="008142A8"/>
    <w:rsid w:val="00814A86"/>
    <w:rsid w:val="00814C71"/>
    <w:rsid w:val="00814D4A"/>
    <w:rsid w:val="00815700"/>
    <w:rsid w:val="00815CDC"/>
    <w:rsid w:val="0081601D"/>
    <w:rsid w:val="00816571"/>
    <w:rsid w:val="00816809"/>
    <w:rsid w:val="00816E44"/>
    <w:rsid w:val="00817B70"/>
    <w:rsid w:val="0082009A"/>
    <w:rsid w:val="0082042F"/>
    <w:rsid w:val="00821941"/>
    <w:rsid w:val="008222EB"/>
    <w:rsid w:val="0082372B"/>
    <w:rsid w:val="008241A9"/>
    <w:rsid w:val="0082505B"/>
    <w:rsid w:val="00825F92"/>
    <w:rsid w:val="008264EB"/>
    <w:rsid w:val="00826868"/>
    <w:rsid w:val="00826B8F"/>
    <w:rsid w:val="008273EF"/>
    <w:rsid w:val="00827A17"/>
    <w:rsid w:val="00827BD7"/>
    <w:rsid w:val="008300CB"/>
    <w:rsid w:val="00831E8A"/>
    <w:rsid w:val="00831FC1"/>
    <w:rsid w:val="00832D97"/>
    <w:rsid w:val="008338FF"/>
    <w:rsid w:val="0083508A"/>
    <w:rsid w:val="00835C76"/>
    <w:rsid w:val="00835EA1"/>
    <w:rsid w:val="00836865"/>
    <w:rsid w:val="00837164"/>
    <w:rsid w:val="00837725"/>
    <w:rsid w:val="00837AC5"/>
    <w:rsid w:val="00841111"/>
    <w:rsid w:val="00841ED3"/>
    <w:rsid w:val="00841EDC"/>
    <w:rsid w:val="00842670"/>
    <w:rsid w:val="00843049"/>
    <w:rsid w:val="00844322"/>
    <w:rsid w:val="008448E4"/>
    <w:rsid w:val="00844AA4"/>
    <w:rsid w:val="00845738"/>
    <w:rsid w:val="00846493"/>
    <w:rsid w:val="00847C66"/>
    <w:rsid w:val="00847D9F"/>
    <w:rsid w:val="00851740"/>
    <w:rsid w:val="00851ABC"/>
    <w:rsid w:val="0085209B"/>
    <w:rsid w:val="008521E6"/>
    <w:rsid w:val="008526D0"/>
    <w:rsid w:val="008528C9"/>
    <w:rsid w:val="00853F28"/>
    <w:rsid w:val="008542C9"/>
    <w:rsid w:val="00855213"/>
    <w:rsid w:val="0085641F"/>
    <w:rsid w:val="008568ED"/>
    <w:rsid w:val="008568F4"/>
    <w:rsid w:val="00856B66"/>
    <w:rsid w:val="00857787"/>
    <w:rsid w:val="008577B6"/>
    <w:rsid w:val="008577E1"/>
    <w:rsid w:val="00857C81"/>
    <w:rsid w:val="00857E3F"/>
    <w:rsid w:val="00860CC0"/>
    <w:rsid w:val="00861A5F"/>
    <w:rsid w:val="0086236F"/>
    <w:rsid w:val="008633CD"/>
    <w:rsid w:val="008643C8"/>
    <w:rsid w:val="008644AD"/>
    <w:rsid w:val="00865735"/>
    <w:rsid w:val="00865DDB"/>
    <w:rsid w:val="008667B8"/>
    <w:rsid w:val="00866F4F"/>
    <w:rsid w:val="00867538"/>
    <w:rsid w:val="00867936"/>
    <w:rsid w:val="00867F1B"/>
    <w:rsid w:val="00870B0D"/>
    <w:rsid w:val="00870E18"/>
    <w:rsid w:val="008721FE"/>
    <w:rsid w:val="008728DA"/>
    <w:rsid w:val="008729C7"/>
    <w:rsid w:val="00872B35"/>
    <w:rsid w:val="00873427"/>
    <w:rsid w:val="00873471"/>
    <w:rsid w:val="0087347A"/>
    <w:rsid w:val="00873D90"/>
    <w:rsid w:val="00873FC8"/>
    <w:rsid w:val="008741AD"/>
    <w:rsid w:val="00874916"/>
    <w:rsid w:val="00876758"/>
    <w:rsid w:val="00876E68"/>
    <w:rsid w:val="008804DD"/>
    <w:rsid w:val="0088207E"/>
    <w:rsid w:val="008820B6"/>
    <w:rsid w:val="0088266B"/>
    <w:rsid w:val="00882C46"/>
    <w:rsid w:val="00883135"/>
    <w:rsid w:val="008836AB"/>
    <w:rsid w:val="008838E8"/>
    <w:rsid w:val="008849CD"/>
    <w:rsid w:val="00884C63"/>
    <w:rsid w:val="00884E67"/>
    <w:rsid w:val="008853C0"/>
    <w:rsid w:val="00885908"/>
    <w:rsid w:val="00885B0D"/>
    <w:rsid w:val="008861CA"/>
    <w:rsid w:val="008862F7"/>
    <w:rsid w:val="008864B7"/>
    <w:rsid w:val="008866EE"/>
    <w:rsid w:val="0088706C"/>
    <w:rsid w:val="00887529"/>
    <w:rsid w:val="00890A32"/>
    <w:rsid w:val="008912F6"/>
    <w:rsid w:val="008913A1"/>
    <w:rsid w:val="00892AE3"/>
    <w:rsid w:val="00892C07"/>
    <w:rsid w:val="00893451"/>
    <w:rsid w:val="00893A3D"/>
    <w:rsid w:val="008949D8"/>
    <w:rsid w:val="00894A8B"/>
    <w:rsid w:val="00895E3A"/>
    <w:rsid w:val="0089677E"/>
    <w:rsid w:val="00896E8C"/>
    <w:rsid w:val="00897FE6"/>
    <w:rsid w:val="008A15C9"/>
    <w:rsid w:val="008A27E2"/>
    <w:rsid w:val="008A2D2C"/>
    <w:rsid w:val="008A3ABD"/>
    <w:rsid w:val="008A3B70"/>
    <w:rsid w:val="008A410E"/>
    <w:rsid w:val="008A49BE"/>
    <w:rsid w:val="008A4D7C"/>
    <w:rsid w:val="008A5470"/>
    <w:rsid w:val="008A5D14"/>
    <w:rsid w:val="008A68C5"/>
    <w:rsid w:val="008A6DA6"/>
    <w:rsid w:val="008A7438"/>
    <w:rsid w:val="008B1334"/>
    <w:rsid w:val="008B1BC4"/>
    <w:rsid w:val="008B1C93"/>
    <w:rsid w:val="008B3092"/>
    <w:rsid w:val="008B3959"/>
    <w:rsid w:val="008B4179"/>
    <w:rsid w:val="008B56EC"/>
    <w:rsid w:val="008B70F3"/>
    <w:rsid w:val="008C0278"/>
    <w:rsid w:val="008C0973"/>
    <w:rsid w:val="008C18BD"/>
    <w:rsid w:val="008C1EAA"/>
    <w:rsid w:val="008C24DE"/>
    <w:rsid w:val="008C24E9"/>
    <w:rsid w:val="008C258D"/>
    <w:rsid w:val="008C2B2F"/>
    <w:rsid w:val="008C3348"/>
    <w:rsid w:val="008C4102"/>
    <w:rsid w:val="008C41E8"/>
    <w:rsid w:val="008C46D6"/>
    <w:rsid w:val="008C4B4E"/>
    <w:rsid w:val="008C639C"/>
    <w:rsid w:val="008C71B0"/>
    <w:rsid w:val="008C7BA1"/>
    <w:rsid w:val="008C7D6C"/>
    <w:rsid w:val="008D0533"/>
    <w:rsid w:val="008D0577"/>
    <w:rsid w:val="008D1840"/>
    <w:rsid w:val="008D2612"/>
    <w:rsid w:val="008D263F"/>
    <w:rsid w:val="008D3C5F"/>
    <w:rsid w:val="008D42CB"/>
    <w:rsid w:val="008D48C9"/>
    <w:rsid w:val="008D4B97"/>
    <w:rsid w:val="008D5B79"/>
    <w:rsid w:val="008D6063"/>
    <w:rsid w:val="008D6250"/>
    <w:rsid w:val="008D6381"/>
    <w:rsid w:val="008D6A02"/>
    <w:rsid w:val="008D6A1E"/>
    <w:rsid w:val="008D6E5E"/>
    <w:rsid w:val="008D6EE8"/>
    <w:rsid w:val="008D73FA"/>
    <w:rsid w:val="008D7545"/>
    <w:rsid w:val="008D7696"/>
    <w:rsid w:val="008E0C77"/>
    <w:rsid w:val="008E1FD7"/>
    <w:rsid w:val="008E2BE4"/>
    <w:rsid w:val="008E3ED5"/>
    <w:rsid w:val="008E4704"/>
    <w:rsid w:val="008E4A99"/>
    <w:rsid w:val="008E5A1F"/>
    <w:rsid w:val="008E5C9E"/>
    <w:rsid w:val="008E625F"/>
    <w:rsid w:val="008E71C7"/>
    <w:rsid w:val="008E7335"/>
    <w:rsid w:val="008E74B4"/>
    <w:rsid w:val="008F00EF"/>
    <w:rsid w:val="008F09C3"/>
    <w:rsid w:val="008F0A86"/>
    <w:rsid w:val="008F143A"/>
    <w:rsid w:val="008F15AC"/>
    <w:rsid w:val="008F15FE"/>
    <w:rsid w:val="008F234F"/>
    <w:rsid w:val="008F264D"/>
    <w:rsid w:val="008F2BF2"/>
    <w:rsid w:val="008F2E11"/>
    <w:rsid w:val="008F3643"/>
    <w:rsid w:val="008F372A"/>
    <w:rsid w:val="008F3E90"/>
    <w:rsid w:val="008F4A87"/>
    <w:rsid w:val="008F4D58"/>
    <w:rsid w:val="008F6227"/>
    <w:rsid w:val="008F6581"/>
    <w:rsid w:val="008F6E9E"/>
    <w:rsid w:val="008F7F83"/>
    <w:rsid w:val="00900110"/>
    <w:rsid w:val="00900362"/>
    <w:rsid w:val="0090254E"/>
    <w:rsid w:val="00903346"/>
    <w:rsid w:val="009037C5"/>
    <w:rsid w:val="00903CCF"/>
    <w:rsid w:val="00904C49"/>
    <w:rsid w:val="00905608"/>
    <w:rsid w:val="009056E0"/>
    <w:rsid w:val="00906C3B"/>
    <w:rsid w:val="009074E1"/>
    <w:rsid w:val="00907B28"/>
    <w:rsid w:val="0091014C"/>
    <w:rsid w:val="009112F7"/>
    <w:rsid w:val="00912019"/>
    <w:rsid w:val="009122AF"/>
    <w:rsid w:val="00912378"/>
    <w:rsid w:val="009127BC"/>
    <w:rsid w:val="00912CB3"/>
    <w:rsid w:val="00912D54"/>
    <w:rsid w:val="0091321C"/>
    <w:rsid w:val="0091389F"/>
    <w:rsid w:val="00913B42"/>
    <w:rsid w:val="009140B1"/>
    <w:rsid w:val="00915EB1"/>
    <w:rsid w:val="00916F78"/>
    <w:rsid w:val="00917C0E"/>
    <w:rsid w:val="009208F7"/>
    <w:rsid w:val="00922517"/>
    <w:rsid w:val="00922722"/>
    <w:rsid w:val="00922E00"/>
    <w:rsid w:val="00925C22"/>
    <w:rsid w:val="00925D03"/>
    <w:rsid w:val="009261E6"/>
    <w:rsid w:val="00926293"/>
    <w:rsid w:val="009265BE"/>
    <w:rsid w:val="009268E1"/>
    <w:rsid w:val="00926C7A"/>
    <w:rsid w:val="00926FC8"/>
    <w:rsid w:val="009301B1"/>
    <w:rsid w:val="009313E2"/>
    <w:rsid w:val="00931C39"/>
    <w:rsid w:val="00931DE6"/>
    <w:rsid w:val="00932AC0"/>
    <w:rsid w:val="00932B5A"/>
    <w:rsid w:val="00932DCC"/>
    <w:rsid w:val="009333FD"/>
    <w:rsid w:val="00933495"/>
    <w:rsid w:val="00933EC5"/>
    <w:rsid w:val="00934143"/>
    <w:rsid w:val="00934318"/>
    <w:rsid w:val="009347D5"/>
    <w:rsid w:val="0093494A"/>
    <w:rsid w:val="00934CF8"/>
    <w:rsid w:val="00934D55"/>
    <w:rsid w:val="00935314"/>
    <w:rsid w:val="009353BF"/>
    <w:rsid w:val="00935EEF"/>
    <w:rsid w:val="00936C6F"/>
    <w:rsid w:val="00941175"/>
    <w:rsid w:val="00942B25"/>
    <w:rsid w:val="00944825"/>
    <w:rsid w:val="00944994"/>
    <w:rsid w:val="00944BED"/>
    <w:rsid w:val="00944C89"/>
    <w:rsid w:val="00944DF3"/>
    <w:rsid w:val="00945836"/>
    <w:rsid w:val="00945D7A"/>
    <w:rsid w:val="00945E7F"/>
    <w:rsid w:val="00946208"/>
    <w:rsid w:val="009466C1"/>
    <w:rsid w:val="00946ECD"/>
    <w:rsid w:val="00947247"/>
    <w:rsid w:val="0094755D"/>
    <w:rsid w:val="00947D0D"/>
    <w:rsid w:val="009504B2"/>
    <w:rsid w:val="00950740"/>
    <w:rsid w:val="00950757"/>
    <w:rsid w:val="009507EE"/>
    <w:rsid w:val="00951093"/>
    <w:rsid w:val="00951238"/>
    <w:rsid w:val="00951A3D"/>
    <w:rsid w:val="00951B8F"/>
    <w:rsid w:val="00951F24"/>
    <w:rsid w:val="009526C8"/>
    <w:rsid w:val="00953E72"/>
    <w:rsid w:val="009541B1"/>
    <w:rsid w:val="0095423F"/>
    <w:rsid w:val="009557C1"/>
    <w:rsid w:val="00956244"/>
    <w:rsid w:val="0095689C"/>
    <w:rsid w:val="00960574"/>
    <w:rsid w:val="009608B6"/>
    <w:rsid w:val="00960D6E"/>
    <w:rsid w:val="0096157B"/>
    <w:rsid w:val="00961B65"/>
    <w:rsid w:val="00961D52"/>
    <w:rsid w:val="00961E86"/>
    <w:rsid w:val="00962BDD"/>
    <w:rsid w:val="00962D62"/>
    <w:rsid w:val="0096370B"/>
    <w:rsid w:val="009637D7"/>
    <w:rsid w:val="00964CD2"/>
    <w:rsid w:val="00965939"/>
    <w:rsid w:val="00966C79"/>
    <w:rsid w:val="00967059"/>
    <w:rsid w:val="00970C31"/>
    <w:rsid w:val="00970F1F"/>
    <w:rsid w:val="0097186E"/>
    <w:rsid w:val="00972A8B"/>
    <w:rsid w:val="00972BB8"/>
    <w:rsid w:val="00972BC1"/>
    <w:rsid w:val="00974B2E"/>
    <w:rsid w:val="00974B59"/>
    <w:rsid w:val="00974CAF"/>
    <w:rsid w:val="00976318"/>
    <w:rsid w:val="00976EFC"/>
    <w:rsid w:val="00977138"/>
    <w:rsid w:val="00977AA8"/>
    <w:rsid w:val="00980CAF"/>
    <w:rsid w:val="009811F5"/>
    <w:rsid w:val="0098147E"/>
    <w:rsid w:val="0098151F"/>
    <w:rsid w:val="00981A87"/>
    <w:rsid w:val="00982C46"/>
    <w:rsid w:val="0098340B"/>
    <w:rsid w:val="0098464E"/>
    <w:rsid w:val="00984700"/>
    <w:rsid w:val="009859E3"/>
    <w:rsid w:val="00986830"/>
    <w:rsid w:val="00987746"/>
    <w:rsid w:val="00990987"/>
    <w:rsid w:val="00990F25"/>
    <w:rsid w:val="00991F04"/>
    <w:rsid w:val="009924C3"/>
    <w:rsid w:val="00993102"/>
    <w:rsid w:val="00993585"/>
    <w:rsid w:val="00993AB7"/>
    <w:rsid w:val="00993DA7"/>
    <w:rsid w:val="00993E66"/>
    <w:rsid w:val="009941D3"/>
    <w:rsid w:val="00994D95"/>
    <w:rsid w:val="00996250"/>
    <w:rsid w:val="00997133"/>
    <w:rsid w:val="00997571"/>
    <w:rsid w:val="009A147B"/>
    <w:rsid w:val="009A1E05"/>
    <w:rsid w:val="009A23C6"/>
    <w:rsid w:val="009A24C0"/>
    <w:rsid w:val="009A3415"/>
    <w:rsid w:val="009A7607"/>
    <w:rsid w:val="009B0E6E"/>
    <w:rsid w:val="009B1266"/>
    <w:rsid w:val="009B295E"/>
    <w:rsid w:val="009B3D9C"/>
    <w:rsid w:val="009B42A1"/>
    <w:rsid w:val="009B532B"/>
    <w:rsid w:val="009B5E6D"/>
    <w:rsid w:val="009C3308"/>
    <w:rsid w:val="009C362E"/>
    <w:rsid w:val="009C38D0"/>
    <w:rsid w:val="009C4A39"/>
    <w:rsid w:val="009C56A7"/>
    <w:rsid w:val="009C6E4A"/>
    <w:rsid w:val="009C6F10"/>
    <w:rsid w:val="009C7029"/>
    <w:rsid w:val="009C7B6C"/>
    <w:rsid w:val="009D0152"/>
    <w:rsid w:val="009D01D2"/>
    <w:rsid w:val="009D146C"/>
    <w:rsid w:val="009D148F"/>
    <w:rsid w:val="009D30D1"/>
    <w:rsid w:val="009D31DD"/>
    <w:rsid w:val="009D3D70"/>
    <w:rsid w:val="009D5405"/>
    <w:rsid w:val="009D6CDC"/>
    <w:rsid w:val="009D7447"/>
    <w:rsid w:val="009E005C"/>
    <w:rsid w:val="009E253B"/>
    <w:rsid w:val="009E3783"/>
    <w:rsid w:val="009E458F"/>
    <w:rsid w:val="009E4C21"/>
    <w:rsid w:val="009E4D9B"/>
    <w:rsid w:val="009E4F0C"/>
    <w:rsid w:val="009E67E9"/>
    <w:rsid w:val="009E69B7"/>
    <w:rsid w:val="009E6F7E"/>
    <w:rsid w:val="009E7432"/>
    <w:rsid w:val="009E77D6"/>
    <w:rsid w:val="009E7A57"/>
    <w:rsid w:val="009F0B0E"/>
    <w:rsid w:val="009F1221"/>
    <w:rsid w:val="009F1593"/>
    <w:rsid w:val="009F1BE1"/>
    <w:rsid w:val="009F1E12"/>
    <w:rsid w:val="009F30B2"/>
    <w:rsid w:val="009F380E"/>
    <w:rsid w:val="009F4236"/>
    <w:rsid w:val="009F4F6A"/>
    <w:rsid w:val="009F5617"/>
    <w:rsid w:val="009F5C4C"/>
    <w:rsid w:val="009F7253"/>
    <w:rsid w:val="009F785B"/>
    <w:rsid w:val="009F78C1"/>
    <w:rsid w:val="009F7E74"/>
    <w:rsid w:val="009F7E8E"/>
    <w:rsid w:val="00A00EBA"/>
    <w:rsid w:val="00A02B9F"/>
    <w:rsid w:val="00A02DD2"/>
    <w:rsid w:val="00A03453"/>
    <w:rsid w:val="00A034CE"/>
    <w:rsid w:val="00A04084"/>
    <w:rsid w:val="00A04526"/>
    <w:rsid w:val="00A046E8"/>
    <w:rsid w:val="00A04905"/>
    <w:rsid w:val="00A069A2"/>
    <w:rsid w:val="00A06B22"/>
    <w:rsid w:val="00A06E11"/>
    <w:rsid w:val="00A0760F"/>
    <w:rsid w:val="00A1056D"/>
    <w:rsid w:val="00A10827"/>
    <w:rsid w:val="00A119E4"/>
    <w:rsid w:val="00A120ED"/>
    <w:rsid w:val="00A12436"/>
    <w:rsid w:val="00A1258C"/>
    <w:rsid w:val="00A1266A"/>
    <w:rsid w:val="00A128BC"/>
    <w:rsid w:val="00A12E87"/>
    <w:rsid w:val="00A13D1C"/>
    <w:rsid w:val="00A14612"/>
    <w:rsid w:val="00A14EA3"/>
    <w:rsid w:val="00A15A84"/>
    <w:rsid w:val="00A16E36"/>
    <w:rsid w:val="00A17B14"/>
    <w:rsid w:val="00A20385"/>
    <w:rsid w:val="00A20B62"/>
    <w:rsid w:val="00A211F3"/>
    <w:rsid w:val="00A2128C"/>
    <w:rsid w:val="00A2271A"/>
    <w:rsid w:val="00A23DEE"/>
    <w:rsid w:val="00A24961"/>
    <w:rsid w:val="00A24B10"/>
    <w:rsid w:val="00A24BF8"/>
    <w:rsid w:val="00A24FBA"/>
    <w:rsid w:val="00A252CF"/>
    <w:rsid w:val="00A25EDF"/>
    <w:rsid w:val="00A2688E"/>
    <w:rsid w:val="00A275D7"/>
    <w:rsid w:val="00A3055F"/>
    <w:rsid w:val="00A30E9B"/>
    <w:rsid w:val="00A32713"/>
    <w:rsid w:val="00A335E6"/>
    <w:rsid w:val="00A33DE4"/>
    <w:rsid w:val="00A33FCF"/>
    <w:rsid w:val="00A341F5"/>
    <w:rsid w:val="00A3471C"/>
    <w:rsid w:val="00A3487B"/>
    <w:rsid w:val="00A349E5"/>
    <w:rsid w:val="00A34C68"/>
    <w:rsid w:val="00A371F5"/>
    <w:rsid w:val="00A373ED"/>
    <w:rsid w:val="00A377E2"/>
    <w:rsid w:val="00A4094D"/>
    <w:rsid w:val="00A41127"/>
    <w:rsid w:val="00A41643"/>
    <w:rsid w:val="00A41C0F"/>
    <w:rsid w:val="00A41E62"/>
    <w:rsid w:val="00A42343"/>
    <w:rsid w:val="00A42BA2"/>
    <w:rsid w:val="00A42CED"/>
    <w:rsid w:val="00A4512D"/>
    <w:rsid w:val="00A4520B"/>
    <w:rsid w:val="00A4530D"/>
    <w:rsid w:val="00A459B0"/>
    <w:rsid w:val="00A460E5"/>
    <w:rsid w:val="00A47702"/>
    <w:rsid w:val="00A477D4"/>
    <w:rsid w:val="00A50244"/>
    <w:rsid w:val="00A50AA2"/>
    <w:rsid w:val="00A50D84"/>
    <w:rsid w:val="00A51EF6"/>
    <w:rsid w:val="00A520E8"/>
    <w:rsid w:val="00A533CD"/>
    <w:rsid w:val="00A53EEA"/>
    <w:rsid w:val="00A54055"/>
    <w:rsid w:val="00A55D9E"/>
    <w:rsid w:val="00A5649A"/>
    <w:rsid w:val="00A56F17"/>
    <w:rsid w:val="00A5754D"/>
    <w:rsid w:val="00A61026"/>
    <w:rsid w:val="00A61B0A"/>
    <w:rsid w:val="00A62127"/>
    <w:rsid w:val="00A62619"/>
    <w:rsid w:val="00A627D7"/>
    <w:rsid w:val="00A63C7A"/>
    <w:rsid w:val="00A63DBE"/>
    <w:rsid w:val="00A64C80"/>
    <w:rsid w:val="00A652F8"/>
    <w:rsid w:val="00A656C7"/>
    <w:rsid w:val="00A65C9B"/>
    <w:rsid w:val="00A66BB4"/>
    <w:rsid w:val="00A66FCC"/>
    <w:rsid w:val="00A6717B"/>
    <w:rsid w:val="00A67BD8"/>
    <w:rsid w:val="00A70113"/>
    <w:rsid w:val="00A705AF"/>
    <w:rsid w:val="00A70A42"/>
    <w:rsid w:val="00A713E2"/>
    <w:rsid w:val="00A72454"/>
    <w:rsid w:val="00A72F1E"/>
    <w:rsid w:val="00A746F2"/>
    <w:rsid w:val="00A74CF1"/>
    <w:rsid w:val="00A75315"/>
    <w:rsid w:val="00A75AD2"/>
    <w:rsid w:val="00A76465"/>
    <w:rsid w:val="00A77526"/>
    <w:rsid w:val="00A77696"/>
    <w:rsid w:val="00A801AD"/>
    <w:rsid w:val="00A80557"/>
    <w:rsid w:val="00A805D5"/>
    <w:rsid w:val="00A81657"/>
    <w:rsid w:val="00A81D33"/>
    <w:rsid w:val="00A82709"/>
    <w:rsid w:val="00A82F51"/>
    <w:rsid w:val="00A8371C"/>
    <w:rsid w:val="00A839F6"/>
    <w:rsid w:val="00A83D26"/>
    <w:rsid w:val="00A8452B"/>
    <w:rsid w:val="00A84BD6"/>
    <w:rsid w:val="00A85F95"/>
    <w:rsid w:val="00A8695A"/>
    <w:rsid w:val="00A90E99"/>
    <w:rsid w:val="00A910A1"/>
    <w:rsid w:val="00A92909"/>
    <w:rsid w:val="00A930AE"/>
    <w:rsid w:val="00A9354E"/>
    <w:rsid w:val="00A93B41"/>
    <w:rsid w:val="00A9483B"/>
    <w:rsid w:val="00A95650"/>
    <w:rsid w:val="00A9588C"/>
    <w:rsid w:val="00A960D1"/>
    <w:rsid w:val="00A97454"/>
    <w:rsid w:val="00A974B7"/>
    <w:rsid w:val="00A97990"/>
    <w:rsid w:val="00AA00BB"/>
    <w:rsid w:val="00AA092D"/>
    <w:rsid w:val="00AA1951"/>
    <w:rsid w:val="00AA1A95"/>
    <w:rsid w:val="00AA1B87"/>
    <w:rsid w:val="00AA1F86"/>
    <w:rsid w:val="00AA260F"/>
    <w:rsid w:val="00AA2621"/>
    <w:rsid w:val="00AA31A5"/>
    <w:rsid w:val="00AA5EEE"/>
    <w:rsid w:val="00AA627D"/>
    <w:rsid w:val="00AA6FA3"/>
    <w:rsid w:val="00AA73B8"/>
    <w:rsid w:val="00AA763F"/>
    <w:rsid w:val="00AA768E"/>
    <w:rsid w:val="00AB0067"/>
    <w:rsid w:val="00AB12B4"/>
    <w:rsid w:val="00AB132F"/>
    <w:rsid w:val="00AB1B41"/>
    <w:rsid w:val="00AB1EE7"/>
    <w:rsid w:val="00AB2D99"/>
    <w:rsid w:val="00AB4B37"/>
    <w:rsid w:val="00AB4B98"/>
    <w:rsid w:val="00AB50C8"/>
    <w:rsid w:val="00AB5433"/>
    <w:rsid w:val="00AB5762"/>
    <w:rsid w:val="00AB70F3"/>
    <w:rsid w:val="00AB76C8"/>
    <w:rsid w:val="00AC0989"/>
    <w:rsid w:val="00AC0C70"/>
    <w:rsid w:val="00AC11AC"/>
    <w:rsid w:val="00AC21C2"/>
    <w:rsid w:val="00AC2679"/>
    <w:rsid w:val="00AC2C86"/>
    <w:rsid w:val="00AC367D"/>
    <w:rsid w:val="00AC443A"/>
    <w:rsid w:val="00AC4BE4"/>
    <w:rsid w:val="00AC61B2"/>
    <w:rsid w:val="00AC6524"/>
    <w:rsid w:val="00AC6BF9"/>
    <w:rsid w:val="00AC774C"/>
    <w:rsid w:val="00AD02A2"/>
    <w:rsid w:val="00AD0372"/>
    <w:rsid w:val="00AD05E6"/>
    <w:rsid w:val="00AD060F"/>
    <w:rsid w:val="00AD08FE"/>
    <w:rsid w:val="00AD0AEF"/>
    <w:rsid w:val="00AD0D3F"/>
    <w:rsid w:val="00AD1119"/>
    <w:rsid w:val="00AD1D59"/>
    <w:rsid w:val="00AD1DA7"/>
    <w:rsid w:val="00AD303A"/>
    <w:rsid w:val="00AD3637"/>
    <w:rsid w:val="00AD6A8F"/>
    <w:rsid w:val="00AD6D90"/>
    <w:rsid w:val="00AE1548"/>
    <w:rsid w:val="00AE1D7D"/>
    <w:rsid w:val="00AE1F39"/>
    <w:rsid w:val="00AE2A8B"/>
    <w:rsid w:val="00AE3418"/>
    <w:rsid w:val="00AE3F64"/>
    <w:rsid w:val="00AE4C65"/>
    <w:rsid w:val="00AE5535"/>
    <w:rsid w:val="00AE56CC"/>
    <w:rsid w:val="00AE676F"/>
    <w:rsid w:val="00AE7A23"/>
    <w:rsid w:val="00AF08EA"/>
    <w:rsid w:val="00AF1318"/>
    <w:rsid w:val="00AF13EE"/>
    <w:rsid w:val="00AF183F"/>
    <w:rsid w:val="00AF2598"/>
    <w:rsid w:val="00AF2981"/>
    <w:rsid w:val="00AF3191"/>
    <w:rsid w:val="00AF35A7"/>
    <w:rsid w:val="00AF3734"/>
    <w:rsid w:val="00AF5DA0"/>
    <w:rsid w:val="00AF5DD8"/>
    <w:rsid w:val="00AF6413"/>
    <w:rsid w:val="00AF7139"/>
    <w:rsid w:val="00AF7180"/>
    <w:rsid w:val="00AF7386"/>
    <w:rsid w:val="00AF743F"/>
    <w:rsid w:val="00AF7934"/>
    <w:rsid w:val="00B00238"/>
    <w:rsid w:val="00B00B81"/>
    <w:rsid w:val="00B02B2D"/>
    <w:rsid w:val="00B038C4"/>
    <w:rsid w:val="00B03C60"/>
    <w:rsid w:val="00B0427A"/>
    <w:rsid w:val="00B04580"/>
    <w:rsid w:val="00B04B09"/>
    <w:rsid w:val="00B0532F"/>
    <w:rsid w:val="00B053B0"/>
    <w:rsid w:val="00B05BE0"/>
    <w:rsid w:val="00B05E69"/>
    <w:rsid w:val="00B10248"/>
    <w:rsid w:val="00B1067F"/>
    <w:rsid w:val="00B10A0C"/>
    <w:rsid w:val="00B10D18"/>
    <w:rsid w:val="00B1126B"/>
    <w:rsid w:val="00B11E31"/>
    <w:rsid w:val="00B130F6"/>
    <w:rsid w:val="00B13A4B"/>
    <w:rsid w:val="00B13B27"/>
    <w:rsid w:val="00B14BB5"/>
    <w:rsid w:val="00B16527"/>
    <w:rsid w:val="00B16A51"/>
    <w:rsid w:val="00B17665"/>
    <w:rsid w:val="00B176D2"/>
    <w:rsid w:val="00B17E14"/>
    <w:rsid w:val="00B2371A"/>
    <w:rsid w:val="00B25440"/>
    <w:rsid w:val="00B2616B"/>
    <w:rsid w:val="00B26769"/>
    <w:rsid w:val="00B26B90"/>
    <w:rsid w:val="00B26CD3"/>
    <w:rsid w:val="00B27335"/>
    <w:rsid w:val="00B2757D"/>
    <w:rsid w:val="00B27969"/>
    <w:rsid w:val="00B27E46"/>
    <w:rsid w:val="00B317A0"/>
    <w:rsid w:val="00B3183C"/>
    <w:rsid w:val="00B31E20"/>
    <w:rsid w:val="00B32222"/>
    <w:rsid w:val="00B32301"/>
    <w:rsid w:val="00B32556"/>
    <w:rsid w:val="00B325FB"/>
    <w:rsid w:val="00B32A06"/>
    <w:rsid w:val="00B32E7F"/>
    <w:rsid w:val="00B32FC9"/>
    <w:rsid w:val="00B33042"/>
    <w:rsid w:val="00B33047"/>
    <w:rsid w:val="00B33190"/>
    <w:rsid w:val="00B3319B"/>
    <w:rsid w:val="00B33FC9"/>
    <w:rsid w:val="00B341CA"/>
    <w:rsid w:val="00B343C7"/>
    <w:rsid w:val="00B3511A"/>
    <w:rsid w:val="00B35256"/>
    <w:rsid w:val="00B357A6"/>
    <w:rsid w:val="00B357F0"/>
    <w:rsid w:val="00B35939"/>
    <w:rsid w:val="00B35F46"/>
    <w:rsid w:val="00B3618D"/>
    <w:rsid w:val="00B36233"/>
    <w:rsid w:val="00B36A5F"/>
    <w:rsid w:val="00B37C2F"/>
    <w:rsid w:val="00B408D7"/>
    <w:rsid w:val="00B41509"/>
    <w:rsid w:val="00B42246"/>
    <w:rsid w:val="00B42341"/>
    <w:rsid w:val="00B42679"/>
    <w:rsid w:val="00B42851"/>
    <w:rsid w:val="00B42B43"/>
    <w:rsid w:val="00B42F1C"/>
    <w:rsid w:val="00B438D1"/>
    <w:rsid w:val="00B43AC1"/>
    <w:rsid w:val="00B45AC7"/>
    <w:rsid w:val="00B45DFE"/>
    <w:rsid w:val="00B46B4E"/>
    <w:rsid w:val="00B47169"/>
    <w:rsid w:val="00B472C9"/>
    <w:rsid w:val="00B474BB"/>
    <w:rsid w:val="00B47E5C"/>
    <w:rsid w:val="00B5045B"/>
    <w:rsid w:val="00B505B6"/>
    <w:rsid w:val="00B506A3"/>
    <w:rsid w:val="00B5246B"/>
    <w:rsid w:val="00B52568"/>
    <w:rsid w:val="00B5372F"/>
    <w:rsid w:val="00B53E9E"/>
    <w:rsid w:val="00B55AB4"/>
    <w:rsid w:val="00B55BD5"/>
    <w:rsid w:val="00B5623E"/>
    <w:rsid w:val="00B56C51"/>
    <w:rsid w:val="00B56D15"/>
    <w:rsid w:val="00B56D98"/>
    <w:rsid w:val="00B5702C"/>
    <w:rsid w:val="00B575AF"/>
    <w:rsid w:val="00B577DF"/>
    <w:rsid w:val="00B604E9"/>
    <w:rsid w:val="00B61129"/>
    <w:rsid w:val="00B61A6A"/>
    <w:rsid w:val="00B61B1E"/>
    <w:rsid w:val="00B61F3C"/>
    <w:rsid w:val="00B62534"/>
    <w:rsid w:val="00B6258D"/>
    <w:rsid w:val="00B62E12"/>
    <w:rsid w:val="00B64C56"/>
    <w:rsid w:val="00B64FAC"/>
    <w:rsid w:val="00B65E05"/>
    <w:rsid w:val="00B663AB"/>
    <w:rsid w:val="00B66824"/>
    <w:rsid w:val="00B66CBC"/>
    <w:rsid w:val="00B66DE7"/>
    <w:rsid w:val="00B670C7"/>
    <w:rsid w:val="00B678B6"/>
    <w:rsid w:val="00B67E7F"/>
    <w:rsid w:val="00B704EC"/>
    <w:rsid w:val="00B7073F"/>
    <w:rsid w:val="00B716C4"/>
    <w:rsid w:val="00B721A5"/>
    <w:rsid w:val="00B7222E"/>
    <w:rsid w:val="00B7261B"/>
    <w:rsid w:val="00B72773"/>
    <w:rsid w:val="00B72B1F"/>
    <w:rsid w:val="00B744B0"/>
    <w:rsid w:val="00B759A7"/>
    <w:rsid w:val="00B75A04"/>
    <w:rsid w:val="00B75CA5"/>
    <w:rsid w:val="00B75FFE"/>
    <w:rsid w:val="00B7603D"/>
    <w:rsid w:val="00B76D25"/>
    <w:rsid w:val="00B8085D"/>
    <w:rsid w:val="00B8155A"/>
    <w:rsid w:val="00B820DF"/>
    <w:rsid w:val="00B839B2"/>
    <w:rsid w:val="00B84815"/>
    <w:rsid w:val="00B84A1E"/>
    <w:rsid w:val="00B85863"/>
    <w:rsid w:val="00B85DF0"/>
    <w:rsid w:val="00B85E66"/>
    <w:rsid w:val="00B860BE"/>
    <w:rsid w:val="00B863B0"/>
    <w:rsid w:val="00B87D5C"/>
    <w:rsid w:val="00B90577"/>
    <w:rsid w:val="00B91859"/>
    <w:rsid w:val="00B921C0"/>
    <w:rsid w:val="00B92DB3"/>
    <w:rsid w:val="00B92DF3"/>
    <w:rsid w:val="00B94252"/>
    <w:rsid w:val="00B9454B"/>
    <w:rsid w:val="00B94689"/>
    <w:rsid w:val="00B94828"/>
    <w:rsid w:val="00B96036"/>
    <w:rsid w:val="00B9715A"/>
    <w:rsid w:val="00B973B2"/>
    <w:rsid w:val="00BA14BE"/>
    <w:rsid w:val="00BA2421"/>
    <w:rsid w:val="00BA2732"/>
    <w:rsid w:val="00BA293D"/>
    <w:rsid w:val="00BA3D79"/>
    <w:rsid w:val="00BA3FDC"/>
    <w:rsid w:val="00BA49BC"/>
    <w:rsid w:val="00BA49BE"/>
    <w:rsid w:val="00BA4A73"/>
    <w:rsid w:val="00BA4C5A"/>
    <w:rsid w:val="00BA4F73"/>
    <w:rsid w:val="00BA5019"/>
    <w:rsid w:val="00BA56B7"/>
    <w:rsid w:val="00BA689B"/>
    <w:rsid w:val="00BA70AB"/>
    <w:rsid w:val="00BA7A1E"/>
    <w:rsid w:val="00BA7B66"/>
    <w:rsid w:val="00BA7CA9"/>
    <w:rsid w:val="00BB050B"/>
    <w:rsid w:val="00BB2F6C"/>
    <w:rsid w:val="00BB3875"/>
    <w:rsid w:val="00BB466E"/>
    <w:rsid w:val="00BB46BF"/>
    <w:rsid w:val="00BB4C5D"/>
    <w:rsid w:val="00BB5824"/>
    <w:rsid w:val="00BB5860"/>
    <w:rsid w:val="00BB6AAD"/>
    <w:rsid w:val="00BB7BF6"/>
    <w:rsid w:val="00BB7C94"/>
    <w:rsid w:val="00BC0568"/>
    <w:rsid w:val="00BC0B46"/>
    <w:rsid w:val="00BC0C92"/>
    <w:rsid w:val="00BC0EBB"/>
    <w:rsid w:val="00BC12FF"/>
    <w:rsid w:val="00BC32B5"/>
    <w:rsid w:val="00BC4A19"/>
    <w:rsid w:val="00BC4E6D"/>
    <w:rsid w:val="00BC50D2"/>
    <w:rsid w:val="00BC6301"/>
    <w:rsid w:val="00BC6363"/>
    <w:rsid w:val="00BC709F"/>
    <w:rsid w:val="00BD0155"/>
    <w:rsid w:val="00BD0617"/>
    <w:rsid w:val="00BD0C64"/>
    <w:rsid w:val="00BD2E9B"/>
    <w:rsid w:val="00BD464D"/>
    <w:rsid w:val="00BD58FF"/>
    <w:rsid w:val="00BD71C0"/>
    <w:rsid w:val="00BD7E32"/>
    <w:rsid w:val="00BD7E90"/>
    <w:rsid w:val="00BE056B"/>
    <w:rsid w:val="00BE127D"/>
    <w:rsid w:val="00BE1A4B"/>
    <w:rsid w:val="00BE3A49"/>
    <w:rsid w:val="00BE4A0C"/>
    <w:rsid w:val="00BE5DF1"/>
    <w:rsid w:val="00BE706B"/>
    <w:rsid w:val="00BE7E8D"/>
    <w:rsid w:val="00BF0B24"/>
    <w:rsid w:val="00BF1F61"/>
    <w:rsid w:val="00BF22C6"/>
    <w:rsid w:val="00BF2E26"/>
    <w:rsid w:val="00BF3552"/>
    <w:rsid w:val="00BF39D6"/>
    <w:rsid w:val="00BF4A29"/>
    <w:rsid w:val="00BF4F60"/>
    <w:rsid w:val="00BF5C61"/>
    <w:rsid w:val="00BF5D21"/>
    <w:rsid w:val="00C00930"/>
    <w:rsid w:val="00C0102B"/>
    <w:rsid w:val="00C01DC1"/>
    <w:rsid w:val="00C01F8E"/>
    <w:rsid w:val="00C02D91"/>
    <w:rsid w:val="00C04262"/>
    <w:rsid w:val="00C04F0F"/>
    <w:rsid w:val="00C060AD"/>
    <w:rsid w:val="00C0670D"/>
    <w:rsid w:val="00C06CAE"/>
    <w:rsid w:val="00C079DE"/>
    <w:rsid w:val="00C113BF"/>
    <w:rsid w:val="00C11CD9"/>
    <w:rsid w:val="00C126E1"/>
    <w:rsid w:val="00C14559"/>
    <w:rsid w:val="00C15184"/>
    <w:rsid w:val="00C160C2"/>
    <w:rsid w:val="00C164F4"/>
    <w:rsid w:val="00C17AFC"/>
    <w:rsid w:val="00C20287"/>
    <w:rsid w:val="00C20CF1"/>
    <w:rsid w:val="00C20E33"/>
    <w:rsid w:val="00C20ECD"/>
    <w:rsid w:val="00C20F11"/>
    <w:rsid w:val="00C21766"/>
    <w:rsid w:val="00C2176E"/>
    <w:rsid w:val="00C22250"/>
    <w:rsid w:val="00C228AC"/>
    <w:rsid w:val="00C23430"/>
    <w:rsid w:val="00C23677"/>
    <w:rsid w:val="00C236A3"/>
    <w:rsid w:val="00C23B8F"/>
    <w:rsid w:val="00C2462A"/>
    <w:rsid w:val="00C25D2D"/>
    <w:rsid w:val="00C25F99"/>
    <w:rsid w:val="00C266A7"/>
    <w:rsid w:val="00C267ED"/>
    <w:rsid w:val="00C27D5A"/>
    <w:rsid w:val="00C27D67"/>
    <w:rsid w:val="00C30752"/>
    <w:rsid w:val="00C31A1E"/>
    <w:rsid w:val="00C31C6C"/>
    <w:rsid w:val="00C33B97"/>
    <w:rsid w:val="00C34250"/>
    <w:rsid w:val="00C36084"/>
    <w:rsid w:val="00C362AD"/>
    <w:rsid w:val="00C36670"/>
    <w:rsid w:val="00C37451"/>
    <w:rsid w:val="00C40E4F"/>
    <w:rsid w:val="00C42676"/>
    <w:rsid w:val="00C42D11"/>
    <w:rsid w:val="00C4364B"/>
    <w:rsid w:val="00C437A5"/>
    <w:rsid w:val="00C44073"/>
    <w:rsid w:val="00C44713"/>
    <w:rsid w:val="00C457BA"/>
    <w:rsid w:val="00C4631F"/>
    <w:rsid w:val="00C47A04"/>
    <w:rsid w:val="00C50E16"/>
    <w:rsid w:val="00C51437"/>
    <w:rsid w:val="00C514C7"/>
    <w:rsid w:val="00C5161E"/>
    <w:rsid w:val="00C51DBB"/>
    <w:rsid w:val="00C51E2F"/>
    <w:rsid w:val="00C5267E"/>
    <w:rsid w:val="00C52D56"/>
    <w:rsid w:val="00C536C9"/>
    <w:rsid w:val="00C542D8"/>
    <w:rsid w:val="00C544E8"/>
    <w:rsid w:val="00C54A41"/>
    <w:rsid w:val="00C54E81"/>
    <w:rsid w:val="00C55258"/>
    <w:rsid w:val="00C5582C"/>
    <w:rsid w:val="00C55B77"/>
    <w:rsid w:val="00C56253"/>
    <w:rsid w:val="00C56C81"/>
    <w:rsid w:val="00C57438"/>
    <w:rsid w:val="00C57E7A"/>
    <w:rsid w:val="00C60238"/>
    <w:rsid w:val="00C63A12"/>
    <w:rsid w:val="00C63DDC"/>
    <w:rsid w:val="00C63E8E"/>
    <w:rsid w:val="00C649FE"/>
    <w:rsid w:val="00C6566B"/>
    <w:rsid w:val="00C658AC"/>
    <w:rsid w:val="00C65CFA"/>
    <w:rsid w:val="00C66397"/>
    <w:rsid w:val="00C679E2"/>
    <w:rsid w:val="00C706C7"/>
    <w:rsid w:val="00C71D35"/>
    <w:rsid w:val="00C7220C"/>
    <w:rsid w:val="00C72293"/>
    <w:rsid w:val="00C72539"/>
    <w:rsid w:val="00C7318B"/>
    <w:rsid w:val="00C73577"/>
    <w:rsid w:val="00C73C5C"/>
    <w:rsid w:val="00C74264"/>
    <w:rsid w:val="00C743C6"/>
    <w:rsid w:val="00C74792"/>
    <w:rsid w:val="00C754D0"/>
    <w:rsid w:val="00C7593D"/>
    <w:rsid w:val="00C75E23"/>
    <w:rsid w:val="00C76195"/>
    <w:rsid w:val="00C77CCC"/>
    <w:rsid w:val="00C80197"/>
    <w:rsid w:val="00C805F5"/>
    <w:rsid w:val="00C82798"/>
    <w:rsid w:val="00C82EEB"/>
    <w:rsid w:val="00C83544"/>
    <w:rsid w:val="00C83B68"/>
    <w:rsid w:val="00C845F8"/>
    <w:rsid w:val="00C848E9"/>
    <w:rsid w:val="00C85D98"/>
    <w:rsid w:val="00C85E21"/>
    <w:rsid w:val="00C86351"/>
    <w:rsid w:val="00C86F48"/>
    <w:rsid w:val="00C878B7"/>
    <w:rsid w:val="00C90122"/>
    <w:rsid w:val="00C913C5"/>
    <w:rsid w:val="00C91B27"/>
    <w:rsid w:val="00C91F54"/>
    <w:rsid w:val="00C92E57"/>
    <w:rsid w:val="00C9355F"/>
    <w:rsid w:val="00C93717"/>
    <w:rsid w:val="00C93B7D"/>
    <w:rsid w:val="00C95011"/>
    <w:rsid w:val="00C952EA"/>
    <w:rsid w:val="00C96D5C"/>
    <w:rsid w:val="00C96E11"/>
    <w:rsid w:val="00C971DC"/>
    <w:rsid w:val="00C977A6"/>
    <w:rsid w:val="00CA0F02"/>
    <w:rsid w:val="00CA1607"/>
    <w:rsid w:val="00CA16B7"/>
    <w:rsid w:val="00CA1B12"/>
    <w:rsid w:val="00CA4BE3"/>
    <w:rsid w:val="00CA52A7"/>
    <w:rsid w:val="00CA62AE"/>
    <w:rsid w:val="00CA6C67"/>
    <w:rsid w:val="00CA72C4"/>
    <w:rsid w:val="00CA79CF"/>
    <w:rsid w:val="00CA7BB9"/>
    <w:rsid w:val="00CB0B1B"/>
    <w:rsid w:val="00CB1FB9"/>
    <w:rsid w:val="00CB2391"/>
    <w:rsid w:val="00CB2492"/>
    <w:rsid w:val="00CB2570"/>
    <w:rsid w:val="00CB2B5A"/>
    <w:rsid w:val="00CB3859"/>
    <w:rsid w:val="00CB3FB5"/>
    <w:rsid w:val="00CB5B1A"/>
    <w:rsid w:val="00CB60CD"/>
    <w:rsid w:val="00CB6812"/>
    <w:rsid w:val="00CB68E6"/>
    <w:rsid w:val="00CB757C"/>
    <w:rsid w:val="00CB78A0"/>
    <w:rsid w:val="00CC0C13"/>
    <w:rsid w:val="00CC158E"/>
    <w:rsid w:val="00CC220B"/>
    <w:rsid w:val="00CC375D"/>
    <w:rsid w:val="00CC4523"/>
    <w:rsid w:val="00CC4BFF"/>
    <w:rsid w:val="00CC5001"/>
    <w:rsid w:val="00CC556E"/>
    <w:rsid w:val="00CC579B"/>
    <w:rsid w:val="00CC5C43"/>
    <w:rsid w:val="00CC5D22"/>
    <w:rsid w:val="00CC5DE7"/>
    <w:rsid w:val="00CC60A6"/>
    <w:rsid w:val="00CC67F2"/>
    <w:rsid w:val="00CC6AF6"/>
    <w:rsid w:val="00CC7A79"/>
    <w:rsid w:val="00CC7BE9"/>
    <w:rsid w:val="00CC7D42"/>
    <w:rsid w:val="00CD02AE"/>
    <w:rsid w:val="00CD0664"/>
    <w:rsid w:val="00CD081B"/>
    <w:rsid w:val="00CD1224"/>
    <w:rsid w:val="00CD2A4F"/>
    <w:rsid w:val="00CD4070"/>
    <w:rsid w:val="00CD4A1D"/>
    <w:rsid w:val="00CD4F2E"/>
    <w:rsid w:val="00CD55D4"/>
    <w:rsid w:val="00CD5982"/>
    <w:rsid w:val="00CE03CA"/>
    <w:rsid w:val="00CE1042"/>
    <w:rsid w:val="00CE12A7"/>
    <w:rsid w:val="00CE15D5"/>
    <w:rsid w:val="00CE1F4B"/>
    <w:rsid w:val="00CE22F1"/>
    <w:rsid w:val="00CE24D3"/>
    <w:rsid w:val="00CE3371"/>
    <w:rsid w:val="00CE4BBB"/>
    <w:rsid w:val="00CE50F2"/>
    <w:rsid w:val="00CE6008"/>
    <w:rsid w:val="00CE620F"/>
    <w:rsid w:val="00CE6502"/>
    <w:rsid w:val="00CE6B2F"/>
    <w:rsid w:val="00CE7832"/>
    <w:rsid w:val="00CE7A76"/>
    <w:rsid w:val="00CE7EA2"/>
    <w:rsid w:val="00CF0895"/>
    <w:rsid w:val="00CF14A6"/>
    <w:rsid w:val="00CF189A"/>
    <w:rsid w:val="00CF26E0"/>
    <w:rsid w:val="00CF4823"/>
    <w:rsid w:val="00CF5617"/>
    <w:rsid w:val="00CF5636"/>
    <w:rsid w:val="00CF5AE7"/>
    <w:rsid w:val="00CF61B3"/>
    <w:rsid w:val="00CF6742"/>
    <w:rsid w:val="00CF6C37"/>
    <w:rsid w:val="00CF7D3C"/>
    <w:rsid w:val="00CF7DB9"/>
    <w:rsid w:val="00CF7EE1"/>
    <w:rsid w:val="00D007DA"/>
    <w:rsid w:val="00D01A97"/>
    <w:rsid w:val="00D02DCC"/>
    <w:rsid w:val="00D03080"/>
    <w:rsid w:val="00D03711"/>
    <w:rsid w:val="00D03BED"/>
    <w:rsid w:val="00D04419"/>
    <w:rsid w:val="00D04EEF"/>
    <w:rsid w:val="00D04FE3"/>
    <w:rsid w:val="00D056DC"/>
    <w:rsid w:val="00D0653D"/>
    <w:rsid w:val="00D06D71"/>
    <w:rsid w:val="00D07608"/>
    <w:rsid w:val="00D11267"/>
    <w:rsid w:val="00D112BE"/>
    <w:rsid w:val="00D12405"/>
    <w:rsid w:val="00D147EB"/>
    <w:rsid w:val="00D14840"/>
    <w:rsid w:val="00D15EBF"/>
    <w:rsid w:val="00D169C7"/>
    <w:rsid w:val="00D17778"/>
    <w:rsid w:val="00D20F0F"/>
    <w:rsid w:val="00D21122"/>
    <w:rsid w:val="00D21706"/>
    <w:rsid w:val="00D21A4C"/>
    <w:rsid w:val="00D22CF3"/>
    <w:rsid w:val="00D24636"/>
    <w:rsid w:val="00D24A9C"/>
    <w:rsid w:val="00D26903"/>
    <w:rsid w:val="00D2697D"/>
    <w:rsid w:val="00D26EEC"/>
    <w:rsid w:val="00D27A3E"/>
    <w:rsid w:val="00D31D54"/>
    <w:rsid w:val="00D31F1F"/>
    <w:rsid w:val="00D32D44"/>
    <w:rsid w:val="00D32DEC"/>
    <w:rsid w:val="00D333FE"/>
    <w:rsid w:val="00D334B5"/>
    <w:rsid w:val="00D33BE8"/>
    <w:rsid w:val="00D33DA1"/>
    <w:rsid w:val="00D34667"/>
    <w:rsid w:val="00D34769"/>
    <w:rsid w:val="00D34B79"/>
    <w:rsid w:val="00D34FAF"/>
    <w:rsid w:val="00D36DB0"/>
    <w:rsid w:val="00D401E1"/>
    <w:rsid w:val="00D408B4"/>
    <w:rsid w:val="00D41C24"/>
    <w:rsid w:val="00D41FF3"/>
    <w:rsid w:val="00D42A08"/>
    <w:rsid w:val="00D42A90"/>
    <w:rsid w:val="00D42E42"/>
    <w:rsid w:val="00D42F23"/>
    <w:rsid w:val="00D44211"/>
    <w:rsid w:val="00D44F06"/>
    <w:rsid w:val="00D45182"/>
    <w:rsid w:val="00D4564C"/>
    <w:rsid w:val="00D45D94"/>
    <w:rsid w:val="00D45E2A"/>
    <w:rsid w:val="00D46572"/>
    <w:rsid w:val="00D47443"/>
    <w:rsid w:val="00D5065B"/>
    <w:rsid w:val="00D50AB3"/>
    <w:rsid w:val="00D51111"/>
    <w:rsid w:val="00D51B15"/>
    <w:rsid w:val="00D524C8"/>
    <w:rsid w:val="00D52E99"/>
    <w:rsid w:val="00D52EF2"/>
    <w:rsid w:val="00D53030"/>
    <w:rsid w:val="00D5356B"/>
    <w:rsid w:val="00D565FF"/>
    <w:rsid w:val="00D567CA"/>
    <w:rsid w:val="00D60267"/>
    <w:rsid w:val="00D60E25"/>
    <w:rsid w:val="00D615F3"/>
    <w:rsid w:val="00D62EC3"/>
    <w:rsid w:val="00D6318D"/>
    <w:rsid w:val="00D635FC"/>
    <w:rsid w:val="00D639BF"/>
    <w:rsid w:val="00D64696"/>
    <w:rsid w:val="00D65607"/>
    <w:rsid w:val="00D6577B"/>
    <w:rsid w:val="00D662D6"/>
    <w:rsid w:val="00D66561"/>
    <w:rsid w:val="00D6706E"/>
    <w:rsid w:val="00D67096"/>
    <w:rsid w:val="00D671DA"/>
    <w:rsid w:val="00D672E7"/>
    <w:rsid w:val="00D705D7"/>
    <w:rsid w:val="00D70BEE"/>
    <w:rsid w:val="00D70E24"/>
    <w:rsid w:val="00D716B3"/>
    <w:rsid w:val="00D71E07"/>
    <w:rsid w:val="00D71EF0"/>
    <w:rsid w:val="00D71F38"/>
    <w:rsid w:val="00D7224D"/>
    <w:rsid w:val="00D726AA"/>
    <w:rsid w:val="00D72813"/>
    <w:rsid w:val="00D72B61"/>
    <w:rsid w:val="00D73A8C"/>
    <w:rsid w:val="00D75639"/>
    <w:rsid w:val="00D765D2"/>
    <w:rsid w:val="00D774AD"/>
    <w:rsid w:val="00D80026"/>
    <w:rsid w:val="00D8141E"/>
    <w:rsid w:val="00D81849"/>
    <w:rsid w:val="00D82AE7"/>
    <w:rsid w:val="00D83DF6"/>
    <w:rsid w:val="00D83E97"/>
    <w:rsid w:val="00D844AC"/>
    <w:rsid w:val="00D847B2"/>
    <w:rsid w:val="00D84EC7"/>
    <w:rsid w:val="00D856DA"/>
    <w:rsid w:val="00D85706"/>
    <w:rsid w:val="00D85C29"/>
    <w:rsid w:val="00D86367"/>
    <w:rsid w:val="00D874FC"/>
    <w:rsid w:val="00D876A9"/>
    <w:rsid w:val="00D91347"/>
    <w:rsid w:val="00D92F15"/>
    <w:rsid w:val="00D930BD"/>
    <w:rsid w:val="00D9354E"/>
    <w:rsid w:val="00D939FF"/>
    <w:rsid w:val="00D947CE"/>
    <w:rsid w:val="00D94A5B"/>
    <w:rsid w:val="00D956BB"/>
    <w:rsid w:val="00D95BCB"/>
    <w:rsid w:val="00D96268"/>
    <w:rsid w:val="00D969E9"/>
    <w:rsid w:val="00D975A2"/>
    <w:rsid w:val="00DA08F1"/>
    <w:rsid w:val="00DA0A64"/>
    <w:rsid w:val="00DA20E6"/>
    <w:rsid w:val="00DA3268"/>
    <w:rsid w:val="00DA337E"/>
    <w:rsid w:val="00DA34A9"/>
    <w:rsid w:val="00DA3D1D"/>
    <w:rsid w:val="00DA3F16"/>
    <w:rsid w:val="00DA573B"/>
    <w:rsid w:val="00DB0138"/>
    <w:rsid w:val="00DB0636"/>
    <w:rsid w:val="00DB1092"/>
    <w:rsid w:val="00DB139F"/>
    <w:rsid w:val="00DB198E"/>
    <w:rsid w:val="00DB30D2"/>
    <w:rsid w:val="00DB37C5"/>
    <w:rsid w:val="00DB3A14"/>
    <w:rsid w:val="00DB3C21"/>
    <w:rsid w:val="00DB41B6"/>
    <w:rsid w:val="00DB45B0"/>
    <w:rsid w:val="00DB4E1F"/>
    <w:rsid w:val="00DB535F"/>
    <w:rsid w:val="00DB6286"/>
    <w:rsid w:val="00DB645F"/>
    <w:rsid w:val="00DB6E05"/>
    <w:rsid w:val="00DB76E9"/>
    <w:rsid w:val="00DB7F48"/>
    <w:rsid w:val="00DC0A67"/>
    <w:rsid w:val="00DC149C"/>
    <w:rsid w:val="00DC1D5E"/>
    <w:rsid w:val="00DC2313"/>
    <w:rsid w:val="00DC2B81"/>
    <w:rsid w:val="00DC37E5"/>
    <w:rsid w:val="00DC3B7D"/>
    <w:rsid w:val="00DC4B67"/>
    <w:rsid w:val="00DC5220"/>
    <w:rsid w:val="00DC715E"/>
    <w:rsid w:val="00DC7910"/>
    <w:rsid w:val="00DD001B"/>
    <w:rsid w:val="00DD0CE1"/>
    <w:rsid w:val="00DD0DC6"/>
    <w:rsid w:val="00DD2061"/>
    <w:rsid w:val="00DD2C91"/>
    <w:rsid w:val="00DD30CF"/>
    <w:rsid w:val="00DD38A2"/>
    <w:rsid w:val="00DD3B98"/>
    <w:rsid w:val="00DD4551"/>
    <w:rsid w:val="00DD54CD"/>
    <w:rsid w:val="00DD5850"/>
    <w:rsid w:val="00DD58E7"/>
    <w:rsid w:val="00DD6D08"/>
    <w:rsid w:val="00DD70DF"/>
    <w:rsid w:val="00DD7C3D"/>
    <w:rsid w:val="00DD7DAB"/>
    <w:rsid w:val="00DE0A49"/>
    <w:rsid w:val="00DE0E1F"/>
    <w:rsid w:val="00DE2CCE"/>
    <w:rsid w:val="00DE2D7A"/>
    <w:rsid w:val="00DE32F0"/>
    <w:rsid w:val="00DE3355"/>
    <w:rsid w:val="00DE36EA"/>
    <w:rsid w:val="00DE37E8"/>
    <w:rsid w:val="00DE460D"/>
    <w:rsid w:val="00DE4790"/>
    <w:rsid w:val="00DE48AB"/>
    <w:rsid w:val="00DE5CD0"/>
    <w:rsid w:val="00DE6A86"/>
    <w:rsid w:val="00DE714D"/>
    <w:rsid w:val="00DF07F3"/>
    <w:rsid w:val="00DF34CF"/>
    <w:rsid w:val="00DF3D88"/>
    <w:rsid w:val="00DF44DC"/>
    <w:rsid w:val="00DF457F"/>
    <w:rsid w:val="00DF486F"/>
    <w:rsid w:val="00DF5B44"/>
    <w:rsid w:val="00DF5B5B"/>
    <w:rsid w:val="00DF638C"/>
    <w:rsid w:val="00DF684F"/>
    <w:rsid w:val="00DF6C9D"/>
    <w:rsid w:val="00DF7310"/>
    <w:rsid w:val="00DF7619"/>
    <w:rsid w:val="00DF7680"/>
    <w:rsid w:val="00DF7B32"/>
    <w:rsid w:val="00E010F8"/>
    <w:rsid w:val="00E016D4"/>
    <w:rsid w:val="00E01BC2"/>
    <w:rsid w:val="00E03506"/>
    <w:rsid w:val="00E03C8B"/>
    <w:rsid w:val="00E042D8"/>
    <w:rsid w:val="00E04C2C"/>
    <w:rsid w:val="00E05701"/>
    <w:rsid w:val="00E05752"/>
    <w:rsid w:val="00E065D3"/>
    <w:rsid w:val="00E06760"/>
    <w:rsid w:val="00E069A3"/>
    <w:rsid w:val="00E0727F"/>
    <w:rsid w:val="00E072E8"/>
    <w:rsid w:val="00E07EE7"/>
    <w:rsid w:val="00E10F02"/>
    <w:rsid w:val="00E1103B"/>
    <w:rsid w:val="00E12E91"/>
    <w:rsid w:val="00E13210"/>
    <w:rsid w:val="00E1382E"/>
    <w:rsid w:val="00E142BF"/>
    <w:rsid w:val="00E14840"/>
    <w:rsid w:val="00E15880"/>
    <w:rsid w:val="00E16690"/>
    <w:rsid w:val="00E16FDF"/>
    <w:rsid w:val="00E1786F"/>
    <w:rsid w:val="00E17B44"/>
    <w:rsid w:val="00E222A1"/>
    <w:rsid w:val="00E22467"/>
    <w:rsid w:val="00E22895"/>
    <w:rsid w:val="00E229FD"/>
    <w:rsid w:val="00E24B11"/>
    <w:rsid w:val="00E26148"/>
    <w:rsid w:val="00E26AC4"/>
    <w:rsid w:val="00E27FEA"/>
    <w:rsid w:val="00E306DB"/>
    <w:rsid w:val="00E30E5F"/>
    <w:rsid w:val="00E320F6"/>
    <w:rsid w:val="00E32560"/>
    <w:rsid w:val="00E325B4"/>
    <w:rsid w:val="00E32E35"/>
    <w:rsid w:val="00E33AA1"/>
    <w:rsid w:val="00E35BF4"/>
    <w:rsid w:val="00E35CCB"/>
    <w:rsid w:val="00E4024A"/>
    <w:rsid w:val="00E40421"/>
    <w:rsid w:val="00E4086F"/>
    <w:rsid w:val="00E4117D"/>
    <w:rsid w:val="00E41B44"/>
    <w:rsid w:val="00E427F1"/>
    <w:rsid w:val="00E42895"/>
    <w:rsid w:val="00E4293C"/>
    <w:rsid w:val="00E42F25"/>
    <w:rsid w:val="00E43418"/>
    <w:rsid w:val="00E43B3C"/>
    <w:rsid w:val="00E43FDB"/>
    <w:rsid w:val="00E46B32"/>
    <w:rsid w:val="00E46EB3"/>
    <w:rsid w:val="00E50188"/>
    <w:rsid w:val="00E50EEF"/>
    <w:rsid w:val="00E515CB"/>
    <w:rsid w:val="00E51764"/>
    <w:rsid w:val="00E51901"/>
    <w:rsid w:val="00E51932"/>
    <w:rsid w:val="00E51D62"/>
    <w:rsid w:val="00E52260"/>
    <w:rsid w:val="00E5287A"/>
    <w:rsid w:val="00E5300B"/>
    <w:rsid w:val="00E537B6"/>
    <w:rsid w:val="00E538CA"/>
    <w:rsid w:val="00E5392E"/>
    <w:rsid w:val="00E53959"/>
    <w:rsid w:val="00E53C99"/>
    <w:rsid w:val="00E5450E"/>
    <w:rsid w:val="00E546A4"/>
    <w:rsid w:val="00E550BF"/>
    <w:rsid w:val="00E55302"/>
    <w:rsid w:val="00E557D9"/>
    <w:rsid w:val="00E55986"/>
    <w:rsid w:val="00E561F4"/>
    <w:rsid w:val="00E578A5"/>
    <w:rsid w:val="00E57AE0"/>
    <w:rsid w:val="00E60F10"/>
    <w:rsid w:val="00E613E9"/>
    <w:rsid w:val="00E62748"/>
    <w:rsid w:val="00E635E4"/>
    <w:rsid w:val="00E638B2"/>
    <w:rsid w:val="00E63987"/>
    <w:rsid w:val="00E639B6"/>
    <w:rsid w:val="00E63F4C"/>
    <w:rsid w:val="00E6434B"/>
    <w:rsid w:val="00E6463D"/>
    <w:rsid w:val="00E65149"/>
    <w:rsid w:val="00E6565C"/>
    <w:rsid w:val="00E664D9"/>
    <w:rsid w:val="00E669EB"/>
    <w:rsid w:val="00E66EF6"/>
    <w:rsid w:val="00E671C8"/>
    <w:rsid w:val="00E6722B"/>
    <w:rsid w:val="00E67C85"/>
    <w:rsid w:val="00E71136"/>
    <w:rsid w:val="00E72A5A"/>
    <w:rsid w:val="00E72CFC"/>
    <w:rsid w:val="00E72E9B"/>
    <w:rsid w:val="00E7329E"/>
    <w:rsid w:val="00E73698"/>
    <w:rsid w:val="00E73888"/>
    <w:rsid w:val="00E7402F"/>
    <w:rsid w:val="00E74E2A"/>
    <w:rsid w:val="00E752EA"/>
    <w:rsid w:val="00E771F1"/>
    <w:rsid w:val="00E77889"/>
    <w:rsid w:val="00E80542"/>
    <w:rsid w:val="00E81862"/>
    <w:rsid w:val="00E83468"/>
    <w:rsid w:val="00E83604"/>
    <w:rsid w:val="00E849DA"/>
    <w:rsid w:val="00E84E2C"/>
    <w:rsid w:val="00E85F7A"/>
    <w:rsid w:val="00E90BF3"/>
    <w:rsid w:val="00E911F2"/>
    <w:rsid w:val="00E91A18"/>
    <w:rsid w:val="00E927A1"/>
    <w:rsid w:val="00E934E0"/>
    <w:rsid w:val="00E9367D"/>
    <w:rsid w:val="00E936D7"/>
    <w:rsid w:val="00E93933"/>
    <w:rsid w:val="00E93C10"/>
    <w:rsid w:val="00E940DE"/>
    <w:rsid w:val="00E9462E"/>
    <w:rsid w:val="00E950B6"/>
    <w:rsid w:val="00E953D4"/>
    <w:rsid w:val="00E957B7"/>
    <w:rsid w:val="00E96C91"/>
    <w:rsid w:val="00E97706"/>
    <w:rsid w:val="00EA0865"/>
    <w:rsid w:val="00EA0DFD"/>
    <w:rsid w:val="00EA12C6"/>
    <w:rsid w:val="00EA2F8E"/>
    <w:rsid w:val="00EA4551"/>
    <w:rsid w:val="00EA470E"/>
    <w:rsid w:val="00EA47A7"/>
    <w:rsid w:val="00EA47DC"/>
    <w:rsid w:val="00EA4CAE"/>
    <w:rsid w:val="00EA5089"/>
    <w:rsid w:val="00EA57EB"/>
    <w:rsid w:val="00EA5F7C"/>
    <w:rsid w:val="00EA795D"/>
    <w:rsid w:val="00EB01CB"/>
    <w:rsid w:val="00EB0BF5"/>
    <w:rsid w:val="00EB3226"/>
    <w:rsid w:val="00EB32F6"/>
    <w:rsid w:val="00EB3E38"/>
    <w:rsid w:val="00EB4B77"/>
    <w:rsid w:val="00EB572F"/>
    <w:rsid w:val="00EB5962"/>
    <w:rsid w:val="00EB5D09"/>
    <w:rsid w:val="00EB60F3"/>
    <w:rsid w:val="00EB62B3"/>
    <w:rsid w:val="00EB66F0"/>
    <w:rsid w:val="00EB6E94"/>
    <w:rsid w:val="00EB70CF"/>
    <w:rsid w:val="00EB7446"/>
    <w:rsid w:val="00EC0DCA"/>
    <w:rsid w:val="00EC213A"/>
    <w:rsid w:val="00EC4450"/>
    <w:rsid w:val="00EC509C"/>
    <w:rsid w:val="00EC5251"/>
    <w:rsid w:val="00EC62B3"/>
    <w:rsid w:val="00EC6603"/>
    <w:rsid w:val="00EC7744"/>
    <w:rsid w:val="00ED0535"/>
    <w:rsid w:val="00ED0DAD"/>
    <w:rsid w:val="00ED0F46"/>
    <w:rsid w:val="00ED0FF4"/>
    <w:rsid w:val="00ED154F"/>
    <w:rsid w:val="00ED1E52"/>
    <w:rsid w:val="00ED1E9A"/>
    <w:rsid w:val="00ED1F4E"/>
    <w:rsid w:val="00ED2373"/>
    <w:rsid w:val="00ED2517"/>
    <w:rsid w:val="00ED2AD2"/>
    <w:rsid w:val="00ED3E8B"/>
    <w:rsid w:val="00ED4A66"/>
    <w:rsid w:val="00ED60BA"/>
    <w:rsid w:val="00ED697E"/>
    <w:rsid w:val="00EE0BB6"/>
    <w:rsid w:val="00EE2887"/>
    <w:rsid w:val="00EE2918"/>
    <w:rsid w:val="00EE3E8A"/>
    <w:rsid w:val="00EE5784"/>
    <w:rsid w:val="00EE5F1B"/>
    <w:rsid w:val="00EE7FE3"/>
    <w:rsid w:val="00EF0730"/>
    <w:rsid w:val="00EF073C"/>
    <w:rsid w:val="00EF0B45"/>
    <w:rsid w:val="00EF1B2D"/>
    <w:rsid w:val="00EF1CF8"/>
    <w:rsid w:val="00EF46CD"/>
    <w:rsid w:val="00EF4C7B"/>
    <w:rsid w:val="00EF5AA3"/>
    <w:rsid w:val="00EF5CC0"/>
    <w:rsid w:val="00EF66A5"/>
    <w:rsid w:val="00EF6D66"/>
    <w:rsid w:val="00EF6DDF"/>
    <w:rsid w:val="00EF6ECA"/>
    <w:rsid w:val="00EF7D58"/>
    <w:rsid w:val="00EF7E60"/>
    <w:rsid w:val="00F01858"/>
    <w:rsid w:val="00F01F34"/>
    <w:rsid w:val="00F022A6"/>
    <w:rsid w:val="00F024E1"/>
    <w:rsid w:val="00F025AD"/>
    <w:rsid w:val="00F026FE"/>
    <w:rsid w:val="00F02AC8"/>
    <w:rsid w:val="00F02D94"/>
    <w:rsid w:val="00F02F9F"/>
    <w:rsid w:val="00F030D4"/>
    <w:rsid w:val="00F032B8"/>
    <w:rsid w:val="00F05EDC"/>
    <w:rsid w:val="00F06953"/>
    <w:rsid w:val="00F06993"/>
    <w:rsid w:val="00F06C10"/>
    <w:rsid w:val="00F07028"/>
    <w:rsid w:val="00F07919"/>
    <w:rsid w:val="00F1096F"/>
    <w:rsid w:val="00F1216A"/>
    <w:rsid w:val="00F12589"/>
    <w:rsid w:val="00F12595"/>
    <w:rsid w:val="00F12A56"/>
    <w:rsid w:val="00F1319B"/>
    <w:rsid w:val="00F134D9"/>
    <w:rsid w:val="00F13671"/>
    <w:rsid w:val="00F13765"/>
    <w:rsid w:val="00F1403D"/>
    <w:rsid w:val="00F1463F"/>
    <w:rsid w:val="00F147FD"/>
    <w:rsid w:val="00F154A7"/>
    <w:rsid w:val="00F15E8F"/>
    <w:rsid w:val="00F170F1"/>
    <w:rsid w:val="00F17DE9"/>
    <w:rsid w:val="00F17E90"/>
    <w:rsid w:val="00F20D20"/>
    <w:rsid w:val="00F21302"/>
    <w:rsid w:val="00F215FA"/>
    <w:rsid w:val="00F220E2"/>
    <w:rsid w:val="00F224B7"/>
    <w:rsid w:val="00F22C38"/>
    <w:rsid w:val="00F23519"/>
    <w:rsid w:val="00F2360A"/>
    <w:rsid w:val="00F23FAD"/>
    <w:rsid w:val="00F243FD"/>
    <w:rsid w:val="00F247CB"/>
    <w:rsid w:val="00F24869"/>
    <w:rsid w:val="00F2552A"/>
    <w:rsid w:val="00F2603B"/>
    <w:rsid w:val="00F26BA3"/>
    <w:rsid w:val="00F27144"/>
    <w:rsid w:val="00F271F3"/>
    <w:rsid w:val="00F27A29"/>
    <w:rsid w:val="00F31388"/>
    <w:rsid w:val="00F31DD3"/>
    <w:rsid w:val="00F31F5D"/>
    <w:rsid w:val="00F32029"/>
    <w:rsid w:val="00F321DE"/>
    <w:rsid w:val="00F33777"/>
    <w:rsid w:val="00F343F7"/>
    <w:rsid w:val="00F34837"/>
    <w:rsid w:val="00F3661D"/>
    <w:rsid w:val="00F375C7"/>
    <w:rsid w:val="00F4062B"/>
    <w:rsid w:val="00F40648"/>
    <w:rsid w:val="00F41079"/>
    <w:rsid w:val="00F41988"/>
    <w:rsid w:val="00F42E19"/>
    <w:rsid w:val="00F441E9"/>
    <w:rsid w:val="00F45B7D"/>
    <w:rsid w:val="00F45DA5"/>
    <w:rsid w:val="00F466AF"/>
    <w:rsid w:val="00F47DA1"/>
    <w:rsid w:val="00F47DA2"/>
    <w:rsid w:val="00F51340"/>
    <w:rsid w:val="00F519C3"/>
    <w:rsid w:val="00F519FC"/>
    <w:rsid w:val="00F51C32"/>
    <w:rsid w:val="00F5224A"/>
    <w:rsid w:val="00F52504"/>
    <w:rsid w:val="00F53406"/>
    <w:rsid w:val="00F53606"/>
    <w:rsid w:val="00F5362F"/>
    <w:rsid w:val="00F56195"/>
    <w:rsid w:val="00F56824"/>
    <w:rsid w:val="00F56E4B"/>
    <w:rsid w:val="00F574A7"/>
    <w:rsid w:val="00F57F81"/>
    <w:rsid w:val="00F6239D"/>
    <w:rsid w:val="00F65D8D"/>
    <w:rsid w:val="00F66112"/>
    <w:rsid w:val="00F661AD"/>
    <w:rsid w:val="00F66D67"/>
    <w:rsid w:val="00F66EDE"/>
    <w:rsid w:val="00F670D0"/>
    <w:rsid w:val="00F67B05"/>
    <w:rsid w:val="00F67CBC"/>
    <w:rsid w:val="00F7018F"/>
    <w:rsid w:val="00F710E5"/>
    <w:rsid w:val="00F715D2"/>
    <w:rsid w:val="00F7274F"/>
    <w:rsid w:val="00F743C7"/>
    <w:rsid w:val="00F74CC2"/>
    <w:rsid w:val="00F76828"/>
    <w:rsid w:val="00F76FA8"/>
    <w:rsid w:val="00F8182E"/>
    <w:rsid w:val="00F81914"/>
    <w:rsid w:val="00F82AC6"/>
    <w:rsid w:val="00F83023"/>
    <w:rsid w:val="00F83C18"/>
    <w:rsid w:val="00F84206"/>
    <w:rsid w:val="00F85121"/>
    <w:rsid w:val="00F855B1"/>
    <w:rsid w:val="00F85686"/>
    <w:rsid w:val="00F86876"/>
    <w:rsid w:val="00F86F85"/>
    <w:rsid w:val="00F86F95"/>
    <w:rsid w:val="00F872CC"/>
    <w:rsid w:val="00F905D2"/>
    <w:rsid w:val="00F90F60"/>
    <w:rsid w:val="00F92D11"/>
    <w:rsid w:val="00F93348"/>
    <w:rsid w:val="00F934F7"/>
    <w:rsid w:val="00F93A40"/>
    <w:rsid w:val="00F93F08"/>
    <w:rsid w:val="00F93FC0"/>
    <w:rsid w:val="00F949F6"/>
    <w:rsid w:val="00F94CED"/>
    <w:rsid w:val="00F94DFE"/>
    <w:rsid w:val="00F957BE"/>
    <w:rsid w:val="00F95B84"/>
    <w:rsid w:val="00F9667E"/>
    <w:rsid w:val="00F9672C"/>
    <w:rsid w:val="00F967C3"/>
    <w:rsid w:val="00F96E4B"/>
    <w:rsid w:val="00F96EED"/>
    <w:rsid w:val="00F97A3C"/>
    <w:rsid w:val="00F97B9E"/>
    <w:rsid w:val="00F97D77"/>
    <w:rsid w:val="00FA000A"/>
    <w:rsid w:val="00FA13B1"/>
    <w:rsid w:val="00FA1461"/>
    <w:rsid w:val="00FA2CEE"/>
    <w:rsid w:val="00FA318C"/>
    <w:rsid w:val="00FA31BE"/>
    <w:rsid w:val="00FA45DF"/>
    <w:rsid w:val="00FA4935"/>
    <w:rsid w:val="00FA506F"/>
    <w:rsid w:val="00FA536C"/>
    <w:rsid w:val="00FA53FB"/>
    <w:rsid w:val="00FA67D4"/>
    <w:rsid w:val="00FA6AB5"/>
    <w:rsid w:val="00FA7D68"/>
    <w:rsid w:val="00FA7DC1"/>
    <w:rsid w:val="00FB1042"/>
    <w:rsid w:val="00FB1AA8"/>
    <w:rsid w:val="00FB3A56"/>
    <w:rsid w:val="00FB3CC1"/>
    <w:rsid w:val="00FB44F5"/>
    <w:rsid w:val="00FB466E"/>
    <w:rsid w:val="00FB50A4"/>
    <w:rsid w:val="00FB5144"/>
    <w:rsid w:val="00FB5B72"/>
    <w:rsid w:val="00FB60AA"/>
    <w:rsid w:val="00FB63ED"/>
    <w:rsid w:val="00FB6F92"/>
    <w:rsid w:val="00FB7B3F"/>
    <w:rsid w:val="00FC026E"/>
    <w:rsid w:val="00FC148F"/>
    <w:rsid w:val="00FC14A6"/>
    <w:rsid w:val="00FC161B"/>
    <w:rsid w:val="00FC1701"/>
    <w:rsid w:val="00FC1DCA"/>
    <w:rsid w:val="00FC2F93"/>
    <w:rsid w:val="00FC30A7"/>
    <w:rsid w:val="00FC3EBF"/>
    <w:rsid w:val="00FC46B8"/>
    <w:rsid w:val="00FC5124"/>
    <w:rsid w:val="00FC5FA6"/>
    <w:rsid w:val="00FC7736"/>
    <w:rsid w:val="00FC7F77"/>
    <w:rsid w:val="00FD044F"/>
    <w:rsid w:val="00FD108F"/>
    <w:rsid w:val="00FD1ABD"/>
    <w:rsid w:val="00FD1B07"/>
    <w:rsid w:val="00FD228D"/>
    <w:rsid w:val="00FD2917"/>
    <w:rsid w:val="00FD360E"/>
    <w:rsid w:val="00FD3671"/>
    <w:rsid w:val="00FD36EB"/>
    <w:rsid w:val="00FD4134"/>
    <w:rsid w:val="00FD4731"/>
    <w:rsid w:val="00FD560A"/>
    <w:rsid w:val="00FD5ED7"/>
    <w:rsid w:val="00FD63D3"/>
    <w:rsid w:val="00FD797C"/>
    <w:rsid w:val="00FD7D30"/>
    <w:rsid w:val="00FD7FF1"/>
    <w:rsid w:val="00FE005A"/>
    <w:rsid w:val="00FE0599"/>
    <w:rsid w:val="00FE150F"/>
    <w:rsid w:val="00FE18F0"/>
    <w:rsid w:val="00FE1C01"/>
    <w:rsid w:val="00FE1F6F"/>
    <w:rsid w:val="00FE24AB"/>
    <w:rsid w:val="00FE3533"/>
    <w:rsid w:val="00FE37C2"/>
    <w:rsid w:val="00FE3D07"/>
    <w:rsid w:val="00FE40B3"/>
    <w:rsid w:val="00FE6647"/>
    <w:rsid w:val="00FE77A5"/>
    <w:rsid w:val="00FF0530"/>
    <w:rsid w:val="00FF0AB0"/>
    <w:rsid w:val="00FF0CC2"/>
    <w:rsid w:val="00FF1321"/>
    <w:rsid w:val="00FF28AC"/>
    <w:rsid w:val="00FF395A"/>
    <w:rsid w:val="00FF3B48"/>
    <w:rsid w:val="00FF3C74"/>
    <w:rsid w:val="00FF3FBC"/>
    <w:rsid w:val="00FF6126"/>
    <w:rsid w:val="00FF7565"/>
    <w:rsid w:val="00FF7DFD"/>
    <w:rsid w:val="00FF7F62"/>
    <w:rsid w:val="054FADC0"/>
    <w:rsid w:val="059FADC8"/>
    <w:rsid w:val="06799CB9"/>
    <w:rsid w:val="114E5844"/>
    <w:rsid w:val="150A64F6"/>
    <w:rsid w:val="170D2D58"/>
    <w:rsid w:val="19B451D5"/>
    <w:rsid w:val="1B779F25"/>
    <w:rsid w:val="1E5B4ED0"/>
    <w:rsid w:val="24A5CDE5"/>
    <w:rsid w:val="2A2353A6"/>
    <w:rsid w:val="2D45BBE6"/>
    <w:rsid w:val="3052DA87"/>
    <w:rsid w:val="326E33C6"/>
    <w:rsid w:val="3A76B976"/>
    <w:rsid w:val="3F7A4315"/>
    <w:rsid w:val="40F072E3"/>
    <w:rsid w:val="41EE5587"/>
    <w:rsid w:val="42D25CB2"/>
    <w:rsid w:val="44707ECA"/>
    <w:rsid w:val="45D7F981"/>
    <w:rsid w:val="4747CA18"/>
    <w:rsid w:val="47630F76"/>
    <w:rsid w:val="4AA469EB"/>
    <w:rsid w:val="4DF2A707"/>
    <w:rsid w:val="523C110D"/>
    <w:rsid w:val="58DF8F48"/>
    <w:rsid w:val="5CDDCFFA"/>
    <w:rsid w:val="637291C2"/>
    <w:rsid w:val="6659B0F6"/>
    <w:rsid w:val="665FEBBF"/>
    <w:rsid w:val="70EC8091"/>
    <w:rsid w:val="71292B06"/>
    <w:rsid w:val="72DF55C8"/>
    <w:rsid w:val="7DBBA6AF"/>
    <w:rsid w:val="7E204E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157FA"/>
  <w15:docId w15:val="{E2562EE6-C638-4EC3-BA73-5302547C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A70AB"/>
    <w:pPr>
      <w:numPr>
        <w:numId w:val="5"/>
      </w:numPr>
      <w:tabs>
        <w:tab w:val="left" w:pos="340"/>
        <w:tab w:val="left" w:pos="680"/>
      </w:tabs>
      <w:spacing w:before="60" w:after="60"/>
      <w:ind w:left="340" w:hanging="340"/>
    </w:pPr>
  </w:style>
  <w:style w:type="paragraph" w:styleId="ListParagraph">
    <w:name w:val="List Paragraph"/>
    <w:aliases w:val="List Paragraph1,Recommendation,Body text,Bullet point,Bullets,CV text,Dot pt,F5 List Paragraph,FooterText,L,List Paragraph Number,List Paragraph11,List Paragraph111,List Paragraph2,Medium Grid 1 - Accent 21,NAST Quote,standard lewis,リスト段落"/>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aliases w:val="(NECG) Footnote Text"/>
    <w:link w:val="FootnoteTextChar"/>
    <w:uiPriority w:val="21"/>
    <w:rsid w:val="00B7222E"/>
    <w:rPr>
      <w:rFonts w:ascii="Arial" w:hAnsi="Arial"/>
      <w:lang w:eastAsia="en-US"/>
    </w:rPr>
  </w:style>
  <w:style w:type="character" w:customStyle="1" w:styleId="FootnoteTextChar">
    <w:name w:val="Footnote Text Char"/>
    <w:aliases w:val="(NECG) Footnote Text Char"/>
    <w:basedOn w:val="DefaultParagraphFont"/>
    <w:link w:val="FootnoteText"/>
    <w:uiPriority w:val="21"/>
    <w:rsid w:val="00B7222E"/>
    <w:rPr>
      <w:rFonts w:ascii="Arial" w:hAnsi="Arial"/>
      <w:lang w:eastAsia="en-US"/>
    </w:rPr>
  </w:style>
  <w:style w:type="paragraph" w:styleId="Caption">
    <w:name w:val="caption"/>
    <w:basedOn w:val="Normal"/>
    <w:next w:val="Normal"/>
    <w:link w:val="CaptionChar"/>
    <w:uiPriority w:val="35"/>
    <w:unhideWhenUsed/>
    <w:qFormat/>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FootnoteReference">
    <w:name w:val="footnote reference"/>
    <w:aliases w:val="(NECG) Footnote Reference"/>
    <w:basedOn w:val="DefaultParagraphFont"/>
    <w:uiPriority w:val="21"/>
    <w:rsid w:val="006E21AF"/>
    <w:rPr>
      <w:vertAlign w:val="superscript"/>
    </w:rPr>
  </w:style>
  <w:style w:type="paragraph" w:customStyle="1" w:styleId="Body">
    <w:name w:val="Body"/>
    <w:basedOn w:val="Normal"/>
    <w:link w:val="BodyChar"/>
    <w:qFormat/>
    <w:rsid w:val="00BD58FF"/>
    <w:pPr>
      <w:spacing w:after="60"/>
    </w:pPr>
  </w:style>
  <w:style w:type="character" w:customStyle="1" w:styleId="BodyChar">
    <w:name w:val="Body Char"/>
    <w:basedOn w:val="DefaultParagraphFont"/>
    <w:link w:val="Body"/>
    <w:rsid w:val="00BD58FF"/>
    <w:rPr>
      <w:rFonts w:ascii="Arial" w:hAnsi="Arial"/>
      <w:color w:val="000000" w:themeColor="text1"/>
      <w:sz w:val="22"/>
      <w:szCs w:val="24"/>
      <w:lang w:eastAsia="en-US"/>
    </w:rPr>
  </w:style>
  <w:style w:type="character" w:customStyle="1" w:styleId="ListParagraphChar">
    <w:name w:val="List Paragraph Char"/>
    <w:aliases w:val="List Paragraph1 Char,Recommendation Char,Body text Char,Bullet point Char,Bullets Char,CV text Char,Dot pt Char,F5 List Paragraph Char,FooterText Char,L Char,List Paragraph Number Char,List Paragraph11 Char,List Paragraph111 Char"/>
    <w:link w:val="ListParagraph"/>
    <w:uiPriority w:val="34"/>
    <w:locked/>
    <w:rsid w:val="00E14840"/>
    <w:rPr>
      <w:rFonts w:ascii="Arial" w:hAnsi="Arial"/>
      <w:color w:val="000000" w:themeColor="text1"/>
      <w:sz w:val="22"/>
      <w:szCs w:val="24"/>
      <w:lang w:eastAsia="en-US"/>
    </w:rPr>
  </w:style>
  <w:style w:type="table" w:styleId="PlainTable4">
    <w:name w:val="Plain Table 4"/>
    <w:basedOn w:val="TableNormal"/>
    <w:uiPriority w:val="44"/>
    <w:rsid w:val="00E148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C848E9"/>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C848E9"/>
    <w:pPr>
      <w:spacing w:after="100"/>
    </w:pPr>
  </w:style>
  <w:style w:type="paragraph" w:styleId="TOC2">
    <w:name w:val="toc 2"/>
    <w:basedOn w:val="Normal"/>
    <w:next w:val="Normal"/>
    <w:autoRedefine/>
    <w:uiPriority w:val="39"/>
    <w:unhideWhenUsed/>
    <w:rsid w:val="00C848E9"/>
    <w:pPr>
      <w:spacing w:after="100"/>
      <w:ind w:left="220"/>
    </w:pPr>
  </w:style>
  <w:style w:type="paragraph" w:customStyle="1" w:styleId="TableCaptions">
    <w:name w:val="Table Captions"/>
    <w:basedOn w:val="Caption"/>
    <w:link w:val="TableCaptionsChar"/>
    <w:autoRedefine/>
    <w:qFormat/>
    <w:rsid w:val="00AA6FA3"/>
    <w:pPr>
      <w:spacing w:before="240" w:after="0"/>
    </w:pPr>
    <w:rPr>
      <w:i/>
      <w:iCs/>
      <w:sz w:val="20"/>
    </w:rPr>
  </w:style>
  <w:style w:type="character" w:customStyle="1" w:styleId="CaptionChar">
    <w:name w:val="Caption Char"/>
    <w:basedOn w:val="DefaultParagraphFont"/>
    <w:link w:val="Caption"/>
    <w:uiPriority w:val="35"/>
    <w:rsid w:val="0033557A"/>
    <w:rPr>
      <w:rFonts w:ascii="Arial" w:hAnsi="Arial"/>
      <w:b/>
      <w:bCs/>
      <w:color w:val="3F4A75" w:themeColor="accent1"/>
      <w:sz w:val="18"/>
      <w:szCs w:val="18"/>
      <w:lang w:eastAsia="en-US"/>
    </w:rPr>
  </w:style>
  <w:style w:type="character" w:customStyle="1" w:styleId="TableCaptionsChar">
    <w:name w:val="Table Captions Char"/>
    <w:basedOn w:val="CaptionChar"/>
    <w:link w:val="TableCaptions"/>
    <w:rsid w:val="00AA6FA3"/>
    <w:rPr>
      <w:rFonts w:ascii="Arial" w:hAnsi="Arial"/>
      <w:b/>
      <w:bCs/>
      <w:i/>
      <w:iCs/>
      <w:color w:val="3F4A75" w:themeColor="accent1"/>
      <w:sz w:val="18"/>
      <w:szCs w:val="18"/>
      <w:lang w:eastAsia="en-US"/>
    </w:rPr>
  </w:style>
  <w:style w:type="paragraph" w:styleId="EndnoteText">
    <w:name w:val="endnote text"/>
    <w:basedOn w:val="Normal"/>
    <w:link w:val="EndnoteTextChar"/>
    <w:semiHidden/>
    <w:unhideWhenUsed/>
    <w:rsid w:val="00ED1F4E"/>
    <w:pPr>
      <w:spacing w:before="0" w:after="0" w:line="240" w:lineRule="auto"/>
    </w:pPr>
    <w:rPr>
      <w:sz w:val="20"/>
      <w:szCs w:val="20"/>
    </w:rPr>
  </w:style>
  <w:style w:type="character" w:customStyle="1" w:styleId="EndnoteTextChar">
    <w:name w:val="Endnote Text Char"/>
    <w:basedOn w:val="DefaultParagraphFont"/>
    <w:link w:val="EndnoteText"/>
    <w:semiHidden/>
    <w:rsid w:val="00ED1F4E"/>
    <w:rPr>
      <w:rFonts w:ascii="Arial" w:hAnsi="Arial"/>
      <w:color w:val="000000" w:themeColor="text1"/>
      <w:lang w:eastAsia="en-US"/>
    </w:rPr>
  </w:style>
  <w:style w:type="character" w:styleId="EndnoteReference">
    <w:name w:val="endnote reference"/>
    <w:basedOn w:val="DefaultParagraphFont"/>
    <w:semiHidden/>
    <w:unhideWhenUsed/>
    <w:rsid w:val="00ED1F4E"/>
    <w:rPr>
      <w:vertAlign w:val="superscript"/>
    </w:rPr>
  </w:style>
  <w:style w:type="paragraph" w:styleId="TOC3">
    <w:name w:val="toc 3"/>
    <w:basedOn w:val="Normal"/>
    <w:next w:val="Normal"/>
    <w:autoRedefine/>
    <w:uiPriority w:val="39"/>
    <w:unhideWhenUsed/>
    <w:rsid w:val="00155DAD"/>
    <w:pPr>
      <w:spacing w:after="100"/>
      <w:ind w:left="440"/>
    </w:pPr>
  </w:style>
  <w:style w:type="paragraph" w:styleId="TableofFigures">
    <w:name w:val="table of figures"/>
    <w:basedOn w:val="Normal"/>
    <w:next w:val="Normal"/>
    <w:uiPriority w:val="99"/>
    <w:unhideWhenUsed/>
    <w:rsid w:val="008E3ED5"/>
    <w:pPr>
      <w:spacing w:after="0"/>
    </w:pPr>
  </w:style>
  <w:style w:type="character" w:styleId="CommentReference">
    <w:name w:val="annotation reference"/>
    <w:basedOn w:val="DefaultParagraphFont"/>
    <w:uiPriority w:val="99"/>
    <w:semiHidden/>
    <w:unhideWhenUsed/>
    <w:rsid w:val="00777AA8"/>
    <w:rPr>
      <w:sz w:val="16"/>
      <w:szCs w:val="16"/>
    </w:rPr>
  </w:style>
  <w:style w:type="paragraph" w:styleId="CommentText">
    <w:name w:val="annotation text"/>
    <w:basedOn w:val="Normal"/>
    <w:link w:val="CommentTextChar"/>
    <w:uiPriority w:val="99"/>
    <w:unhideWhenUsed/>
    <w:rsid w:val="00777AA8"/>
    <w:pPr>
      <w:spacing w:line="240" w:lineRule="auto"/>
    </w:pPr>
    <w:rPr>
      <w:sz w:val="20"/>
      <w:szCs w:val="20"/>
    </w:rPr>
  </w:style>
  <w:style w:type="character" w:customStyle="1" w:styleId="CommentTextChar">
    <w:name w:val="Comment Text Char"/>
    <w:basedOn w:val="DefaultParagraphFont"/>
    <w:link w:val="CommentText"/>
    <w:uiPriority w:val="99"/>
    <w:rsid w:val="00777AA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777AA8"/>
    <w:rPr>
      <w:b/>
      <w:bCs/>
    </w:rPr>
  </w:style>
  <w:style w:type="character" w:customStyle="1" w:styleId="CommentSubjectChar">
    <w:name w:val="Comment Subject Char"/>
    <w:basedOn w:val="CommentTextChar"/>
    <w:link w:val="CommentSubject"/>
    <w:semiHidden/>
    <w:rsid w:val="00777AA8"/>
    <w:rPr>
      <w:rFonts w:ascii="Arial" w:hAnsi="Arial"/>
      <w:b/>
      <w:bCs/>
      <w:color w:val="000000" w:themeColor="text1"/>
      <w:lang w:eastAsia="en-US"/>
    </w:rPr>
  </w:style>
  <w:style w:type="paragraph" w:styleId="Revision">
    <w:name w:val="Revision"/>
    <w:hidden/>
    <w:uiPriority w:val="99"/>
    <w:semiHidden/>
    <w:rsid w:val="00BB5824"/>
    <w:rPr>
      <w:rFonts w:ascii="Arial" w:hAnsi="Arial"/>
      <w:color w:val="000000" w:themeColor="text1"/>
      <w:sz w:val="22"/>
      <w:szCs w:val="24"/>
      <w:lang w:eastAsia="en-US"/>
    </w:rPr>
  </w:style>
  <w:style w:type="character" w:customStyle="1" w:styleId="Heading2Char">
    <w:name w:val="Heading 2 Char"/>
    <w:basedOn w:val="DefaultParagraphFont"/>
    <w:link w:val="Heading2"/>
    <w:rsid w:val="00231701"/>
    <w:rPr>
      <w:rFonts w:ascii="Arial" w:hAnsi="Arial" w:cs="Arial"/>
      <w:b/>
      <w:bCs/>
      <w:iCs/>
      <w:color w:val="358189"/>
      <w:sz w:val="36"/>
      <w:szCs w:val="28"/>
      <w:lang w:eastAsia="en-US"/>
    </w:rPr>
  </w:style>
  <w:style w:type="paragraph" w:customStyle="1" w:styleId="Helptext">
    <w:name w:val="Help text"/>
    <w:basedOn w:val="Normal"/>
    <w:qFormat/>
    <w:rsid w:val="00231701"/>
    <w:pPr>
      <w:spacing w:line="240" w:lineRule="auto"/>
    </w:pPr>
    <w:rPr>
      <w:color w:val="0000FF"/>
      <w:sz w:val="20"/>
    </w:rPr>
  </w:style>
  <w:style w:type="character" w:styleId="UnresolvedMention">
    <w:name w:val="Unresolved Mention"/>
    <w:basedOn w:val="DefaultParagraphFont"/>
    <w:uiPriority w:val="99"/>
    <w:semiHidden/>
    <w:unhideWhenUsed/>
    <w:rsid w:val="00561C60"/>
    <w:rPr>
      <w:color w:val="605E5C"/>
      <w:shd w:val="clear" w:color="auto" w:fill="E1DFDD"/>
    </w:rPr>
  </w:style>
  <w:style w:type="paragraph" w:styleId="TOC4">
    <w:name w:val="toc 4"/>
    <w:basedOn w:val="Normal"/>
    <w:next w:val="Normal"/>
    <w:autoRedefine/>
    <w:semiHidden/>
    <w:unhideWhenUsed/>
    <w:rsid w:val="0013491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1624">
      <w:bodyDiv w:val="1"/>
      <w:marLeft w:val="0"/>
      <w:marRight w:val="0"/>
      <w:marTop w:val="0"/>
      <w:marBottom w:val="0"/>
      <w:divBdr>
        <w:top w:val="none" w:sz="0" w:space="0" w:color="auto"/>
        <w:left w:val="none" w:sz="0" w:space="0" w:color="auto"/>
        <w:bottom w:val="none" w:sz="0" w:space="0" w:color="auto"/>
        <w:right w:val="none" w:sz="0" w:space="0" w:color="auto"/>
      </w:divBdr>
      <w:divsChild>
        <w:div w:id="22676367">
          <w:marLeft w:val="0"/>
          <w:marRight w:val="0"/>
          <w:marTop w:val="0"/>
          <w:marBottom w:val="0"/>
          <w:divBdr>
            <w:top w:val="none" w:sz="0" w:space="0" w:color="auto"/>
            <w:left w:val="none" w:sz="0" w:space="0" w:color="auto"/>
            <w:bottom w:val="none" w:sz="0" w:space="0" w:color="auto"/>
            <w:right w:val="none" w:sz="0" w:space="0" w:color="auto"/>
          </w:divBdr>
          <w:divsChild>
            <w:div w:id="1335569391">
              <w:marLeft w:val="0"/>
              <w:marRight w:val="0"/>
              <w:marTop w:val="0"/>
              <w:marBottom w:val="0"/>
              <w:divBdr>
                <w:top w:val="none" w:sz="0" w:space="0" w:color="auto"/>
                <w:left w:val="none" w:sz="0" w:space="0" w:color="auto"/>
                <w:bottom w:val="none" w:sz="0" w:space="0" w:color="auto"/>
                <w:right w:val="none" w:sz="0" w:space="0" w:color="auto"/>
              </w:divBdr>
            </w:div>
            <w:div w:id="2097438606">
              <w:marLeft w:val="0"/>
              <w:marRight w:val="0"/>
              <w:marTop w:val="0"/>
              <w:marBottom w:val="0"/>
              <w:divBdr>
                <w:top w:val="none" w:sz="0" w:space="0" w:color="auto"/>
                <w:left w:val="none" w:sz="0" w:space="0" w:color="auto"/>
                <w:bottom w:val="none" w:sz="0" w:space="0" w:color="auto"/>
                <w:right w:val="none" w:sz="0" w:space="0" w:color="auto"/>
              </w:divBdr>
            </w:div>
          </w:divsChild>
        </w:div>
        <w:div w:id="32730864">
          <w:marLeft w:val="0"/>
          <w:marRight w:val="0"/>
          <w:marTop w:val="0"/>
          <w:marBottom w:val="0"/>
          <w:divBdr>
            <w:top w:val="none" w:sz="0" w:space="0" w:color="auto"/>
            <w:left w:val="none" w:sz="0" w:space="0" w:color="auto"/>
            <w:bottom w:val="none" w:sz="0" w:space="0" w:color="auto"/>
            <w:right w:val="none" w:sz="0" w:space="0" w:color="auto"/>
          </w:divBdr>
          <w:divsChild>
            <w:div w:id="1228760691">
              <w:marLeft w:val="0"/>
              <w:marRight w:val="0"/>
              <w:marTop w:val="0"/>
              <w:marBottom w:val="0"/>
              <w:divBdr>
                <w:top w:val="none" w:sz="0" w:space="0" w:color="auto"/>
                <w:left w:val="none" w:sz="0" w:space="0" w:color="auto"/>
                <w:bottom w:val="none" w:sz="0" w:space="0" w:color="auto"/>
                <w:right w:val="none" w:sz="0" w:space="0" w:color="auto"/>
              </w:divBdr>
            </w:div>
          </w:divsChild>
        </w:div>
        <w:div w:id="62342258">
          <w:marLeft w:val="0"/>
          <w:marRight w:val="0"/>
          <w:marTop w:val="0"/>
          <w:marBottom w:val="0"/>
          <w:divBdr>
            <w:top w:val="none" w:sz="0" w:space="0" w:color="auto"/>
            <w:left w:val="none" w:sz="0" w:space="0" w:color="auto"/>
            <w:bottom w:val="none" w:sz="0" w:space="0" w:color="auto"/>
            <w:right w:val="none" w:sz="0" w:space="0" w:color="auto"/>
          </w:divBdr>
          <w:divsChild>
            <w:div w:id="1051879304">
              <w:marLeft w:val="0"/>
              <w:marRight w:val="0"/>
              <w:marTop w:val="0"/>
              <w:marBottom w:val="0"/>
              <w:divBdr>
                <w:top w:val="none" w:sz="0" w:space="0" w:color="auto"/>
                <w:left w:val="none" w:sz="0" w:space="0" w:color="auto"/>
                <w:bottom w:val="none" w:sz="0" w:space="0" w:color="auto"/>
                <w:right w:val="none" w:sz="0" w:space="0" w:color="auto"/>
              </w:divBdr>
            </w:div>
            <w:div w:id="1065839091">
              <w:marLeft w:val="0"/>
              <w:marRight w:val="0"/>
              <w:marTop w:val="0"/>
              <w:marBottom w:val="0"/>
              <w:divBdr>
                <w:top w:val="none" w:sz="0" w:space="0" w:color="auto"/>
                <w:left w:val="none" w:sz="0" w:space="0" w:color="auto"/>
                <w:bottom w:val="none" w:sz="0" w:space="0" w:color="auto"/>
                <w:right w:val="none" w:sz="0" w:space="0" w:color="auto"/>
              </w:divBdr>
            </w:div>
          </w:divsChild>
        </w:div>
        <w:div w:id="124397649">
          <w:marLeft w:val="0"/>
          <w:marRight w:val="0"/>
          <w:marTop w:val="0"/>
          <w:marBottom w:val="0"/>
          <w:divBdr>
            <w:top w:val="none" w:sz="0" w:space="0" w:color="auto"/>
            <w:left w:val="none" w:sz="0" w:space="0" w:color="auto"/>
            <w:bottom w:val="none" w:sz="0" w:space="0" w:color="auto"/>
            <w:right w:val="none" w:sz="0" w:space="0" w:color="auto"/>
          </w:divBdr>
          <w:divsChild>
            <w:div w:id="190918850">
              <w:marLeft w:val="0"/>
              <w:marRight w:val="0"/>
              <w:marTop w:val="0"/>
              <w:marBottom w:val="0"/>
              <w:divBdr>
                <w:top w:val="none" w:sz="0" w:space="0" w:color="auto"/>
                <w:left w:val="none" w:sz="0" w:space="0" w:color="auto"/>
                <w:bottom w:val="none" w:sz="0" w:space="0" w:color="auto"/>
                <w:right w:val="none" w:sz="0" w:space="0" w:color="auto"/>
              </w:divBdr>
            </w:div>
            <w:div w:id="705908858">
              <w:marLeft w:val="0"/>
              <w:marRight w:val="0"/>
              <w:marTop w:val="0"/>
              <w:marBottom w:val="0"/>
              <w:divBdr>
                <w:top w:val="none" w:sz="0" w:space="0" w:color="auto"/>
                <w:left w:val="none" w:sz="0" w:space="0" w:color="auto"/>
                <w:bottom w:val="none" w:sz="0" w:space="0" w:color="auto"/>
                <w:right w:val="none" w:sz="0" w:space="0" w:color="auto"/>
              </w:divBdr>
            </w:div>
          </w:divsChild>
        </w:div>
        <w:div w:id="325785159">
          <w:marLeft w:val="0"/>
          <w:marRight w:val="0"/>
          <w:marTop w:val="0"/>
          <w:marBottom w:val="0"/>
          <w:divBdr>
            <w:top w:val="none" w:sz="0" w:space="0" w:color="auto"/>
            <w:left w:val="none" w:sz="0" w:space="0" w:color="auto"/>
            <w:bottom w:val="none" w:sz="0" w:space="0" w:color="auto"/>
            <w:right w:val="none" w:sz="0" w:space="0" w:color="auto"/>
          </w:divBdr>
          <w:divsChild>
            <w:div w:id="225266271">
              <w:marLeft w:val="0"/>
              <w:marRight w:val="0"/>
              <w:marTop w:val="0"/>
              <w:marBottom w:val="0"/>
              <w:divBdr>
                <w:top w:val="none" w:sz="0" w:space="0" w:color="auto"/>
                <w:left w:val="none" w:sz="0" w:space="0" w:color="auto"/>
                <w:bottom w:val="none" w:sz="0" w:space="0" w:color="auto"/>
                <w:right w:val="none" w:sz="0" w:space="0" w:color="auto"/>
              </w:divBdr>
            </w:div>
            <w:div w:id="644435560">
              <w:marLeft w:val="0"/>
              <w:marRight w:val="0"/>
              <w:marTop w:val="0"/>
              <w:marBottom w:val="0"/>
              <w:divBdr>
                <w:top w:val="none" w:sz="0" w:space="0" w:color="auto"/>
                <w:left w:val="none" w:sz="0" w:space="0" w:color="auto"/>
                <w:bottom w:val="none" w:sz="0" w:space="0" w:color="auto"/>
                <w:right w:val="none" w:sz="0" w:space="0" w:color="auto"/>
              </w:divBdr>
            </w:div>
            <w:div w:id="892698127">
              <w:marLeft w:val="0"/>
              <w:marRight w:val="0"/>
              <w:marTop w:val="0"/>
              <w:marBottom w:val="0"/>
              <w:divBdr>
                <w:top w:val="none" w:sz="0" w:space="0" w:color="auto"/>
                <w:left w:val="none" w:sz="0" w:space="0" w:color="auto"/>
                <w:bottom w:val="none" w:sz="0" w:space="0" w:color="auto"/>
                <w:right w:val="none" w:sz="0" w:space="0" w:color="auto"/>
              </w:divBdr>
            </w:div>
            <w:div w:id="1841390596">
              <w:marLeft w:val="0"/>
              <w:marRight w:val="0"/>
              <w:marTop w:val="0"/>
              <w:marBottom w:val="0"/>
              <w:divBdr>
                <w:top w:val="none" w:sz="0" w:space="0" w:color="auto"/>
                <w:left w:val="none" w:sz="0" w:space="0" w:color="auto"/>
                <w:bottom w:val="none" w:sz="0" w:space="0" w:color="auto"/>
                <w:right w:val="none" w:sz="0" w:space="0" w:color="auto"/>
              </w:divBdr>
            </w:div>
          </w:divsChild>
        </w:div>
        <w:div w:id="448399875">
          <w:marLeft w:val="0"/>
          <w:marRight w:val="0"/>
          <w:marTop w:val="0"/>
          <w:marBottom w:val="0"/>
          <w:divBdr>
            <w:top w:val="none" w:sz="0" w:space="0" w:color="auto"/>
            <w:left w:val="none" w:sz="0" w:space="0" w:color="auto"/>
            <w:bottom w:val="none" w:sz="0" w:space="0" w:color="auto"/>
            <w:right w:val="none" w:sz="0" w:space="0" w:color="auto"/>
          </w:divBdr>
          <w:divsChild>
            <w:div w:id="538394812">
              <w:marLeft w:val="0"/>
              <w:marRight w:val="0"/>
              <w:marTop w:val="0"/>
              <w:marBottom w:val="0"/>
              <w:divBdr>
                <w:top w:val="none" w:sz="0" w:space="0" w:color="auto"/>
                <w:left w:val="none" w:sz="0" w:space="0" w:color="auto"/>
                <w:bottom w:val="none" w:sz="0" w:space="0" w:color="auto"/>
                <w:right w:val="none" w:sz="0" w:space="0" w:color="auto"/>
              </w:divBdr>
            </w:div>
            <w:div w:id="1016078699">
              <w:marLeft w:val="0"/>
              <w:marRight w:val="0"/>
              <w:marTop w:val="0"/>
              <w:marBottom w:val="0"/>
              <w:divBdr>
                <w:top w:val="none" w:sz="0" w:space="0" w:color="auto"/>
                <w:left w:val="none" w:sz="0" w:space="0" w:color="auto"/>
                <w:bottom w:val="none" w:sz="0" w:space="0" w:color="auto"/>
                <w:right w:val="none" w:sz="0" w:space="0" w:color="auto"/>
              </w:divBdr>
            </w:div>
          </w:divsChild>
        </w:div>
        <w:div w:id="623313839">
          <w:marLeft w:val="0"/>
          <w:marRight w:val="0"/>
          <w:marTop w:val="0"/>
          <w:marBottom w:val="0"/>
          <w:divBdr>
            <w:top w:val="none" w:sz="0" w:space="0" w:color="auto"/>
            <w:left w:val="none" w:sz="0" w:space="0" w:color="auto"/>
            <w:bottom w:val="none" w:sz="0" w:space="0" w:color="auto"/>
            <w:right w:val="none" w:sz="0" w:space="0" w:color="auto"/>
          </w:divBdr>
          <w:divsChild>
            <w:div w:id="1087190553">
              <w:marLeft w:val="0"/>
              <w:marRight w:val="0"/>
              <w:marTop w:val="0"/>
              <w:marBottom w:val="0"/>
              <w:divBdr>
                <w:top w:val="none" w:sz="0" w:space="0" w:color="auto"/>
                <w:left w:val="none" w:sz="0" w:space="0" w:color="auto"/>
                <w:bottom w:val="none" w:sz="0" w:space="0" w:color="auto"/>
                <w:right w:val="none" w:sz="0" w:space="0" w:color="auto"/>
              </w:divBdr>
            </w:div>
            <w:div w:id="1647734965">
              <w:marLeft w:val="0"/>
              <w:marRight w:val="0"/>
              <w:marTop w:val="0"/>
              <w:marBottom w:val="0"/>
              <w:divBdr>
                <w:top w:val="none" w:sz="0" w:space="0" w:color="auto"/>
                <w:left w:val="none" w:sz="0" w:space="0" w:color="auto"/>
                <w:bottom w:val="none" w:sz="0" w:space="0" w:color="auto"/>
                <w:right w:val="none" w:sz="0" w:space="0" w:color="auto"/>
              </w:divBdr>
            </w:div>
            <w:div w:id="2131048743">
              <w:marLeft w:val="0"/>
              <w:marRight w:val="0"/>
              <w:marTop w:val="0"/>
              <w:marBottom w:val="0"/>
              <w:divBdr>
                <w:top w:val="none" w:sz="0" w:space="0" w:color="auto"/>
                <w:left w:val="none" w:sz="0" w:space="0" w:color="auto"/>
                <w:bottom w:val="none" w:sz="0" w:space="0" w:color="auto"/>
                <w:right w:val="none" w:sz="0" w:space="0" w:color="auto"/>
              </w:divBdr>
            </w:div>
          </w:divsChild>
        </w:div>
        <w:div w:id="825323018">
          <w:marLeft w:val="0"/>
          <w:marRight w:val="0"/>
          <w:marTop w:val="0"/>
          <w:marBottom w:val="0"/>
          <w:divBdr>
            <w:top w:val="none" w:sz="0" w:space="0" w:color="auto"/>
            <w:left w:val="none" w:sz="0" w:space="0" w:color="auto"/>
            <w:bottom w:val="none" w:sz="0" w:space="0" w:color="auto"/>
            <w:right w:val="none" w:sz="0" w:space="0" w:color="auto"/>
          </w:divBdr>
          <w:divsChild>
            <w:div w:id="569540081">
              <w:marLeft w:val="0"/>
              <w:marRight w:val="0"/>
              <w:marTop w:val="0"/>
              <w:marBottom w:val="0"/>
              <w:divBdr>
                <w:top w:val="none" w:sz="0" w:space="0" w:color="auto"/>
                <w:left w:val="none" w:sz="0" w:space="0" w:color="auto"/>
                <w:bottom w:val="none" w:sz="0" w:space="0" w:color="auto"/>
                <w:right w:val="none" w:sz="0" w:space="0" w:color="auto"/>
              </w:divBdr>
            </w:div>
          </w:divsChild>
        </w:div>
        <w:div w:id="915822035">
          <w:marLeft w:val="0"/>
          <w:marRight w:val="0"/>
          <w:marTop w:val="0"/>
          <w:marBottom w:val="0"/>
          <w:divBdr>
            <w:top w:val="none" w:sz="0" w:space="0" w:color="auto"/>
            <w:left w:val="none" w:sz="0" w:space="0" w:color="auto"/>
            <w:bottom w:val="none" w:sz="0" w:space="0" w:color="auto"/>
            <w:right w:val="none" w:sz="0" w:space="0" w:color="auto"/>
          </w:divBdr>
          <w:divsChild>
            <w:div w:id="732310899">
              <w:marLeft w:val="0"/>
              <w:marRight w:val="0"/>
              <w:marTop w:val="0"/>
              <w:marBottom w:val="0"/>
              <w:divBdr>
                <w:top w:val="none" w:sz="0" w:space="0" w:color="auto"/>
                <w:left w:val="none" w:sz="0" w:space="0" w:color="auto"/>
                <w:bottom w:val="none" w:sz="0" w:space="0" w:color="auto"/>
                <w:right w:val="none" w:sz="0" w:space="0" w:color="auto"/>
              </w:divBdr>
            </w:div>
            <w:div w:id="734282521">
              <w:marLeft w:val="0"/>
              <w:marRight w:val="0"/>
              <w:marTop w:val="0"/>
              <w:marBottom w:val="0"/>
              <w:divBdr>
                <w:top w:val="none" w:sz="0" w:space="0" w:color="auto"/>
                <w:left w:val="none" w:sz="0" w:space="0" w:color="auto"/>
                <w:bottom w:val="none" w:sz="0" w:space="0" w:color="auto"/>
                <w:right w:val="none" w:sz="0" w:space="0" w:color="auto"/>
              </w:divBdr>
            </w:div>
          </w:divsChild>
        </w:div>
        <w:div w:id="1037707076">
          <w:marLeft w:val="0"/>
          <w:marRight w:val="0"/>
          <w:marTop w:val="0"/>
          <w:marBottom w:val="0"/>
          <w:divBdr>
            <w:top w:val="none" w:sz="0" w:space="0" w:color="auto"/>
            <w:left w:val="none" w:sz="0" w:space="0" w:color="auto"/>
            <w:bottom w:val="none" w:sz="0" w:space="0" w:color="auto"/>
            <w:right w:val="none" w:sz="0" w:space="0" w:color="auto"/>
          </w:divBdr>
          <w:divsChild>
            <w:div w:id="1448042177">
              <w:marLeft w:val="0"/>
              <w:marRight w:val="0"/>
              <w:marTop w:val="0"/>
              <w:marBottom w:val="0"/>
              <w:divBdr>
                <w:top w:val="none" w:sz="0" w:space="0" w:color="auto"/>
                <w:left w:val="none" w:sz="0" w:space="0" w:color="auto"/>
                <w:bottom w:val="none" w:sz="0" w:space="0" w:color="auto"/>
                <w:right w:val="none" w:sz="0" w:space="0" w:color="auto"/>
              </w:divBdr>
            </w:div>
          </w:divsChild>
        </w:div>
        <w:div w:id="1058016516">
          <w:marLeft w:val="0"/>
          <w:marRight w:val="0"/>
          <w:marTop w:val="0"/>
          <w:marBottom w:val="0"/>
          <w:divBdr>
            <w:top w:val="none" w:sz="0" w:space="0" w:color="auto"/>
            <w:left w:val="none" w:sz="0" w:space="0" w:color="auto"/>
            <w:bottom w:val="none" w:sz="0" w:space="0" w:color="auto"/>
            <w:right w:val="none" w:sz="0" w:space="0" w:color="auto"/>
          </w:divBdr>
          <w:divsChild>
            <w:div w:id="1963421652">
              <w:marLeft w:val="0"/>
              <w:marRight w:val="0"/>
              <w:marTop w:val="0"/>
              <w:marBottom w:val="0"/>
              <w:divBdr>
                <w:top w:val="none" w:sz="0" w:space="0" w:color="auto"/>
                <w:left w:val="none" w:sz="0" w:space="0" w:color="auto"/>
                <w:bottom w:val="none" w:sz="0" w:space="0" w:color="auto"/>
                <w:right w:val="none" w:sz="0" w:space="0" w:color="auto"/>
              </w:divBdr>
            </w:div>
          </w:divsChild>
        </w:div>
        <w:div w:id="1121613027">
          <w:marLeft w:val="0"/>
          <w:marRight w:val="0"/>
          <w:marTop w:val="0"/>
          <w:marBottom w:val="0"/>
          <w:divBdr>
            <w:top w:val="none" w:sz="0" w:space="0" w:color="auto"/>
            <w:left w:val="none" w:sz="0" w:space="0" w:color="auto"/>
            <w:bottom w:val="none" w:sz="0" w:space="0" w:color="auto"/>
            <w:right w:val="none" w:sz="0" w:space="0" w:color="auto"/>
          </w:divBdr>
          <w:divsChild>
            <w:div w:id="431047363">
              <w:marLeft w:val="0"/>
              <w:marRight w:val="0"/>
              <w:marTop w:val="0"/>
              <w:marBottom w:val="0"/>
              <w:divBdr>
                <w:top w:val="none" w:sz="0" w:space="0" w:color="auto"/>
                <w:left w:val="none" w:sz="0" w:space="0" w:color="auto"/>
                <w:bottom w:val="none" w:sz="0" w:space="0" w:color="auto"/>
                <w:right w:val="none" w:sz="0" w:space="0" w:color="auto"/>
              </w:divBdr>
            </w:div>
          </w:divsChild>
        </w:div>
        <w:div w:id="1216500929">
          <w:marLeft w:val="0"/>
          <w:marRight w:val="0"/>
          <w:marTop w:val="0"/>
          <w:marBottom w:val="0"/>
          <w:divBdr>
            <w:top w:val="none" w:sz="0" w:space="0" w:color="auto"/>
            <w:left w:val="none" w:sz="0" w:space="0" w:color="auto"/>
            <w:bottom w:val="none" w:sz="0" w:space="0" w:color="auto"/>
            <w:right w:val="none" w:sz="0" w:space="0" w:color="auto"/>
          </w:divBdr>
          <w:divsChild>
            <w:div w:id="845631699">
              <w:marLeft w:val="0"/>
              <w:marRight w:val="0"/>
              <w:marTop w:val="0"/>
              <w:marBottom w:val="0"/>
              <w:divBdr>
                <w:top w:val="none" w:sz="0" w:space="0" w:color="auto"/>
                <w:left w:val="none" w:sz="0" w:space="0" w:color="auto"/>
                <w:bottom w:val="none" w:sz="0" w:space="0" w:color="auto"/>
                <w:right w:val="none" w:sz="0" w:space="0" w:color="auto"/>
              </w:divBdr>
            </w:div>
            <w:div w:id="1574005019">
              <w:marLeft w:val="0"/>
              <w:marRight w:val="0"/>
              <w:marTop w:val="0"/>
              <w:marBottom w:val="0"/>
              <w:divBdr>
                <w:top w:val="none" w:sz="0" w:space="0" w:color="auto"/>
                <w:left w:val="none" w:sz="0" w:space="0" w:color="auto"/>
                <w:bottom w:val="none" w:sz="0" w:space="0" w:color="auto"/>
                <w:right w:val="none" w:sz="0" w:space="0" w:color="auto"/>
              </w:divBdr>
            </w:div>
          </w:divsChild>
        </w:div>
        <w:div w:id="1223635252">
          <w:marLeft w:val="0"/>
          <w:marRight w:val="0"/>
          <w:marTop w:val="0"/>
          <w:marBottom w:val="0"/>
          <w:divBdr>
            <w:top w:val="none" w:sz="0" w:space="0" w:color="auto"/>
            <w:left w:val="none" w:sz="0" w:space="0" w:color="auto"/>
            <w:bottom w:val="none" w:sz="0" w:space="0" w:color="auto"/>
            <w:right w:val="none" w:sz="0" w:space="0" w:color="auto"/>
          </w:divBdr>
          <w:divsChild>
            <w:div w:id="584001504">
              <w:marLeft w:val="0"/>
              <w:marRight w:val="0"/>
              <w:marTop w:val="0"/>
              <w:marBottom w:val="0"/>
              <w:divBdr>
                <w:top w:val="none" w:sz="0" w:space="0" w:color="auto"/>
                <w:left w:val="none" w:sz="0" w:space="0" w:color="auto"/>
                <w:bottom w:val="none" w:sz="0" w:space="0" w:color="auto"/>
                <w:right w:val="none" w:sz="0" w:space="0" w:color="auto"/>
              </w:divBdr>
            </w:div>
            <w:div w:id="1365592885">
              <w:marLeft w:val="0"/>
              <w:marRight w:val="0"/>
              <w:marTop w:val="0"/>
              <w:marBottom w:val="0"/>
              <w:divBdr>
                <w:top w:val="none" w:sz="0" w:space="0" w:color="auto"/>
                <w:left w:val="none" w:sz="0" w:space="0" w:color="auto"/>
                <w:bottom w:val="none" w:sz="0" w:space="0" w:color="auto"/>
                <w:right w:val="none" w:sz="0" w:space="0" w:color="auto"/>
              </w:divBdr>
            </w:div>
            <w:div w:id="1586646324">
              <w:marLeft w:val="0"/>
              <w:marRight w:val="0"/>
              <w:marTop w:val="0"/>
              <w:marBottom w:val="0"/>
              <w:divBdr>
                <w:top w:val="none" w:sz="0" w:space="0" w:color="auto"/>
                <w:left w:val="none" w:sz="0" w:space="0" w:color="auto"/>
                <w:bottom w:val="none" w:sz="0" w:space="0" w:color="auto"/>
                <w:right w:val="none" w:sz="0" w:space="0" w:color="auto"/>
              </w:divBdr>
            </w:div>
            <w:div w:id="1795053792">
              <w:marLeft w:val="0"/>
              <w:marRight w:val="0"/>
              <w:marTop w:val="0"/>
              <w:marBottom w:val="0"/>
              <w:divBdr>
                <w:top w:val="none" w:sz="0" w:space="0" w:color="auto"/>
                <w:left w:val="none" w:sz="0" w:space="0" w:color="auto"/>
                <w:bottom w:val="none" w:sz="0" w:space="0" w:color="auto"/>
                <w:right w:val="none" w:sz="0" w:space="0" w:color="auto"/>
              </w:divBdr>
            </w:div>
          </w:divsChild>
        </w:div>
        <w:div w:id="1242787913">
          <w:marLeft w:val="0"/>
          <w:marRight w:val="0"/>
          <w:marTop w:val="0"/>
          <w:marBottom w:val="0"/>
          <w:divBdr>
            <w:top w:val="none" w:sz="0" w:space="0" w:color="auto"/>
            <w:left w:val="none" w:sz="0" w:space="0" w:color="auto"/>
            <w:bottom w:val="none" w:sz="0" w:space="0" w:color="auto"/>
            <w:right w:val="none" w:sz="0" w:space="0" w:color="auto"/>
          </w:divBdr>
          <w:divsChild>
            <w:div w:id="738790322">
              <w:marLeft w:val="0"/>
              <w:marRight w:val="0"/>
              <w:marTop w:val="0"/>
              <w:marBottom w:val="0"/>
              <w:divBdr>
                <w:top w:val="none" w:sz="0" w:space="0" w:color="auto"/>
                <w:left w:val="none" w:sz="0" w:space="0" w:color="auto"/>
                <w:bottom w:val="none" w:sz="0" w:space="0" w:color="auto"/>
                <w:right w:val="none" w:sz="0" w:space="0" w:color="auto"/>
              </w:divBdr>
            </w:div>
          </w:divsChild>
        </w:div>
        <w:div w:id="1328896064">
          <w:marLeft w:val="0"/>
          <w:marRight w:val="0"/>
          <w:marTop w:val="0"/>
          <w:marBottom w:val="0"/>
          <w:divBdr>
            <w:top w:val="none" w:sz="0" w:space="0" w:color="auto"/>
            <w:left w:val="none" w:sz="0" w:space="0" w:color="auto"/>
            <w:bottom w:val="none" w:sz="0" w:space="0" w:color="auto"/>
            <w:right w:val="none" w:sz="0" w:space="0" w:color="auto"/>
          </w:divBdr>
          <w:divsChild>
            <w:div w:id="124126894">
              <w:marLeft w:val="0"/>
              <w:marRight w:val="0"/>
              <w:marTop w:val="0"/>
              <w:marBottom w:val="0"/>
              <w:divBdr>
                <w:top w:val="none" w:sz="0" w:space="0" w:color="auto"/>
                <w:left w:val="none" w:sz="0" w:space="0" w:color="auto"/>
                <w:bottom w:val="none" w:sz="0" w:space="0" w:color="auto"/>
                <w:right w:val="none" w:sz="0" w:space="0" w:color="auto"/>
              </w:divBdr>
            </w:div>
            <w:div w:id="299386094">
              <w:marLeft w:val="0"/>
              <w:marRight w:val="0"/>
              <w:marTop w:val="0"/>
              <w:marBottom w:val="0"/>
              <w:divBdr>
                <w:top w:val="none" w:sz="0" w:space="0" w:color="auto"/>
                <w:left w:val="none" w:sz="0" w:space="0" w:color="auto"/>
                <w:bottom w:val="none" w:sz="0" w:space="0" w:color="auto"/>
                <w:right w:val="none" w:sz="0" w:space="0" w:color="auto"/>
              </w:divBdr>
            </w:div>
            <w:div w:id="1395928840">
              <w:marLeft w:val="0"/>
              <w:marRight w:val="0"/>
              <w:marTop w:val="0"/>
              <w:marBottom w:val="0"/>
              <w:divBdr>
                <w:top w:val="none" w:sz="0" w:space="0" w:color="auto"/>
                <w:left w:val="none" w:sz="0" w:space="0" w:color="auto"/>
                <w:bottom w:val="none" w:sz="0" w:space="0" w:color="auto"/>
                <w:right w:val="none" w:sz="0" w:space="0" w:color="auto"/>
              </w:divBdr>
            </w:div>
          </w:divsChild>
        </w:div>
        <w:div w:id="1372001853">
          <w:marLeft w:val="0"/>
          <w:marRight w:val="0"/>
          <w:marTop w:val="0"/>
          <w:marBottom w:val="0"/>
          <w:divBdr>
            <w:top w:val="none" w:sz="0" w:space="0" w:color="auto"/>
            <w:left w:val="none" w:sz="0" w:space="0" w:color="auto"/>
            <w:bottom w:val="none" w:sz="0" w:space="0" w:color="auto"/>
            <w:right w:val="none" w:sz="0" w:space="0" w:color="auto"/>
          </w:divBdr>
          <w:divsChild>
            <w:div w:id="543031562">
              <w:marLeft w:val="0"/>
              <w:marRight w:val="0"/>
              <w:marTop w:val="0"/>
              <w:marBottom w:val="0"/>
              <w:divBdr>
                <w:top w:val="none" w:sz="0" w:space="0" w:color="auto"/>
                <w:left w:val="none" w:sz="0" w:space="0" w:color="auto"/>
                <w:bottom w:val="none" w:sz="0" w:space="0" w:color="auto"/>
                <w:right w:val="none" w:sz="0" w:space="0" w:color="auto"/>
              </w:divBdr>
            </w:div>
          </w:divsChild>
        </w:div>
        <w:div w:id="1705055578">
          <w:marLeft w:val="0"/>
          <w:marRight w:val="0"/>
          <w:marTop w:val="0"/>
          <w:marBottom w:val="0"/>
          <w:divBdr>
            <w:top w:val="none" w:sz="0" w:space="0" w:color="auto"/>
            <w:left w:val="none" w:sz="0" w:space="0" w:color="auto"/>
            <w:bottom w:val="none" w:sz="0" w:space="0" w:color="auto"/>
            <w:right w:val="none" w:sz="0" w:space="0" w:color="auto"/>
          </w:divBdr>
          <w:divsChild>
            <w:div w:id="1314334041">
              <w:marLeft w:val="0"/>
              <w:marRight w:val="0"/>
              <w:marTop w:val="0"/>
              <w:marBottom w:val="0"/>
              <w:divBdr>
                <w:top w:val="none" w:sz="0" w:space="0" w:color="auto"/>
                <w:left w:val="none" w:sz="0" w:space="0" w:color="auto"/>
                <w:bottom w:val="none" w:sz="0" w:space="0" w:color="auto"/>
                <w:right w:val="none" w:sz="0" w:space="0" w:color="auto"/>
              </w:divBdr>
            </w:div>
          </w:divsChild>
        </w:div>
        <w:div w:id="2031104376">
          <w:marLeft w:val="0"/>
          <w:marRight w:val="0"/>
          <w:marTop w:val="0"/>
          <w:marBottom w:val="0"/>
          <w:divBdr>
            <w:top w:val="none" w:sz="0" w:space="0" w:color="auto"/>
            <w:left w:val="none" w:sz="0" w:space="0" w:color="auto"/>
            <w:bottom w:val="none" w:sz="0" w:space="0" w:color="auto"/>
            <w:right w:val="none" w:sz="0" w:space="0" w:color="auto"/>
          </w:divBdr>
          <w:divsChild>
            <w:div w:id="742996072">
              <w:marLeft w:val="0"/>
              <w:marRight w:val="0"/>
              <w:marTop w:val="0"/>
              <w:marBottom w:val="0"/>
              <w:divBdr>
                <w:top w:val="none" w:sz="0" w:space="0" w:color="auto"/>
                <w:left w:val="none" w:sz="0" w:space="0" w:color="auto"/>
                <w:bottom w:val="none" w:sz="0" w:space="0" w:color="auto"/>
                <w:right w:val="none" w:sz="0" w:space="0" w:color="auto"/>
              </w:divBdr>
            </w:div>
          </w:divsChild>
        </w:div>
        <w:div w:id="2117017850">
          <w:marLeft w:val="0"/>
          <w:marRight w:val="0"/>
          <w:marTop w:val="0"/>
          <w:marBottom w:val="0"/>
          <w:divBdr>
            <w:top w:val="none" w:sz="0" w:space="0" w:color="auto"/>
            <w:left w:val="none" w:sz="0" w:space="0" w:color="auto"/>
            <w:bottom w:val="none" w:sz="0" w:space="0" w:color="auto"/>
            <w:right w:val="none" w:sz="0" w:space="0" w:color="auto"/>
          </w:divBdr>
          <w:divsChild>
            <w:div w:id="319119413">
              <w:marLeft w:val="0"/>
              <w:marRight w:val="0"/>
              <w:marTop w:val="0"/>
              <w:marBottom w:val="0"/>
              <w:divBdr>
                <w:top w:val="none" w:sz="0" w:space="0" w:color="auto"/>
                <w:left w:val="none" w:sz="0" w:space="0" w:color="auto"/>
                <w:bottom w:val="none" w:sz="0" w:space="0" w:color="auto"/>
                <w:right w:val="none" w:sz="0" w:space="0" w:color="auto"/>
              </w:divBdr>
            </w:div>
            <w:div w:id="1115294998">
              <w:marLeft w:val="0"/>
              <w:marRight w:val="0"/>
              <w:marTop w:val="0"/>
              <w:marBottom w:val="0"/>
              <w:divBdr>
                <w:top w:val="none" w:sz="0" w:space="0" w:color="auto"/>
                <w:left w:val="none" w:sz="0" w:space="0" w:color="auto"/>
                <w:bottom w:val="none" w:sz="0" w:space="0" w:color="auto"/>
                <w:right w:val="none" w:sz="0" w:space="0" w:color="auto"/>
              </w:divBdr>
            </w:div>
          </w:divsChild>
        </w:div>
        <w:div w:id="2133404286">
          <w:marLeft w:val="0"/>
          <w:marRight w:val="0"/>
          <w:marTop w:val="0"/>
          <w:marBottom w:val="0"/>
          <w:divBdr>
            <w:top w:val="none" w:sz="0" w:space="0" w:color="auto"/>
            <w:left w:val="none" w:sz="0" w:space="0" w:color="auto"/>
            <w:bottom w:val="none" w:sz="0" w:space="0" w:color="auto"/>
            <w:right w:val="none" w:sz="0" w:space="0" w:color="auto"/>
          </w:divBdr>
          <w:divsChild>
            <w:div w:id="18242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9951894">
      <w:bodyDiv w:val="1"/>
      <w:marLeft w:val="0"/>
      <w:marRight w:val="0"/>
      <w:marTop w:val="0"/>
      <w:marBottom w:val="0"/>
      <w:divBdr>
        <w:top w:val="none" w:sz="0" w:space="0" w:color="auto"/>
        <w:left w:val="none" w:sz="0" w:space="0" w:color="auto"/>
        <w:bottom w:val="none" w:sz="0" w:space="0" w:color="auto"/>
        <w:right w:val="none" w:sz="0" w:space="0" w:color="auto"/>
      </w:divBdr>
      <w:divsChild>
        <w:div w:id="6061345">
          <w:marLeft w:val="0"/>
          <w:marRight w:val="0"/>
          <w:marTop w:val="0"/>
          <w:marBottom w:val="0"/>
          <w:divBdr>
            <w:top w:val="none" w:sz="0" w:space="0" w:color="auto"/>
            <w:left w:val="none" w:sz="0" w:space="0" w:color="auto"/>
            <w:bottom w:val="none" w:sz="0" w:space="0" w:color="auto"/>
            <w:right w:val="none" w:sz="0" w:space="0" w:color="auto"/>
          </w:divBdr>
          <w:divsChild>
            <w:div w:id="55789074">
              <w:marLeft w:val="0"/>
              <w:marRight w:val="0"/>
              <w:marTop w:val="0"/>
              <w:marBottom w:val="0"/>
              <w:divBdr>
                <w:top w:val="none" w:sz="0" w:space="0" w:color="auto"/>
                <w:left w:val="none" w:sz="0" w:space="0" w:color="auto"/>
                <w:bottom w:val="none" w:sz="0" w:space="0" w:color="auto"/>
                <w:right w:val="none" w:sz="0" w:space="0" w:color="auto"/>
              </w:divBdr>
            </w:div>
            <w:div w:id="993530244">
              <w:marLeft w:val="0"/>
              <w:marRight w:val="0"/>
              <w:marTop w:val="0"/>
              <w:marBottom w:val="0"/>
              <w:divBdr>
                <w:top w:val="none" w:sz="0" w:space="0" w:color="auto"/>
                <w:left w:val="none" w:sz="0" w:space="0" w:color="auto"/>
                <w:bottom w:val="none" w:sz="0" w:space="0" w:color="auto"/>
                <w:right w:val="none" w:sz="0" w:space="0" w:color="auto"/>
              </w:divBdr>
            </w:div>
          </w:divsChild>
        </w:div>
        <w:div w:id="45489363">
          <w:marLeft w:val="0"/>
          <w:marRight w:val="0"/>
          <w:marTop w:val="0"/>
          <w:marBottom w:val="0"/>
          <w:divBdr>
            <w:top w:val="none" w:sz="0" w:space="0" w:color="auto"/>
            <w:left w:val="none" w:sz="0" w:space="0" w:color="auto"/>
            <w:bottom w:val="none" w:sz="0" w:space="0" w:color="auto"/>
            <w:right w:val="none" w:sz="0" w:space="0" w:color="auto"/>
          </w:divBdr>
          <w:divsChild>
            <w:div w:id="298921136">
              <w:marLeft w:val="0"/>
              <w:marRight w:val="0"/>
              <w:marTop w:val="0"/>
              <w:marBottom w:val="0"/>
              <w:divBdr>
                <w:top w:val="none" w:sz="0" w:space="0" w:color="auto"/>
                <w:left w:val="none" w:sz="0" w:space="0" w:color="auto"/>
                <w:bottom w:val="none" w:sz="0" w:space="0" w:color="auto"/>
                <w:right w:val="none" w:sz="0" w:space="0" w:color="auto"/>
              </w:divBdr>
            </w:div>
            <w:div w:id="1749039348">
              <w:marLeft w:val="0"/>
              <w:marRight w:val="0"/>
              <w:marTop w:val="0"/>
              <w:marBottom w:val="0"/>
              <w:divBdr>
                <w:top w:val="none" w:sz="0" w:space="0" w:color="auto"/>
                <w:left w:val="none" w:sz="0" w:space="0" w:color="auto"/>
                <w:bottom w:val="none" w:sz="0" w:space="0" w:color="auto"/>
                <w:right w:val="none" w:sz="0" w:space="0" w:color="auto"/>
              </w:divBdr>
            </w:div>
            <w:div w:id="2013288728">
              <w:marLeft w:val="0"/>
              <w:marRight w:val="0"/>
              <w:marTop w:val="0"/>
              <w:marBottom w:val="0"/>
              <w:divBdr>
                <w:top w:val="none" w:sz="0" w:space="0" w:color="auto"/>
                <w:left w:val="none" w:sz="0" w:space="0" w:color="auto"/>
                <w:bottom w:val="none" w:sz="0" w:space="0" w:color="auto"/>
                <w:right w:val="none" w:sz="0" w:space="0" w:color="auto"/>
              </w:divBdr>
            </w:div>
          </w:divsChild>
        </w:div>
        <w:div w:id="298457710">
          <w:marLeft w:val="0"/>
          <w:marRight w:val="0"/>
          <w:marTop w:val="0"/>
          <w:marBottom w:val="0"/>
          <w:divBdr>
            <w:top w:val="none" w:sz="0" w:space="0" w:color="auto"/>
            <w:left w:val="none" w:sz="0" w:space="0" w:color="auto"/>
            <w:bottom w:val="none" w:sz="0" w:space="0" w:color="auto"/>
            <w:right w:val="none" w:sz="0" w:space="0" w:color="auto"/>
          </w:divBdr>
          <w:divsChild>
            <w:div w:id="1195196457">
              <w:marLeft w:val="0"/>
              <w:marRight w:val="0"/>
              <w:marTop w:val="0"/>
              <w:marBottom w:val="0"/>
              <w:divBdr>
                <w:top w:val="none" w:sz="0" w:space="0" w:color="auto"/>
                <w:left w:val="none" w:sz="0" w:space="0" w:color="auto"/>
                <w:bottom w:val="none" w:sz="0" w:space="0" w:color="auto"/>
                <w:right w:val="none" w:sz="0" w:space="0" w:color="auto"/>
              </w:divBdr>
            </w:div>
          </w:divsChild>
        </w:div>
        <w:div w:id="435057580">
          <w:marLeft w:val="0"/>
          <w:marRight w:val="0"/>
          <w:marTop w:val="0"/>
          <w:marBottom w:val="0"/>
          <w:divBdr>
            <w:top w:val="none" w:sz="0" w:space="0" w:color="auto"/>
            <w:left w:val="none" w:sz="0" w:space="0" w:color="auto"/>
            <w:bottom w:val="none" w:sz="0" w:space="0" w:color="auto"/>
            <w:right w:val="none" w:sz="0" w:space="0" w:color="auto"/>
          </w:divBdr>
          <w:divsChild>
            <w:div w:id="1623917635">
              <w:marLeft w:val="0"/>
              <w:marRight w:val="0"/>
              <w:marTop w:val="0"/>
              <w:marBottom w:val="0"/>
              <w:divBdr>
                <w:top w:val="none" w:sz="0" w:space="0" w:color="auto"/>
                <w:left w:val="none" w:sz="0" w:space="0" w:color="auto"/>
                <w:bottom w:val="none" w:sz="0" w:space="0" w:color="auto"/>
                <w:right w:val="none" w:sz="0" w:space="0" w:color="auto"/>
              </w:divBdr>
            </w:div>
          </w:divsChild>
        </w:div>
        <w:div w:id="441922395">
          <w:marLeft w:val="0"/>
          <w:marRight w:val="0"/>
          <w:marTop w:val="0"/>
          <w:marBottom w:val="0"/>
          <w:divBdr>
            <w:top w:val="none" w:sz="0" w:space="0" w:color="auto"/>
            <w:left w:val="none" w:sz="0" w:space="0" w:color="auto"/>
            <w:bottom w:val="none" w:sz="0" w:space="0" w:color="auto"/>
            <w:right w:val="none" w:sz="0" w:space="0" w:color="auto"/>
          </w:divBdr>
          <w:divsChild>
            <w:div w:id="1694334547">
              <w:marLeft w:val="0"/>
              <w:marRight w:val="0"/>
              <w:marTop w:val="0"/>
              <w:marBottom w:val="0"/>
              <w:divBdr>
                <w:top w:val="none" w:sz="0" w:space="0" w:color="auto"/>
                <w:left w:val="none" w:sz="0" w:space="0" w:color="auto"/>
                <w:bottom w:val="none" w:sz="0" w:space="0" w:color="auto"/>
                <w:right w:val="none" w:sz="0" w:space="0" w:color="auto"/>
              </w:divBdr>
            </w:div>
            <w:div w:id="1876235880">
              <w:marLeft w:val="0"/>
              <w:marRight w:val="0"/>
              <w:marTop w:val="0"/>
              <w:marBottom w:val="0"/>
              <w:divBdr>
                <w:top w:val="none" w:sz="0" w:space="0" w:color="auto"/>
                <w:left w:val="none" w:sz="0" w:space="0" w:color="auto"/>
                <w:bottom w:val="none" w:sz="0" w:space="0" w:color="auto"/>
                <w:right w:val="none" w:sz="0" w:space="0" w:color="auto"/>
              </w:divBdr>
            </w:div>
          </w:divsChild>
        </w:div>
        <w:div w:id="509829741">
          <w:marLeft w:val="0"/>
          <w:marRight w:val="0"/>
          <w:marTop w:val="0"/>
          <w:marBottom w:val="0"/>
          <w:divBdr>
            <w:top w:val="none" w:sz="0" w:space="0" w:color="auto"/>
            <w:left w:val="none" w:sz="0" w:space="0" w:color="auto"/>
            <w:bottom w:val="none" w:sz="0" w:space="0" w:color="auto"/>
            <w:right w:val="none" w:sz="0" w:space="0" w:color="auto"/>
          </w:divBdr>
          <w:divsChild>
            <w:div w:id="2079008568">
              <w:marLeft w:val="0"/>
              <w:marRight w:val="0"/>
              <w:marTop w:val="0"/>
              <w:marBottom w:val="0"/>
              <w:divBdr>
                <w:top w:val="none" w:sz="0" w:space="0" w:color="auto"/>
                <w:left w:val="none" w:sz="0" w:space="0" w:color="auto"/>
                <w:bottom w:val="none" w:sz="0" w:space="0" w:color="auto"/>
                <w:right w:val="none" w:sz="0" w:space="0" w:color="auto"/>
              </w:divBdr>
            </w:div>
          </w:divsChild>
        </w:div>
        <w:div w:id="563563474">
          <w:marLeft w:val="0"/>
          <w:marRight w:val="0"/>
          <w:marTop w:val="0"/>
          <w:marBottom w:val="0"/>
          <w:divBdr>
            <w:top w:val="none" w:sz="0" w:space="0" w:color="auto"/>
            <w:left w:val="none" w:sz="0" w:space="0" w:color="auto"/>
            <w:bottom w:val="none" w:sz="0" w:space="0" w:color="auto"/>
            <w:right w:val="none" w:sz="0" w:space="0" w:color="auto"/>
          </w:divBdr>
          <w:divsChild>
            <w:div w:id="148062163">
              <w:marLeft w:val="0"/>
              <w:marRight w:val="0"/>
              <w:marTop w:val="0"/>
              <w:marBottom w:val="0"/>
              <w:divBdr>
                <w:top w:val="none" w:sz="0" w:space="0" w:color="auto"/>
                <w:left w:val="none" w:sz="0" w:space="0" w:color="auto"/>
                <w:bottom w:val="none" w:sz="0" w:space="0" w:color="auto"/>
                <w:right w:val="none" w:sz="0" w:space="0" w:color="auto"/>
              </w:divBdr>
            </w:div>
          </w:divsChild>
        </w:div>
        <w:div w:id="644891349">
          <w:marLeft w:val="0"/>
          <w:marRight w:val="0"/>
          <w:marTop w:val="0"/>
          <w:marBottom w:val="0"/>
          <w:divBdr>
            <w:top w:val="none" w:sz="0" w:space="0" w:color="auto"/>
            <w:left w:val="none" w:sz="0" w:space="0" w:color="auto"/>
            <w:bottom w:val="none" w:sz="0" w:space="0" w:color="auto"/>
            <w:right w:val="none" w:sz="0" w:space="0" w:color="auto"/>
          </w:divBdr>
          <w:divsChild>
            <w:div w:id="1909802680">
              <w:marLeft w:val="0"/>
              <w:marRight w:val="0"/>
              <w:marTop w:val="0"/>
              <w:marBottom w:val="0"/>
              <w:divBdr>
                <w:top w:val="none" w:sz="0" w:space="0" w:color="auto"/>
                <w:left w:val="none" w:sz="0" w:space="0" w:color="auto"/>
                <w:bottom w:val="none" w:sz="0" w:space="0" w:color="auto"/>
                <w:right w:val="none" w:sz="0" w:space="0" w:color="auto"/>
              </w:divBdr>
            </w:div>
          </w:divsChild>
        </w:div>
        <w:div w:id="777287665">
          <w:marLeft w:val="0"/>
          <w:marRight w:val="0"/>
          <w:marTop w:val="0"/>
          <w:marBottom w:val="0"/>
          <w:divBdr>
            <w:top w:val="none" w:sz="0" w:space="0" w:color="auto"/>
            <w:left w:val="none" w:sz="0" w:space="0" w:color="auto"/>
            <w:bottom w:val="none" w:sz="0" w:space="0" w:color="auto"/>
            <w:right w:val="none" w:sz="0" w:space="0" w:color="auto"/>
          </w:divBdr>
          <w:divsChild>
            <w:div w:id="318729856">
              <w:marLeft w:val="0"/>
              <w:marRight w:val="0"/>
              <w:marTop w:val="0"/>
              <w:marBottom w:val="0"/>
              <w:divBdr>
                <w:top w:val="none" w:sz="0" w:space="0" w:color="auto"/>
                <w:left w:val="none" w:sz="0" w:space="0" w:color="auto"/>
                <w:bottom w:val="none" w:sz="0" w:space="0" w:color="auto"/>
                <w:right w:val="none" w:sz="0" w:space="0" w:color="auto"/>
              </w:divBdr>
            </w:div>
            <w:div w:id="1597859188">
              <w:marLeft w:val="0"/>
              <w:marRight w:val="0"/>
              <w:marTop w:val="0"/>
              <w:marBottom w:val="0"/>
              <w:divBdr>
                <w:top w:val="none" w:sz="0" w:space="0" w:color="auto"/>
                <w:left w:val="none" w:sz="0" w:space="0" w:color="auto"/>
                <w:bottom w:val="none" w:sz="0" w:space="0" w:color="auto"/>
                <w:right w:val="none" w:sz="0" w:space="0" w:color="auto"/>
              </w:divBdr>
            </w:div>
          </w:divsChild>
        </w:div>
        <w:div w:id="961426768">
          <w:marLeft w:val="0"/>
          <w:marRight w:val="0"/>
          <w:marTop w:val="0"/>
          <w:marBottom w:val="0"/>
          <w:divBdr>
            <w:top w:val="none" w:sz="0" w:space="0" w:color="auto"/>
            <w:left w:val="none" w:sz="0" w:space="0" w:color="auto"/>
            <w:bottom w:val="none" w:sz="0" w:space="0" w:color="auto"/>
            <w:right w:val="none" w:sz="0" w:space="0" w:color="auto"/>
          </w:divBdr>
          <w:divsChild>
            <w:div w:id="313753095">
              <w:marLeft w:val="0"/>
              <w:marRight w:val="0"/>
              <w:marTop w:val="0"/>
              <w:marBottom w:val="0"/>
              <w:divBdr>
                <w:top w:val="none" w:sz="0" w:space="0" w:color="auto"/>
                <w:left w:val="none" w:sz="0" w:space="0" w:color="auto"/>
                <w:bottom w:val="none" w:sz="0" w:space="0" w:color="auto"/>
                <w:right w:val="none" w:sz="0" w:space="0" w:color="auto"/>
              </w:divBdr>
            </w:div>
            <w:div w:id="718435244">
              <w:marLeft w:val="0"/>
              <w:marRight w:val="0"/>
              <w:marTop w:val="0"/>
              <w:marBottom w:val="0"/>
              <w:divBdr>
                <w:top w:val="none" w:sz="0" w:space="0" w:color="auto"/>
                <w:left w:val="none" w:sz="0" w:space="0" w:color="auto"/>
                <w:bottom w:val="none" w:sz="0" w:space="0" w:color="auto"/>
                <w:right w:val="none" w:sz="0" w:space="0" w:color="auto"/>
              </w:divBdr>
            </w:div>
            <w:div w:id="1937908119">
              <w:marLeft w:val="0"/>
              <w:marRight w:val="0"/>
              <w:marTop w:val="0"/>
              <w:marBottom w:val="0"/>
              <w:divBdr>
                <w:top w:val="none" w:sz="0" w:space="0" w:color="auto"/>
                <w:left w:val="none" w:sz="0" w:space="0" w:color="auto"/>
                <w:bottom w:val="none" w:sz="0" w:space="0" w:color="auto"/>
                <w:right w:val="none" w:sz="0" w:space="0" w:color="auto"/>
              </w:divBdr>
            </w:div>
          </w:divsChild>
        </w:div>
        <w:div w:id="1031149419">
          <w:marLeft w:val="0"/>
          <w:marRight w:val="0"/>
          <w:marTop w:val="0"/>
          <w:marBottom w:val="0"/>
          <w:divBdr>
            <w:top w:val="none" w:sz="0" w:space="0" w:color="auto"/>
            <w:left w:val="none" w:sz="0" w:space="0" w:color="auto"/>
            <w:bottom w:val="none" w:sz="0" w:space="0" w:color="auto"/>
            <w:right w:val="none" w:sz="0" w:space="0" w:color="auto"/>
          </w:divBdr>
          <w:divsChild>
            <w:div w:id="24018154">
              <w:marLeft w:val="0"/>
              <w:marRight w:val="0"/>
              <w:marTop w:val="0"/>
              <w:marBottom w:val="0"/>
              <w:divBdr>
                <w:top w:val="none" w:sz="0" w:space="0" w:color="auto"/>
                <w:left w:val="none" w:sz="0" w:space="0" w:color="auto"/>
                <w:bottom w:val="none" w:sz="0" w:space="0" w:color="auto"/>
                <w:right w:val="none" w:sz="0" w:space="0" w:color="auto"/>
              </w:divBdr>
            </w:div>
          </w:divsChild>
        </w:div>
        <w:div w:id="1104572313">
          <w:marLeft w:val="0"/>
          <w:marRight w:val="0"/>
          <w:marTop w:val="0"/>
          <w:marBottom w:val="0"/>
          <w:divBdr>
            <w:top w:val="none" w:sz="0" w:space="0" w:color="auto"/>
            <w:left w:val="none" w:sz="0" w:space="0" w:color="auto"/>
            <w:bottom w:val="none" w:sz="0" w:space="0" w:color="auto"/>
            <w:right w:val="none" w:sz="0" w:space="0" w:color="auto"/>
          </w:divBdr>
          <w:divsChild>
            <w:div w:id="465437434">
              <w:marLeft w:val="0"/>
              <w:marRight w:val="0"/>
              <w:marTop w:val="0"/>
              <w:marBottom w:val="0"/>
              <w:divBdr>
                <w:top w:val="none" w:sz="0" w:space="0" w:color="auto"/>
                <w:left w:val="none" w:sz="0" w:space="0" w:color="auto"/>
                <w:bottom w:val="none" w:sz="0" w:space="0" w:color="auto"/>
                <w:right w:val="none" w:sz="0" w:space="0" w:color="auto"/>
              </w:divBdr>
            </w:div>
            <w:div w:id="722827095">
              <w:marLeft w:val="0"/>
              <w:marRight w:val="0"/>
              <w:marTop w:val="0"/>
              <w:marBottom w:val="0"/>
              <w:divBdr>
                <w:top w:val="none" w:sz="0" w:space="0" w:color="auto"/>
                <w:left w:val="none" w:sz="0" w:space="0" w:color="auto"/>
                <w:bottom w:val="none" w:sz="0" w:space="0" w:color="auto"/>
                <w:right w:val="none" w:sz="0" w:space="0" w:color="auto"/>
              </w:divBdr>
            </w:div>
            <w:div w:id="1649556775">
              <w:marLeft w:val="0"/>
              <w:marRight w:val="0"/>
              <w:marTop w:val="0"/>
              <w:marBottom w:val="0"/>
              <w:divBdr>
                <w:top w:val="none" w:sz="0" w:space="0" w:color="auto"/>
                <w:left w:val="none" w:sz="0" w:space="0" w:color="auto"/>
                <w:bottom w:val="none" w:sz="0" w:space="0" w:color="auto"/>
                <w:right w:val="none" w:sz="0" w:space="0" w:color="auto"/>
              </w:divBdr>
            </w:div>
            <w:div w:id="1933708810">
              <w:marLeft w:val="0"/>
              <w:marRight w:val="0"/>
              <w:marTop w:val="0"/>
              <w:marBottom w:val="0"/>
              <w:divBdr>
                <w:top w:val="none" w:sz="0" w:space="0" w:color="auto"/>
                <w:left w:val="none" w:sz="0" w:space="0" w:color="auto"/>
                <w:bottom w:val="none" w:sz="0" w:space="0" w:color="auto"/>
                <w:right w:val="none" w:sz="0" w:space="0" w:color="auto"/>
              </w:divBdr>
            </w:div>
          </w:divsChild>
        </w:div>
        <w:div w:id="1124040195">
          <w:marLeft w:val="0"/>
          <w:marRight w:val="0"/>
          <w:marTop w:val="0"/>
          <w:marBottom w:val="0"/>
          <w:divBdr>
            <w:top w:val="none" w:sz="0" w:space="0" w:color="auto"/>
            <w:left w:val="none" w:sz="0" w:space="0" w:color="auto"/>
            <w:bottom w:val="none" w:sz="0" w:space="0" w:color="auto"/>
            <w:right w:val="none" w:sz="0" w:space="0" w:color="auto"/>
          </w:divBdr>
          <w:divsChild>
            <w:div w:id="788477233">
              <w:marLeft w:val="0"/>
              <w:marRight w:val="0"/>
              <w:marTop w:val="0"/>
              <w:marBottom w:val="0"/>
              <w:divBdr>
                <w:top w:val="none" w:sz="0" w:space="0" w:color="auto"/>
                <w:left w:val="none" w:sz="0" w:space="0" w:color="auto"/>
                <w:bottom w:val="none" w:sz="0" w:space="0" w:color="auto"/>
                <w:right w:val="none" w:sz="0" w:space="0" w:color="auto"/>
              </w:divBdr>
            </w:div>
          </w:divsChild>
        </w:div>
        <w:div w:id="1132677526">
          <w:marLeft w:val="0"/>
          <w:marRight w:val="0"/>
          <w:marTop w:val="0"/>
          <w:marBottom w:val="0"/>
          <w:divBdr>
            <w:top w:val="none" w:sz="0" w:space="0" w:color="auto"/>
            <w:left w:val="none" w:sz="0" w:space="0" w:color="auto"/>
            <w:bottom w:val="none" w:sz="0" w:space="0" w:color="auto"/>
            <w:right w:val="none" w:sz="0" w:space="0" w:color="auto"/>
          </w:divBdr>
          <w:divsChild>
            <w:div w:id="313988943">
              <w:marLeft w:val="0"/>
              <w:marRight w:val="0"/>
              <w:marTop w:val="0"/>
              <w:marBottom w:val="0"/>
              <w:divBdr>
                <w:top w:val="none" w:sz="0" w:space="0" w:color="auto"/>
                <w:left w:val="none" w:sz="0" w:space="0" w:color="auto"/>
                <w:bottom w:val="none" w:sz="0" w:space="0" w:color="auto"/>
                <w:right w:val="none" w:sz="0" w:space="0" w:color="auto"/>
              </w:divBdr>
            </w:div>
          </w:divsChild>
        </w:div>
        <w:div w:id="1141264830">
          <w:marLeft w:val="0"/>
          <w:marRight w:val="0"/>
          <w:marTop w:val="0"/>
          <w:marBottom w:val="0"/>
          <w:divBdr>
            <w:top w:val="none" w:sz="0" w:space="0" w:color="auto"/>
            <w:left w:val="none" w:sz="0" w:space="0" w:color="auto"/>
            <w:bottom w:val="none" w:sz="0" w:space="0" w:color="auto"/>
            <w:right w:val="none" w:sz="0" w:space="0" w:color="auto"/>
          </w:divBdr>
          <w:divsChild>
            <w:div w:id="1412388629">
              <w:marLeft w:val="0"/>
              <w:marRight w:val="0"/>
              <w:marTop w:val="0"/>
              <w:marBottom w:val="0"/>
              <w:divBdr>
                <w:top w:val="none" w:sz="0" w:space="0" w:color="auto"/>
                <w:left w:val="none" w:sz="0" w:space="0" w:color="auto"/>
                <w:bottom w:val="none" w:sz="0" w:space="0" w:color="auto"/>
                <w:right w:val="none" w:sz="0" w:space="0" w:color="auto"/>
              </w:divBdr>
            </w:div>
            <w:div w:id="1682395397">
              <w:marLeft w:val="0"/>
              <w:marRight w:val="0"/>
              <w:marTop w:val="0"/>
              <w:marBottom w:val="0"/>
              <w:divBdr>
                <w:top w:val="none" w:sz="0" w:space="0" w:color="auto"/>
                <w:left w:val="none" w:sz="0" w:space="0" w:color="auto"/>
                <w:bottom w:val="none" w:sz="0" w:space="0" w:color="auto"/>
                <w:right w:val="none" w:sz="0" w:space="0" w:color="auto"/>
              </w:divBdr>
            </w:div>
          </w:divsChild>
        </w:div>
        <w:div w:id="1241059563">
          <w:marLeft w:val="0"/>
          <w:marRight w:val="0"/>
          <w:marTop w:val="0"/>
          <w:marBottom w:val="0"/>
          <w:divBdr>
            <w:top w:val="none" w:sz="0" w:space="0" w:color="auto"/>
            <w:left w:val="none" w:sz="0" w:space="0" w:color="auto"/>
            <w:bottom w:val="none" w:sz="0" w:space="0" w:color="auto"/>
            <w:right w:val="none" w:sz="0" w:space="0" w:color="auto"/>
          </w:divBdr>
          <w:divsChild>
            <w:div w:id="569316485">
              <w:marLeft w:val="0"/>
              <w:marRight w:val="0"/>
              <w:marTop w:val="0"/>
              <w:marBottom w:val="0"/>
              <w:divBdr>
                <w:top w:val="none" w:sz="0" w:space="0" w:color="auto"/>
                <w:left w:val="none" w:sz="0" w:space="0" w:color="auto"/>
                <w:bottom w:val="none" w:sz="0" w:space="0" w:color="auto"/>
                <w:right w:val="none" w:sz="0" w:space="0" w:color="auto"/>
              </w:divBdr>
            </w:div>
            <w:div w:id="1349524708">
              <w:marLeft w:val="0"/>
              <w:marRight w:val="0"/>
              <w:marTop w:val="0"/>
              <w:marBottom w:val="0"/>
              <w:divBdr>
                <w:top w:val="none" w:sz="0" w:space="0" w:color="auto"/>
                <w:left w:val="none" w:sz="0" w:space="0" w:color="auto"/>
                <w:bottom w:val="none" w:sz="0" w:space="0" w:color="auto"/>
                <w:right w:val="none" w:sz="0" w:space="0" w:color="auto"/>
              </w:divBdr>
            </w:div>
            <w:div w:id="1412652777">
              <w:marLeft w:val="0"/>
              <w:marRight w:val="0"/>
              <w:marTop w:val="0"/>
              <w:marBottom w:val="0"/>
              <w:divBdr>
                <w:top w:val="none" w:sz="0" w:space="0" w:color="auto"/>
                <w:left w:val="none" w:sz="0" w:space="0" w:color="auto"/>
                <w:bottom w:val="none" w:sz="0" w:space="0" w:color="auto"/>
                <w:right w:val="none" w:sz="0" w:space="0" w:color="auto"/>
              </w:divBdr>
            </w:div>
            <w:div w:id="1919901952">
              <w:marLeft w:val="0"/>
              <w:marRight w:val="0"/>
              <w:marTop w:val="0"/>
              <w:marBottom w:val="0"/>
              <w:divBdr>
                <w:top w:val="none" w:sz="0" w:space="0" w:color="auto"/>
                <w:left w:val="none" w:sz="0" w:space="0" w:color="auto"/>
                <w:bottom w:val="none" w:sz="0" w:space="0" w:color="auto"/>
                <w:right w:val="none" w:sz="0" w:space="0" w:color="auto"/>
              </w:divBdr>
            </w:div>
          </w:divsChild>
        </w:div>
        <w:div w:id="1327242649">
          <w:marLeft w:val="0"/>
          <w:marRight w:val="0"/>
          <w:marTop w:val="0"/>
          <w:marBottom w:val="0"/>
          <w:divBdr>
            <w:top w:val="none" w:sz="0" w:space="0" w:color="auto"/>
            <w:left w:val="none" w:sz="0" w:space="0" w:color="auto"/>
            <w:bottom w:val="none" w:sz="0" w:space="0" w:color="auto"/>
            <w:right w:val="none" w:sz="0" w:space="0" w:color="auto"/>
          </w:divBdr>
          <w:divsChild>
            <w:div w:id="321740382">
              <w:marLeft w:val="0"/>
              <w:marRight w:val="0"/>
              <w:marTop w:val="0"/>
              <w:marBottom w:val="0"/>
              <w:divBdr>
                <w:top w:val="none" w:sz="0" w:space="0" w:color="auto"/>
                <w:left w:val="none" w:sz="0" w:space="0" w:color="auto"/>
                <w:bottom w:val="none" w:sz="0" w:space="0" w:color="auto"/>
                <w:right w:val="none" w:sz="0" w:space="0" w:color="auto"/>
              </w:divBdr>
            </w:div>
          </w:divsChild>
        </w:div>
        <w:div w:id="1514496251">
          <w:marLeft w:val="0"/>
          <w:marRight w:val="0"/>
          <w:marTop w:val="0"/>
          <w:marBottom w:val="0"/>
          <w:divBdr>
            <w:top w:val="none" w:sz="0" w:space="0" w:color="auto"/>
            <w:left w:val="none" w:sz="0" w:space="0" w:color="auto"/>
            <w:bottom w:val="none" w:sz="0" w:space="0" w:color="auto"/>
            <w:right w:val="none" w:sz="0" w:space="0" w:color="auto"/>
          </w:divBdr>
          <w:divsChild>
            <w:div w:id="712193697">
              <w:marLeft w:val="0"/>
              <w:marRight w:val="0"/>
              <w:marTop w:val="0"/>
              <w:marBottom w:val="0"/>
              <w:divBdr>
                <w:top w:val="none" w:sz="0" w:space="0" w:color="auto"/>
                <w:left w:val="none" w:sz="0" w:space="0" w:color="auto"/>
                <w:bottom w:val="none" w:sz="0" w:space="0" w:color="auto"/>
                <w:right w:val="none" w:sz="0" w:space="0" w:color="auto"/>
              </w:divBdr>
            </w:div>
          </w:divsChild>
        </w:div>
        <w:div w:id="1639266161">
          <w:marLeft w:val="0"/>
          <w:marRight w:val="0"/>
          <w:marTop w:val="0"/>
          <w:marBottom w:val="0"/>
          <w:divBdr>
            <w:top w:val="none" w:sz="0" w:space="0" w:color="auto"/>
            <w:left w:val="none" w:sz="0" w:space="0" w:color="auto"/>
            <w:bottom w:val="none" w:sz="0" w:space="0" w:color="auto"/>
            <w:right w:val="none" w:sz="0" w:space="0" w:color="auto"/>
          </w:divBdr>
          <w:divsChild>
            <w:div w:id="946078139">
              <w:marLeft w:val="0"/>
              <w:marRight w:val="0"/>
              <w:marTop w:val="0"/>
              <w:marBottom w:val="0"/>
              <w:divBdr>
                <w:top w:val="none" w:sz="0" w:space="0" w:color="auto"/>
                <w:left w:val="none" w:sz="0" w:space="0" w:color="auto"/>
                <w:bottom w:val="none" w:sz="0" w:space="0" w:color="auto"/>
                <w:right w:val="none" w:sz="0" w:space="0" w:color="auto"/>
              </w:divBdr>
            </w:div>
            <w:div w:id="1392997679">
              <w:marLeft w:val="0"/>
              <w:marRight w:val="0"/>
              <w:marTop w:val="0"/>
              <w:marBottom w:val="0"/>
              <w:divBdr>
                <w:top w:val="none" w:sz="0" w:space="0" w:color="auto"/>
                <w:left w:val="none" w:sz="0" w:space="0" w:color="auto"/>
                <w:bottom w:val="none" w:sz="0" w:space="0" w:color="auto"/>
                <w:right w:val="none" w:sz="0" w:space="0" w:color="auto"/>
              </w:divBdr>
            </w:div>
          </w:divsChild>
        </w:div>
        <w:div w:id="1861552673">
          <w:marLeft w:val="0"/>
          <w:marRight w:val="0"/>
          <w:marTop w:val="0"/>
          <w:marBottom w:val="0"/>
          <w:divBdr>
            <w:top w:val="none" w:sz="0" w:space="0" w:color="auto"/>
            <w:left w:val="none" w:sz="0" w:space="0" w:color="auto"/>
            <w:bottom w:val="none" w:sz="0" w:space="0" w:color="auto"/>
            <w:right w:val="none" w:sz="0" w:space="0" w:color="auto"/>
          </w:divBdr>
          <w:divsChild>
            <w:div w:id="1167012397">
              <w:marLeft w:val="0"/>
              <w:marRight w:val="0"/>
              <w:marTop w:val="0"/>
              <w:marBottom w:val="0"/>
              <w:divBdr>
                <w:top w:val="none" w:sz="0" w:space="0" w:color="auto"/>
                <w:left w:val="none" w:sz="0" w:space="0" w:color="auto"/>
                <w:bottom w:val="none" w:sz="0" w:space="0" w:color="auto"/>
                <w:right w:val="none" w:sz="0" w:space="0" w:color="auto"/>
              </w:divBdr>
            </w:div>
            <w:div w:id="2084446135">
              <w:marLeft w:val="0"/>
              <w:marRight w:val="0"/>
              <w:marTop w:val="0"/>
              <w:marBottom w:val="0"/>
              <w:divBdr>
                <w:top w:val="none" w:sz="0" w:space="0" w:color="auto"/>
                <w:left w:val="none" w:sz="0" w:space="0" w:color="auto"/>
                <w:bottom w:val="none" w:sz="0" w:space="0" w:color="auto"/>
                <w:right w:val="none" w:sz="0" w:space="0" w:color="auto"/>
              </w:divBdr>
            </w:div>
          </w:divsChild>
        </w:div>
        <w:div w:id="1887252263">
          <w:marLeft w:val="0"/>
          <w:marRight w:val="0"/>
          <w:marTop w:val="0"/>
          <w:marBottom w:val="0"/>
          <w:divBdr>
            <w:top w:val="none" w:sz="0" w:space="0" w:color="auto"/>
            <w:left w:val="none" w:sz="0" w:space="0" w:color="auto"/>
            <w:bottom w:val="none" w:sz="0" w:space="0" w:color="auto"/>
            <w:right w:val="none" w:sz="0" w:space="0" w:color="auto"/>
          </w:divBdr>
          <w:divsChild>
            <w:div w:id="106699394">
              <w:marLeft w:val="0"/>
              <w:marRight w:val="0"/>
              <w:marTop w:val="0"/>
              <w:marBottom w:val="0"/>
              <w:divBdr>
                <w:top w:val="none" w:sz="0" w:space="0" w:color="auto"/>
                <w:left w:val="none" w:sz="0" w:space="0" w:color="auto"/>
                <w:bottom w:val="none" w:sz="0" w:space="0" w:color="auto"/>
                <w:right w:val="none" w:sz="0" w:space="0" w:color="auto"/>
              </w:divBdr>
            </w:div>
            <w:div w:id="4453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3854">
      <w:bodyDiv w:val="1"/>
      <w:marLeft w:val="0"/>
      <w:marRight w:val="0"/>
      <w:marTop w:val="0"/>
      <w:marBottom w:val="0"/>
      <w:divBdr>
        <w:top w:val="none" w:sz="0" w:space="0" w:color="auto"/>
        <w:left w:val="none" w:sz="0" w:space="0" w:color="auto"/>
        <w:bottom w:val="none" w:sz="0" w:space="0" w:color="auto"/>
        <w:right w:val="none" w:sz="0" w:space="0" w:color="auto"/>
      </w:divBdr>
    </w:div>
    <w:div w:id="57108577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0621845">
      <w:bodyDiv w:val="1"/>
      <w:marLeft w:val="0"/>
      <w:marRight w:val="0"/>
      <w:marTop w:val="0"/>
      <w:marBottom w:val="0"/>
      <w:divBdr>
        <w:top w:val="none" w:sz="0" w:space="0" w:color="auto"/>
        <w:left w:val="none" w:sz="0" w:space="0" w:color="auto"/>
        <w:bottom w:val="none" w:sz="0" w:space="0" w:color="auto"/>
        <w:right w:val="none" w:sz="0" w:space="0" w:color="auto"/>
      </w:divBdr>
    </w:div>
    <w:div w:id="649821156">
      <w:bodyDiv w:val="1"/>
      <w:marLeft w:val="0"/>
      <w:marRight w:val="0"/>
      <w:marTop w:val="0"/>
      <w:marBottom w:val="0"/>
      <w:divBdr>
        <w:top w:val="none" w:sz="0" w:space="0" w:color="auto"/>
        <w:left w:val="none" w:sz="0" w:space="0" w:color="auto"/>
        <w:bottom w:val="none" w:sz="0" w:space="0" w:color="auto"/>
        <w:right w:val="none" w:sz="0" w:space="0" w:color="auto"/>
      </w:divBdr>
      <w:divsChild>
        <w:div w:id="429162161">
          <w:marLeft w:val="0"/>
          <w:marRight w:val="0"/>
          <w:marTop w:val="0"/>
          <w:marBottom w:val="0"/>
          <w:divBdr>
            <w:top w:val="none" w:sz="0" w:space="0" w:color="auto"/>
            <w:left w:val="none" w:sz="0" w:space="0" w:color="auto"/>
            <w:bottom w:val="none" w:sz="0" w:space="0" w:color="auto"/>
            <w:right w:val="none" w:sz="0" w:space="0" w:color="auto"/>
          </w:divBdr>
        </w:div>
        <w:div w:id="1076824052">
          <w:marLeft w:val="0"/>
          <w:marRight w:val="0"/>
          <w:marTop w:val="0"/>
          <w:marBottom w:val="0"/>
          <w:divBdr>
            <w:top w:val="none" w:sz="0" w:space="0" w:color="auto"/>
            <w:left w:val="none" w:sz="0" w:space="0" w:color="auto"/>
            <w:bottom w:val="none" w:sz="0" w:space="0" w:color="auto"/>
            <w:right w:val="none" w:sz="0" w:space="0" w:color="auto"/>
          </w:divBdr>
        </w:div>
        <w:div w:id="1496336818">
          <w:marLeft w:val="0"/>
          <w:marRight w:val="0"/>
          <w:marTop w:val="0"/>
          <w:marBottom w:val="0"/>
          <w:divBdr>
            <w:top w:val="none" w:sz="0" w:space="0" w:color="auto"/>
            <w:left w:val="none" w:sz="0" w:space="0" w:color="auto"/>
            <w:bottom w:val="none" w:sz="0" w:space="0" w:color="auto"/>
            <w:right w:val="none" w:sz="0" w:space="0" w:color="auto"/>
          </w:divBdr>
        </w:div>
        <w:div w:id="2091268439">
          <w:marLeft w:val="0"/>
          <w:marRight w:val="0"/>
          <w:marTop w:val="0"/>
          <w:marBottom w:val="0"/>
          <w:divBdr>
            <w:top w:val="none" w:sz="0" w:space="0" w:color="auto"/>
            <w:left w:val="none" w:sz="0" w:space="0" w:color="auto"/>
            <w:bottom w:val="none" w:sz="0" w:space="0" w:color="auto"/>
            <w:right w:val="none" w:sz="0" w:space="0" w:color="auto"/>
          </w:divBdr>
        </w:div>
      </w:divsChild>
    </w:div>
    <w:div w:id="71146130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23930603">
      <w:bodyDiv w:val="1"/>
      <w:marLeft w:val="0"/>
      <w:marRight w:val="0"/>
      <w:marTop w:val="0"/>
      <w:marBottom w:val="0"/>
      <w:divBdr>
        <w:top w:val="none" w:sz="0" w:space="0" w:color="auto"/>
        <w:left w:val="none" w:sz="0" w:space="0" w:color="auto"/>
        <w:bottom w:val="none" w:sz="0" w:space="0" w:color="auto"/>
        <w:right w:val="none" w:sz="0" w:space="0" w:color="auto"/>
      </w:divBdr>
      <w:divsChild>
        <w:div w:id="1186554222">
          <w:marLeft w:val="0"/>
          <w:marRight w:val="0"/>
          <w:marTop w:val="0"/>
          <w:marBottom w:val="0"/>
          <w:divBdr>
            <w:top w:val="none" w:sz="0" w:space="0" w:color="auto"/>
            <w:left w:val="none" w:sz="0" w:space="0" w:color="auto"/>
            <w:bottom w:val="none" w:sz="0" w:space="0" w:color="auto"/>
            <w:right w:val="none" w:sz="0" w:space="0" w:color="auto"/>
          </w:divBdr>
        </w:div>
        <w:div w:id="1416586226">
          <w:marLeft w:val="0"/>
          <w:marRight w:val="0"/>
          <w:marTop w:val="0"/>
          <w:marBottom w:val="0"/>
          <w:divBdr>
            <w:top w:val="none" w:sz="0" w:space="0" w:color="auto"/>
            <w:left w:val="none" w:sz="0" w:space="0" w:color="auto"/>
            <w:bottom w:val="none" w:sz="0" w:space="0" w:color="auto"/>
            <w:right w:val="none" w:sz="0" w:space="0" w:color="auto"/>
          </w:divBdr>
        </w:div>
        <w:div w:id="1458331027">
          <w:marLeft w:val="0"/>
          <w:marRight w:val="0"/>
          <w:marTop w:val="0"/>
          <w:marBottom w:val="0"/>
          <w:divBdr>
            <w:top w:val="none" w:sz="0" w:space="0" w:color="auto"/>
            <w:left w:val="none" w:sz="0" w:space="0" w:color="auto"/>
            <w:bottom w:val="none" w:sz="0" w:space="0" w:color="auto"/>
            <w:right w:val="none" w:sz="0" w:space="0" w:color="auto"/>
          </w:divBdr>
        </w:div>
        <w:div w:id="1882401209">
          <w:marLeft w:val="0"/>
          <w:marRight w:val="0"/>
          <w:marTop w:val="0"/>
          <w:marBottom w:val="0"/>
          <w:divBdr>
            <w:top w:val="none" w:sz="0" w:space="0" w:color="auto"/>
            <w:left w:val="none" w:sz="0" w:space="0" w:color="auto"/>
            <w:bottom w:val="none" w:sz="0" w:space="0" w:color="auto"/>
            <w:right w:val="none" w:sz="0" w:space="0" w:color="auto"/>
          </w:divBdr>
        </w:div>
      </w:divsChild>
    </w:div>
    <w:div w:id="1095589834">
      <w:bodyDiv w:val="1"/>
      <w:marLeft w:val="0"/>
      <w:marRight w:val="0"/>
      <w:marTop w:val="0"/>
      <w:marBottom w:val="0"/>
      <w:divBdr>
        <w:top w:val="none" w:sz="0" w:space="0" w:color="auto"/>
        <w:left w:val="none" w:sz="0" w:space="0" w:color="auto"/>
        <w:bottom w:val="none" w:sz="0" w:space="0" w:color="auto"/>
        <w:right w:val="none" w:sz="0" w:space="0" w:color="auto"/>
      </w:divBdr>
      <w:divsChild>
        <w:div w:id="70736487">
          <w:marLeft w:val="0"/>
          <w:marRight w:val="0"/>
          <w:marTop w:val="0"/>
          <w:marBottom w:val="0"/>
          <w:divBdr>
            <w:top w:val="none" w:sz="0" w:space="0" w:color="auto"/>
            <w:left w:val="none" w:sz="0" w:space="0" w:color="auto"/>
            <w:bottom w:val="none" w:sz="0" w:space="0" w:color="auto"/>
            <w:right w:val="none" w:sz="0" w:space="0" w:color="auto"/>
          </w:divBdr>
        </w:div>
        <w:div w:id="198511781">
          <w:marLeft w:val="0"/>
          <w:marRight w:val="0"/>
          <w:marTop w:val="0"/>
          <w:marBottom w:val="0"/>
          <w:divBdr>
            <w:top w:val="none" w:sz="0" w:space="0" w:color="auto"/>
            <w:left w:val="none" w:sz="0" w:space="0" w:color="auto"/>
            <w:bottom w:val="none" w:sz="0" w:space="0" w:color="auto"/>
            <w:right w:val="none" w:sz="0" w:space="0" w:color="auto"/>
          </w:divBdr>
        </w:div>
        <w:div w:id="274794603">
          <w:marLeft w:val="0"/>
          <w:marRight w:val="0"/>
          <w:marTop w:val="0"/>
          <w:marBottom w:val="0"/>
          <w:divBdr>
            <w:top w:val="none" w:sz="0" w:space="0" w:color="auto"/>
            <w:left w:val="none" w:sz="0" w:space="0" w:color="auto"/>
            <w:bottom w:val="none" w:sz="0" w:space="0" w:color="auto"/>
            <w:right w:val="none" w:sz="0" w:space="0" w:color="auto"/>
          </w:divBdr>
        </w:div>
        <w:div w:id="652175459">
          <w:marLeft w:val="0"/>
          <w:marRight w:val="0"/>
          <w:marTop w:val="0"/>
          <w:marBottom w:val="0"/>
          <w:divBdr>
            <w:top w:val="none" w:sz="0" w:space="0" w:color="auto"/>
            <w:left w:val="none" w:sz="0" w:space="0" w:color="auto"/>
            <w:bottom w:val="none" w:sz="0" w:space="0" w:color="auto"/>
            <w:right w:val="none" w:sz="0" w:space="0" w:color="auto"/>
          </w:divBdr>
        </w:div>
        <w:div w:id="1118912448">
          <w:marLeft w:val="0"/>
          <w:marRight w:val="0"/>
          <w:marTop w:val="0"/>
          <w:marBottom w:val="0"/>
          <w:divBdr>
            <w:top w:val="none" w:sz="0" w:space="0" w:color="auto"/>
            <w:left w:val="none" w:sz="0" w:space="0" w:color="auto"/>
            <w:bottom w:val="none" w:sz="0" w:space="0" w:color="auto"/>
            <w:right w:val="none" w:sz="0" w:space="0" w:color="auto"/>
          </w:divBdr>
        </w:div>
        <w:div w:id="1218588578">
          <w:marLeft w:val="0"/>
          <w:marRight w:val="0"/>
          <w:marTop w:val="0"/>
          <w:marBottom w:val="0"/>
          <w:divBdr>
            <w:top w:val="none" w:sz="0" w:space="0" w:color="auto"/>
            <w:left w:val="none" w:sz="0" w:space="0" w:color="auto"/>
            <w:bottom w:val="none" w:sz="0" w:space="0" w:color="auto"/>
            <w:right w:val="none" w:sz="0" w:space="0" w:color="auto"/>
          </w:divBdr>
        </w:div>
        <w:div w:id="1826701824">
          <w:marLeft w:val="0"/>
          <w:marRight w:val="0"/>
          <w:marTop w:val="0"/>
          <w:marBottom w:val="0"/>
          <w:divBdr>
            <w:top w:val="none" w:sz="0" w:space="0" w:color="auto"/>
            <w:left w:val="none" w:sz="0" w:space="0" w:color="auto"/>
            <w:bottom w:val="none" w:sz="0" w:space="0" w:color="auto"/>
            <w:right w:val="none" w:sz="0" w:space="0" w:color="auto"/>
          </w:divBdr>
        </w:div>
      </w:divsChild>
    </w:div>
    <w:div w:id="120344447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1006643">
      <w:bodyDiv w:val="1"/>
      <w:marLeft w:val="0"/>
      <w:marRight w:val="0"/>
      <w:marTop w:val="0"/>
      <w:marBottom w:val="0"/>
      <w:divBdr>
        <w:top w:val="none" w:sz="0" w:space="0" w:color="auto"/>
        <w:left w:val="none" w:sz="0" w:space="0" w:color="auto"/>
        <w:bottom w:val="none" w:sz="0" w:space="0" w:color="auto"/>
        <w:right w:val="none" w:sz="0" w:space="0" w:color="auto"/>
      </w:divBdr>
    </w:div>
    <w:div w:id="1404140520">
      <w:bodyDiv w:val="1"/>
      <w:marLeft w:val="0"/>
      <w:marRight w:val="0"/>
      <w:marTop w:val="0"/>
      <w:marBottom w:val="0"/>
      <w:divBdr>
        <w:top w:val="none" w:sz="0" w:space="0" w:color="auto"/>
        <w:left w:val="none" w:sz="0" w:space="0" w:color="auto"/>
        <w:bottom w:val="none" w:sz="0" w:space="0" w:color="auto"/>
        <w:right w:val="none" w:sz="0" w:space="0" w:color="auto"/>
      </w:divBdr>
      <w:divsChild>
        <w:div w:id="204292426">
          <w:marLeft w:val="0"/>
          <w:marRight w:val="0"/>
          <w:marTop w:val="0"/>
          <w:marBottom w:val="0"/>
          <w:divBdr>
            <w:top w:val="none" w:sz="0" w:space="0" w:color="auto"/>
            <w:left w:val="none" w:sz="0" w:space="0" w:color="auto"/>
            <w:bottom w:val="none" w:sz="0" w:space="0" w:color="auto"/>
            <w:right w:val="none" w:sz="0" w:space="0" w:color="auto"/>
          </w:divBdr>
        </w:div>
        <w:div w:id="252905198">
          <w:marLeft w:val="0"/>
          <w:marRight w:val="0"/>
          <w:marTop w:val="0"/>
          <w:marBottom w:val="0"/>
          <w:divBdr>
            <w:top w:val="none" w:sz="0" w:space="0" w:color="auto"/>
            <w:left w:val="none" w:sz="0" w:space="0" w:color="auto"/>
            <w:bottom w:val="none" w:sz="0" w:space="0" w:color="auto"/>
            <w:right w:val="none" w:sz="0" w:space="0" w:color="auto"/>
          </w:divBdr>
        </w:div>
        <w:div w:id="478423667">
          <w:marLeft w:val="0"/>
          <w:marRight w:val="0"/>
          <w:marTop w:val="0"/>
          <w:marBottom w:val="0"/>
          <w:divBdr>
            <w:top w:val="none" w:sz="0" w:space="0" w:color="auto"/>
            <w:left w:val="none" w:sz="0" w:space="0" w:color="auto"/>
            <w:bottom w:val="none" w:sz="0" w:space="0" w:color="auto"/>
            <w:right w:val="none" w:sz="0" w:space="0" w:color="auto"/>
          </w:divBdr>
        </w:div>
        <w:div w:id="694505258">
          <w:marLeft w:val="0"/>
          <w:marRight w:val="0"/>
          <w:marTop w:val="0"/>
          <w:marBottom w:val="0"/>
          <w:divBdr>
            <w:top w:val="none" w:sz="0" w:space="0" w:color="auto"/>
            <w:left w:val="none" w:sz="0" w:space="0" w:color="auto"/>
            <w:bottom w:val="none" w:sz="0" w:space="0" w:color="auto"/>
            <w:right w:val="none" w:sz="0" w:space="0" w:color="auto"/>
          </w:divBdr>
        </w:div>
        <w:div w:id="1704401308">
          <w:marLeft w:val="0"/>
          <w:marRight w:val="0"/>
          <w:marTop w:val="0"/>
          <w:marBottom w:val="0"/>
          <w:divBdr>
            <w:top w:val="none" w:sz="0" w:space="0" w:color="auto"/>
            <w:left w:val="none" w:sz="0" w:space="0" w:color="auto"/>
            <w:bottom w:val="none" w:sz="0" w:space="0" w:color="auto"/>
            <w:right w:val="none" w:sz="0" w:space="0" w:color="auto"/>
          </w:divBdr>
        </w:div>
        <w:div w:id="1767073732">
          <w:marLeft w:val="0"/>
          <w:marRight w:val="0"/>
          <w:marTop w:val="0"/>
          <w:marBottom w:val="0"/>
          <w:divBdr>
            <w:top w:val="none" w:sz="0" w:space="0" w:color="auto"/>
            <w:left w:val="none" w:sz="0" w:space="0" w:color="auto"/>
            <w:bottom w:val="none" w:sz="0" w:space="0" w:color="auto"/>
            <w:right w:val="none" w:sz="0" w:space="0" w:color="auto"/>
          </w:divBdr>
        </w:div>
        <w:div w:id="2052220179">
          <w:marLeft w:val="0"/>
          <w:marRight w:val="0"/>
          <w:marTop w:val="0"/>
          <w:marBottom w:val="0"/>
          <w:divBdr>
            <w:top w:val="none" w:sz="0" w:space="0" w:color="auto"/>
            <w:left w:val="none" w:sz="0" w:space="0" w:color="auto"/>
            <w:bottom w:val="none" w:sz="0" w:space="0" w:color="auto"/>
            <w:right w:val="none" w:sz="0" w:space="0" w:color="auto"/>
          </w:divBdr>
        </w:div>
      </w:divsChild>
    </w:div>
    <w:div w:id="1594045438">
      <w:bodyDiv w:val="1"/>
      <w:marLeft w:val="0"/>
      <w:marRight w:val="0"/>
      <w:marTop w:val="0"/>
      <w:marBottom w:val="0"/>
      <w:divBdr>
        <w:top w:val="none" w:sz="0" w:space="0" w:color="auto"/>
        <w:left w:val="none" w:sz="0" w:space="0" w:color="auto"/>
        <w:bottom w:val="none" w:sz="0" w:space="0" w:color="auto"/>
        <w:right w:val="none" w:sz="0" w:space="0" w:color="auto"/>
      </w:divBdr>
      <w:divsChild>
        <w:div w:id="950938339">
          <w:marLeft w:val="0"/>
          <w:marRight w:val="0"/>
          <w:marTop w:val="0"/>
          <w:marBottom w:val="0"/>
          <w:divBdr>
            <w:top w:val="none" w:sz="0" w:space="0" w:color="auto"/>
            <w:left w:val="none" w:sz="0" w:space="0" w:color="auto"/>
            <w:bottom w:val="none" w:sz="0" w:space="0" w:color="auto"/>
            <w:right w:val="none" w:sz="0" w:space="0" w:color="auto"/>
          </w:divBdr>
        </w:div>
        <w:div w:id="1227180366">
          <w:marLeft w:val="0"/>
          <w:marRight w:val="0"/>
          <w:marTop w:val="0"/>
          <w:marBottom w:val="0"/>
          <w:divBdr>
            <w:top w:val="none" w:sz="0" w:space="0" w:color="auto"/>
            <w:left w:val="none" w:sz="0" w:space="0" w:color="auto"/>
            <w:bottom w:val="none" w:sz="0" w:space="0" w:color="auto"/>
            <w:right w:val="none" w:sz="0" w:space="0" w:color="auto"/>
          </w:divBdr>
        </w:div>
      </w:divsChild>
    </w:div>
    <w:div w:id="1853301656">
      <w:bodyDiv w:val="1"/>
      <w:marLeft w:val="0"/>
      <w:marRight w:val="0"/>
      <w:marTop w:val="0"/>
      <w:marBottom w:val="0"/>
      <w:divBdr>
        <w:top w:val="none" w:sz="0" w:space="0" w:color="auto"/>
        <w:left w:val="none" w:sz="0" w:space="0" w:color="auto"/>
        <w:bottom w:val="none" w:sz="0" w:space="0" w:color="auto"/>
        <w:right w:val="none" w:sz="0" w:space="0" w:color="auto"/>
      </w:divBdr>
      <w:divsChild>
        <w:div w:id="567031991">
          <w:marLeft w:val="0"/>
          <w:marRight w:val="0"/>
          <w:marTop w:val="0"/>
          <w:marBottom w:val="0"/>
          <w:divBdr>
            <w:top w:val="none" w:sz="0" w:space="0" w:color="auto"/>
            <w:left w:val="none" w:sz="0" w:space="0" w:color="auto"/>
            <w:bottom w:val="none" w:sz="0" w:space="0" w:color="auto"/>
            <w:right w:val="none" w:sz="0" w:space="0" w:color="auto"/>
          </w:divBdr>
        </w:div>
        <w:div w:id="1804418395">
          <w:marLeft w:val="0"/>
          <w:marRight w:val="0"/>
          <w:marTop w:val="0"/>
          <w:marBottom w:val="0"/>
          <w:divBdr>
            <w:top w:val="none" w:sz="0" w:space="0" w:color="auto"/>
            <w:left w:val="none" w:sz="0" w:space="0" w:color="auto"/>
            <w:bottom w:val="none" w:sz="0" w:space="0" w:color="auto"/>
            <w:right w:val="none" w:sz="0" w:space="0" w:color="auto"/>
          </w:divBdr>
        </w:div>
      </w:divsChild>
    </w:div>
    <w:div w:id="1874686531">
      <w:bodyDiv w:val="1"/>
      <w:marLeft w:val="0"/>
      <w:marRight w:val="0"/>
      <w:marTop w:val="0"/>
      <w:marBottom w:val="0"/>
      <w:divBdr>
        <w:top w:val="none" w:sz="0" w:space="0" w:color="auto"/>
        <w:left w:val="none" w:sz="0" w:space="0" w:color="auto"/>
        <w:bottom w:val="none" w:sz="0" w:space="0" w:color="auto"/>
        <w:right w:val="none" w:sz="0" w:space="0" w:color="auto"/>
      </w:divBdr>
    </w:div>
    <w:div w:id="19221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reativecommons.org/licenses/by/4.0/legalcod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opyright@health.gov.au"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cid:image001.png@01D10CF0.2ACF2D40" TargetMode="External"/><Relationship Id="rId25" Type="http://schemas.openxmlformats.org/officeDocument/2006/relationships/header" Target="header5.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pmc.gov.au/resource-centre/government/commonwealth-coat-arms-information-and-guidelin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mc.gov.au/resources/commonwealth-coat-arms-information-and-guideline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footer" Target="footer4.xml"/><Relationship Id="rId30" Type="http://schemas.openxmlformats.org/officeDocument/2006/relationships/hyperlink" Target="https://www.health.gov.au/resources/publications/primary-health-networks-phn-program-logic?language=en"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93f1bed3-6df5-40b7-a439-101d047763f3" xsi:nil="true"/>
    <ga63d90a970647d48ff3b0b17ccacfdb xmlns="93f1bed3-6df5-40b7-a439-101d047763f3">
      <Terms xmlns="http://schemas.microsoft.com/office/infopath/2007/PartnerControls">
        <TermInfo xmlns="http://schemas.microsoft.com/office/infopath/2007/PartnerControls">
          <TermName xmlns="http://schemas.microsoft.com/office/infopath/2007/PartnerControls">Primary Health Networks Branch</TermName>
          <TermId xmlns="http://schemas.microsoft.com/office/infopath/2007/PartnerControls">bd24f1ea-50d5-44e0-a7e6-d904956990c2</TermId>
        </TermInfo>
      </Terms>
    </ga63d90a970647d48ff3b0b17ccacfdb>
    <URL xmlns="http://schemas.microsoft.com/sharepoint/v3">
      <Url xsi:nil="true"/>
      <Description xsi:nil="true"/>
    </URL>
    <lcf76f155ced4ddcb4097134ff3c332f xmlns="93f1bed3-6df5-40b7-a439-101d047763f3">
      <Terms xmlns="http://schemas.microsoft.com/office/infopath/2007/PartnerControls"/>
    </lcf76f155ced4ddcb4097134ff3c332f>
    <TaxCatchAll xmlns="d8047f56-74c4-40b6-938d-8dadd393d03a">
      <Value>4</Value>
    </TaxCatchAll>
    <Edit_x0020_Properties xmlns="93f1bed3-6df5-40b7-a439-101d047763f3" xsi:nil="true"/>
    <Folder_x0020_number xmlns="93f1bed3-6df5-40b7-a439-101d047763f3" xsi:nil="true"/>
    <TRIMReference xmlns="93f1bed3-6df5-40b7-a439-101d047763f3" xsi:nil="true"/>
  </documentManagement>
</p:properties>
</file>

<file path=customXml/item3.xml><?xml version="1.0" encoding="utf-8"?>
<b:Sources xmlns:b="http://schemas.openxmlformats.org/officeDocument/2006/bibliography" xmlns="http://schemas.openxmlformats.org/officeDocument/2006/bibliography" SelectedStyle="\APA.XSL" StyleName="APA">
  <b:Source>
    <b:Tag>Bus19</b:Tag>
    <b:SourceType>BookSection</b:SourceType>
    <b:Guid>{5C624856-3015-4D72-B0A8-AC3E0F928791}</b:Guid>
    <b:Title>Improving healthcare quality in Europe: Characteristics, effectiveness and implementation of different strategies</b:Title>
    <b:Year>2019</b:Year>
    <b:Publisher>World Health Organisation</b:Publisher>
    <b:City>Copenhagen</b:City>
    <b:Author>
      <b:Author>
        <b:NameList>
          <b:Person>
            <b:Last>Busse</b:Last>
            <b:First>Reinhard</b:First>
          </b:Person>
          <b:Person>
            <b:Last>Quentin</b:Last>
            <b:First>Wilm</b:First>
          </b:Person>
          <b:Person>
            <b:Last>Panteli</b:Last>
            <b:First>Dimitra</b:First>
          </b:Person>
        </b:NameList>
      </b:Author>
      <b:Editor>
        <b:NameList>
          <b:Person>
            <b:Last>Busse</b:Last>
            <b:First>Reinhard</b:First>
          </b:Person>
          <b:Person>
            <b:Last>Klazinga</b:Last>
            <b:First>Niek</b:First>
          </b:Person>
          <b:Person>
            <b:Last>Panteli</b:Last>
            <b:First>Dimitra</b:First>
          </b:Person>
          <b:Person>
            <b:Last>Quentin</b:Last>
            <b:First>Wilm</b:First>
          </b:Person>
        </b:NameList>
      </b:Editor>
    </b:Author>
    <b:BookTitle>Improving healthcare quality in Europe</b:BookTitle>
    <b:ChapterNumber>1</b:ChapterNumber>
    <b:YearAccessed>2024</b:YearAccessed>
    <b:MonthAccessed>June</b:MonthAccessed>
    <b:DayAccessed>28</b:DayAccessed>
    <b:URL>https://www.ncbi.nlm.nih.gov/books/NBK549276/</b:URL>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BDF69331AB097B4F9061B5248E81C8D2" ma:contentTypeVersion="54" ma:contentTypeDescription="Create a new document." ma:contentTypeScope="" ma:versionID="6b9f11796eab69746c28551b7056f72f">
  <xsd:schema xmlns:xsd="http://www.w3.org/2001/XMLSchema" xmlns:xs="http://www.w3.org/2001/XMLSchema" xmlns:p="http://schemas.microsoft.com/office/2006/metadata/properties" xmlns:ns1="http://schemas.microsoft.com/sharepoint/v3" xmlns:ns2="93f1bed3-6df5-40b7-a439-101d047763f3" xmlns:ns3="d8047f56-74c4-40b6-938d-8dadd393d03a" targetNamespace="http://schemas.microsoft.com/office/2006/metadata/properties" ma:root="true" ma:fieldsID="584f5114a349b7ade621b2af9f84c3c9" ns1:_="" ns2:_="" ns3:_="">
    <xsd:import namespace="http://schemas.microsoft.com/sharepoint/v3"/>
    <xsd:import namespace="93f1bed3-6df5-40b7-a439-101d047763f3"/>
    <xsd:import namespace="d8047f56-74c4-40b6-938d-8dadd393d03a"/>
    <xsd:element name="properties">
      <xsd:complexType>
        <xsd:sequence>
          <xsd:element name="documentManagement">
            <xsd:complexType>
              <xsd:all>
                <xsd:element ref="ns2:Topic" minOccurs="0"/>
                <xsd:element ref="ns2:TRIMReferenc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1:URL" minOccurs="0"/>
                <xsd:element ref="ns2:ga63d90a970647d48ff3b0b17ccacfdb" minOccurs="0"/>
                <xsd:element ref="ns3:TaxCatchAll" minOccurs="0"/>
                <xsd:element ref="ns2:Edit_x0020_Properties" minOccurs="0"/>
                <xsd:element ref="ns2:Folder_x0020_number"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3"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1bed3-6df5-40b7-a439-101d047763f3" elementFormDefault="qualified">
    <xsd:import namespace="http://schemas.microsoft.com/office/2006/documentManagement/types"/>
    <xsd:import namespace="http://schemas.microsoft.com/office/infopath/2007/PartnerControls"/>
    <xsd:element name="Topic" ma:index="1" nillable="true" ma:displayName="Topic" ma:format="Dropdown" ma:indexed="true" ma:internalName="Topic">
      <xsd:simpleType>
        <xsd:restriction base="dms:Choice">
          <xsd:enumeration value="Templates"/>
          <xsd:enumeration value="Admin"/>
          <xsd:enumeration value="Planning"/>
          <xsd:enumeration value="Training"/>
          <xsd:enumeration value="Policy"/>
          <xsd:enumeration value="Guidelines"/>
          <xsd:enumeration value="Procedures"/>
          <xsd:enumeration value="Operational"/>
          <xsd:enumeration value="Briefs/Reports"/>
          <xsd:enumeration value="Minutes/Agendas"/>
          <xsd:enumeration value="Section folder"/>
          <xsd:enumeration value="Archived section folder"/>
        </xsd:restriction>
      </xsd:simpleType>
    </xsd:element>
    <xsd:element name="TRIMReference" ma:index="2" nillable="true" ma:displayName="TRIM Reference" ma:format="Dropdown" ma:internalName="TRIM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ga63d90a970647d48ff3b0b17ccacfdb" ma:index="17" nillable="true" ma:taxonomy="true" ma:internalName="ga63d90a970647d48ff3b0b17ccacfdb" ma:taxonomyFieldName="Host_x0020_Area" ma:displayName="Division/Branch/Section" ma:readOnly="false" ma:default="" ma:fieldId="{0a63d90a-9706-47d4-8ff3-b0b17ccacfdb}" ma:sspId="89927c38-8944-418e-ac9b-4d6e75543028" ma:termSetId="de9dcaa7-cbd4-446d-ac5a-a3b1b31284e7" ma:anchorId="00000000-0000-0000-0000-000000000000" ma:open="false" ma:isKeyword="false">
      <xsd:complexType>
        <xsd:sequence>
          <xsd:element ref="pc:Terms" minOccurs="0" maxOccurs="1"/>
        </xsd:sequence>
      </xsd:complexType>
    </xsd:element>
    <xsd:element name="Edit_x0020_Properties" ma:index="20" nillable="true" ma:displayName="Edit Properties" ma:hidden="true" ma:internalName="Edit_x0020_Properties" ma:readOnly="false">
      <xsd:simpleType>
        <xsd:restriction base="dms:Text">
          <xsd:maxLength value="255"/>
        </xsd:restriction>
      </xsd:simpleType>
    </xsd:element>
    <xsd:element name="Folder_x0020_number" ma:index="21" nillable="true" ma:displayName="Folder number" ma:indexed="true" ma:internalName="Folder_x0020_number">
      <xsd:simpleType>
        <xsd:restriction base="dms:Number"/>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47f56-74c4-40b6-938d-8dadd393d03a"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c55dee22-3f7a-4770-9dab-a58811b97ba0}" ma:internalName="TaxCatchAll" ma:readOnly="false" ma:showField="CatchAllData" ma:web="d8047f56-74c4-40b6-938d-8dadd393d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BC485-04FB-4A5D-AC3B-C724DE9CD359}">
  <ds:schemaRefs>
    <ds:schemaRef ds:uri="http://schemas.microsoft.com/sharepoint/v3/contenttype/forms"/>
  </ds:schemaRefs>
</ds:datastoreItem>
</file>

<file path=customXml/itemProps2.xml><?xml version="1.0" encoding="utf-8"?>
<ds:datastoreItem xmlns:ds="http://schemas.openxmlformats.org/officeDocument/2006/customXml" ds:itemID="{99B18D21-785C-4888-B867-84017003312C}">
  <ds:schemaRefs>
    <ds:schemaRef ds:uri="http://schemas.microsoft.com/office/2006/metadata/properties"/>
    <ds:schemaRef ds:uri="http://schemas.microsoft.com/office/infopath/2007/PartnerControls"/>
    <ds:schemaRef ds:uri="93f1bed3-6df5-40b7-a439-101d047763f3"/>
    <ds:schemaRef ds:uri="http://schemas.microsoft.com/sharepoint/v3"/>
    <ds:schemaRef ds:uri="d8047f56-74c4-40b6-938d-8dadd393d03a"/>
  </ds:schemaRefs>
</ds:datastoreItem>
</file>

<file path=customXml/itemProps3.xml><?xml version="1.0" encoding="utf-8"?>
<ds:datastoreItem xmlns:ds="http://schemas.openxmlformats.org/officeDocument/2006/customXml" ds:itemID="{A177EC95-3FA6-4469-8C25-4623A456BCB1}">
  <ds:schemaRefs>
    <ds:schemaRef ds:uri="http://schemas.openxmlformats.org/officeDocument/2006/bibliography"/>
  </ds:schemaRefs>
</ds:datastoreItem>
</file>

<file path=customXml/itemProps4.xml><?xml version="1.0" encoding="utf-8"?>
<ds:datastoreItem xmlns:ds="http://schemas.openxmlformats.org/officeDocument/2006/customXml" ds:itemID="{B7EDC424-3573-4076-83FD-1F5AC92C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1bed3-6df5-40b7-a439-101d047763f3"/>
    <ds:schemaRef ds:uri="d8047f56-74c4-40b6-938d-8dadd393d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4900</Words>
  <Characters>29554</Characters>
  <Application>Microsoft Office Word</Application>
  <DocSecurity>0</DocSecurity>
  <Lines>844</Lines>
  <Paragraphs>478</Paragraphs>
  <ScaleCrop>false</ScaleCrop>
  <HeadingPairs>
    <vt:vector size="2" baseType="variant">
      <vt:variant>
        <vt:lpstr>Title</vt:lpstr>
      </vt:variant>
      <vt:variant>
        <vt:i4>1</vt:i4>
      </vt:variant>
    </vt:vector>
  </HeadingPairs>
  <TitlesOfParts>
    <vt:vector size="1" baseType="lpstr">
      <vt:lpstr>PHN Program Performance Measurement and Reporting Framework 2025 - Part B Indicator Specifications</vt:lpstr>
    </vt:vector>
  </TitlesOfParts>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PHN Program Performance Measurement and Reporting Framework 2025 - Part A Background</dc:title>
  <dc:subject/>
  <dc:creator>Department of Health, Disability and Ageing</dc:creator>
  <cp:keywords/>
  <cp:lastPrinted>2025-12-16T03:36:00Z</cp:lastPrinted>
  <dcterms:created xsi:type="dcterms:W3CDTF">2025-12-10T03:30:00Z</dcterms:created>
  <dcterms:modified xsi:type="dcterms:W3CDTF">2025-12-16T03:36:00Z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Section">
    <vt:lpwstr>5;#PCPD CC Corporate Communication SN|73cff0d0-7b20-43e0-ad96-75a3b55de641</vt:lpwstr>
  </property>
  <property fmtid="{D5CDD505-2E9C-101B-9397-08002B2CF9AE}" pid="4" name="ClassificationContentMarkingFooterText">
    <vt:lpwstr>OFFICIAL</vt:lpwstr>
  </property>
  <property fmtid="{D5CDD505-2E9C-101B-9397-08002B2CF9AE}" pid="5" name="Project">
    <vt:lpwstr>170;#Style Guide|fae42d66-6622-4466-b060-a03a1a4f59f8</vt:lpwstr>
  </property>
  <property fmtid="{D5CDD505-2E9C-101B-9397-08002B2CF9AE}" pid="6" name="MSIP_Label_7cd3e8b9-ffed-43a8-b7f4-cc2fa0382d36_Method">
    <vt:lpwstr>Privileged</vt:lpwstr>
  </property>
  <property fmtid="{D5CDD505-2E9C-101B-9397-08002B2CF9AE}" pid="7" name="MSIP_Label_7cd3e8b9-ffed-43a8-b7f4-cc2fa0382d36_Tag">
    <vt:lpwstr>10, 0, 1, 2</vt:lpwstr>
  </property>
  <property fmtid="{D5CDD505-2E9C-101B-9397-08002B2CF9AE}" pid="8" name="ClassificationContentMarkingHeaderText">
    <vt:lpwstr>OFFICIAL</vt:lpwstr>
  </property>
  <property fmtid="{D5CDD505-2E9C-101B-9397-08002B2CF9AE}" pid="9" name="MSIP_Label_7cd3e8b9-ffed-43a8-b7f4-cc2fa0382d36_ActionId">
    <vt:lpwstr>259f59db-3027-41bf-ab45-fbd6c3e7f5b5</vt:lpwstr>
  </property>
  <property fmtid="{D5CDD505-2E9C-101B-9397-08002B2CF9AE}" pid="10" name="MediaServiceImageTags">
    <vt:lpwstr/>
  </property>
  <property fmtid="{D5CDD505-2E9C-101B-9397-08002B2CF9AE}" pid="11" name="Host_x0020_Area">
    <vt:lpwstr>4;#Primary Health Networks Branch|bd24f1ea-50d5-44e0-a7e6-d904956990c2</vt:lpwstr>
  </property>
  <property fmtid="{D5CDD505-2E9C-101B-9397-08002B2CF9AE}" pid="12" name="ContentTypeId">
    <vt:lpwstr>0x010100BDF69331AB097B4F9061B5248E81C8D2</vt:lpwstr>
  </property>
  <property fmtid="{D5CDD505-2E9C-101B-9397-08002B2CF9AE}" pid="13" name="p76df81b8fed4a2fa2af18761f9ff90d">
    <vt:lpwstr>Visual identity|a54ebda2-a0fd-45ec-8fc0-1cf31001b526; Publication|ceddc8ea-8859-47b3-b823-3ba7a7ee3d12</vt:lpwstr>
  </property>
  <property fmtid="{D5CDD505-2E9C-101B-9397-08002B2CF9AE}" pid="14" name="Int-Contact">
    <vt:lpwstr>89;#|08e901f7-7c65-407e-b680-5c7872e4b1fa</vt:lpwstr>
  </property>
  <property fmtid="{D5CDD505-2E9C-101B-9397-08002B2CF9AE}" pid="15" name="ClassificationContentMarkingHeaderFontProps">
    <vt:lpwstr>#ff0000,12,Aptos</vt:lpwstr>
  </property>
  <property fmtid="{D5CDD505-2E9C-101B-9397-08002B2CF9AE}" pid="16" name="Intranet">
    <vt:bool>true</vt:bool>
  </property>
  <property fmtid="{D5CDD505-2E9C-101B-9397-08002B2CF9AE}" pid="17" name="Int-InformationType">
    <vt:lpwstr>42;#|0635ea83-9a41-497c-9b11-d9d7178dcab7</vt:lpwstr>
  </property>
  <property fmtid="{D5CDD505-2E9C-101B-9397-08002B2CF9AE}" pid="18" name="Last reviewed">
    <vt:filetime>2023-05-10T14:00:00Z</vt:filetime>
  </property>
  <property fmtid="{D5CDD505-2E9C-101B-9397-08002B2CF9AE}" pid="19" name="MSIP_Label_7cd3e8b9-ffed-43a8-b7f4-cc2fa0382d36_ContentBits">
    <vt:lpwstr>3</vt:lpwstr>
  </property>
  <property fmtid="{D5CDD505-2E9C-101B-9397-08002B2CF9AE}" pid="20" name="jf042baad2b143719d8a0cfd36411dfb">
    <vt:lpwstr>designteam@health.gov.au|08e901f7-7c65-407e-b680-5c7872e4b1fa</vt:lpwstr>
  </property>
  <property fmtid="{D5CDD505-2E9C-101B-9397-08002B2CF9AE}" pid="21" name="MSIP_Label_7cd3e8b9-ffed-43a8-b7f4-cc2fa0382d36_Name">
    <vt:lpwstr>O</vt:lpwstr>
  </property>
  <property fmtid="{D5CDD505-2E9C-101B-9397-08002B2CF9AE}" pid="22" name="Information type">
    <vt:lpwstr>42;#Template|0635ea83-9a41-497c-9b11-d9d7178dcab7</vt:lpwstr>
  </property>
  <property fmtid="{D5CDD505-2E9C-101B-9397-08002B2CF9AE}" pid="23" name="Int-Topics">
    <vt:lpwstr>4;#visual identity|a54ebda2-a0fd-45ec-8fc0-1cf31001b526</vt:lpwstr>
  </property>
  <property fmtid="{D5CDD505-2E9C-101B-9397-08002B2CF9AE}" pid="24" name="File Structure">
    <vt:lpwstr>169;#Style Guide|aa9bcad4-d3b7-4fe1-b475-a8e6573a6ad1</vt:lpwstr>
  </property>
  <property fmtid="{D5CDD505-2E9C-101B-9397-08002B2CF9AE}" pid="25" name="ClassificationContentMarkingFooterShapeIds">
    <vt:lpwstr>199beb3a,72659c8a,6c05cfa8,1d7df52d,776a8473,42340ad2,3b255fe</vt:lpwstr>
  </property>
  <property fmtid="{D5CDD505-2E9C-101B-9397-08002B2CF9AE}" pid="26" name="MSIP_Label_7cd3e8b9-ffed-43a8-b7f4-cc2fa0382d36_Enabled">
    <vt:lpwstr>true</vt:lpwstr>
  </property>
  <property fmtid="{D5CDD505-2E9C-101B-9397-08002B2CF9AE}" pid="27" name="ClassificationContentMarkingHeaderShapeIds">
    <vt:lpwstr>77468989,4cca894d,6dd67c97,6c92dd3b,707ff5f,75605ba7,5f742b78</vt:lpwstr>
  </property>
  <property fmtid="{D5CDD505-2E9C-101B-9397-08002B2CF9AE}" pid="28" name="Host Area">
    <vt:lpwstr>4;#Primary Health Networks Branch|bd24f1ea-50d5-44e0-a7e6-d904956990c2</vt:lpwstr>
  </property>
  <property fmtid="{D5CDD505-2E9C-101B-9397-08002B2CF9AE}" pid="29" name="ClassificationContentMarkingFooterFontProps">
    <vt:lpwstr>#ff0000,12,Aptos</vt:lpwstr>
  </property>
  <property fmtid="{D5CDD505-2E9C-101B-9397-08002B2CF9AE}" pid="30" name="MSIP_Label_7cd3e8b9-ffed-43a8-b7f4-cc2fa0382d36_SetDate">
    <vt:lpwstr>2025-08-11T04:03:55Z</vt:lpwstr>
  </property>
  <property fmtid="{D5CDD505-2E9C-101B-9397-08002B2CF9AE}" pid="31" name="_dlc_DocIdItemGuid">
    <vt:lpwstr>a426ee89-c542-4001-9568-42ab871bcd38</vt:lpwstr>
  </property>
  <property fmtid="{D5CDD505-2E9C-101B-9397-08002B2CF9AE}" pid="32" name="pfd27f99efda4409b63228bea026394d">
    <vt:lpwstr>Template|0635ea83-9a41-497c-9b11-d9d7178dcab7</vt:lpwstr>
  </property>
  <property fmtid="{D5CDD505-2E9C-101B-9397-08002B2CF9AE}" pid="33" name="cb2019c76ecc464c80d551fda75bd74e">
    <vt:lpwstr>PCPD CC Corporate Communication SN|73cff0d0-7b20-43e0-ad96-75a3b55de641</vt:lpwstr>
  </property>
  <property fmtid="{D5CDD505-2E9C-101B-9397-08002B2CF9AE}" pid="34" name="Keywords1">
    <vt:lpwstr>4;#Visual identity|a54ebda2-a0fd-45ec-8fc0-1cf31001b526;#4;# Publication|ceddc8ea-8859-47b3-b823-3ba7a7ee3d12</vt:lpwstr>
  </property>
  <property fmtid="{D5CDD505-2E9C-101B-9397-08002B2CF9AE}" pid="35" name="Contact">
    <vt:lpwstr>89;#designteam@health.gov.au|08e901f7-7c65-407e-b680-5c7872e4b1fa</vt:lpwstr>
  </property>
</Properties>
</file>