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0244648"/>
    <w:p w14:paraId="041207B1" w14:textId="538D60A1" w:rsidR="00A57B47" w:rsidRPr="006448DF" w:rsidRDefault="00A57B47" w:rsidP="00A57B47">
      <w:pPr>
        <w:pStyle w:val="Title"/>
        <w:tabs>
          <w:tab w:val="center" w:pos="4535"/>
        </w:tabs>
        <w:rPr>
          <w:b w:val="0"/>
        </w:rPr>
        <w:sectPr w:rsidR="00A57B47" w:rsidRPr="006448DF" w:rsidSect="00A57B47">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709" w:footer="709" w:gutter="0"/>
          <w:cols w:space="708"/>
          <w:titlePg/>
          <w:docGrid w:linePitch="360"/>
        </w:sectPr>
      </w:pPr>
      <w:r w:rsidRPr="006448DF">
        <w:rPr>
          <w:noProof/>
        </w:rPr>
        <mc:AlternateContent>
          <mc:Choice Requires="wps">
            <w:drawing>
              <wp:anchor distT="0" distB="0" distL="114300" distR="114300" simplePos="0" relativeHeight="251658240" behindDoc="0" locked="0" layoutInCell="1" allowOverlap="1" wp14:anchorId="3483E7F7" wp14:editId="4366BF34">
                <wp:simplePos x="0" y="0"/>
                <wp:positionH relativeFrom="column">
                  <wp:posOffset>-296545</wp:posOffset>
                </wp:positionH>
                <wp:positionV relativeFrom="paragraph">
                  <wp:posOffset>6843967</wp:posOffset>
                </wp:positionV>
                <wp:extent cx="6205928" cy="2085975"/>
                <wp:effectExtent l="0" t="0" r="0" b="0"/>
                <wp:wrapNone/>
                <wp:docPr id="463541598" name="Text Box 1"/>
                <wp:cNvGraphicFramePr/>
                <a:graphic xmlns:a="http://schemas.openxmlformats.org/drawingml/2006/main">
                  <a:graphicData uri="http://schemas.microsoft.com/office/word/2010/wordprocessingShape">
                    <wps:wsp>
                      <wps:cNvSpPr txBox="1"/>
                      <wps:spPr>
                        <a:xfrm>
                          <a:off x="0" y="0"/>
                          <a:ext cx="6205928" cy="2085975"/>
                        </a:xfrm>
                        <a:prstGeom prst="rect">
                          <a:avLst/>
                        </a:prstGeom>
                        <a:noFill/>
                        <a:ln w="6350">
                          <a:noFill/>
                        </a:ln>
                      </wps:spPr>
                      <wps:txbx>
                        <w:txbxContent>
                          <w:p w14:paraId="233040FB" w14:textId="77777777" w:rsidR="00A57B47" w:rsidRPr="007B1485" w:rsidRDefault="00A57B47" w:rsidP="00A57B47">
                            <w:pPr>
                              <w:rPr>
                                <w:b/>
                                <w:bCs/>
                                <w:color w:val="FFFFFF" w:themeColor="background1"/>
                                <w:sz w:val="52"/>
                                <w:szCs w:val="52"/>
                              </w:rPr>
                            </w:pPr>
                            <w:r>
                              <w:rPr>
                                <w:b/>
                                <w:bCs/>
                                <w:color w:val="FFFFFF" w:themeColor="background1"/>
                                <w:sz w:val="52"/>
                                <w:szCs w:val="52"/>
                              </w:rPr>
                              <w:t>Final report</w:t>
                            </w:r>
                          </w:p>
                          <w:p w14:paraId="0D39AE1C" w14:textId="77777777" w:rsidR="00A57B47" w:rsidRPr="007B1485" w:rsidRDefault="00A57B47" w:rsidP="00A57B47">
                            <w:pPr>
                              <w:rPr>
                                <w:color w:val="FFFFFF" w:themeColor="background1"/>
                                <w:sz w:val="36"/>
                                <w:szCs w:val="36"/>
                              </w:rPr>
                            </w:pPr>
                            <w:r w:rsidRPr="007B1485">
                              <w:rPr>
                                <w:color w:val="FFFFFF" w:themeColor="background1"/>
                                <w:sz w:val="36"/>
                                <w:szCs w:val="36"/>
                              </w:rPr>
                              <w:t xml:space="preserve">Review of the PHN Business Model </w:t>
                            </w:r>
                            <w:r>
                              <w:rPr>
                                <w:color w:val="FFFFFF" w:themeColor="background1"/>
                                <w:sz w:val="36"/>
                                <w:szCs w:val="36"/>
                              </w:rPr>
                              <w:t>and</w:t>
                            </w:r>
                            <w:r w:rsidRPr="007B1485">
                              <w:rPr>
                                <w:color w:val="FFFFFF" w:themeColor="background1"/>
                                <w:sz w:val="36"/>
                                <w:szCs w:val="36"/>
                              </w:rPr>
                              <w:t xml:space="preserve"> Mental Health Flexible Funding Stream</w:t>
                            </w:r>
                          </w:p>
                          <w:p w14:paraId="78D9223D" w14:textId="77777777" w:rsidR="00A57B47" w:rsidRPr="007B1485" w:rsidRDefault="00A57B47" w:rsidP="00A57B47">
                            <w:pPr>
                              <w:rPr>
                                <w:color w:val="FFFFFF" w:themeColor="background1"/>
                                <w:sz w:val="24"/>
                              </w:rPr>
                            </w:pPr>
                          </w:p>
                          <w:p w14:paraId="3D037599" w14:textId="46645F2A" w:rsidR="00A57B47" w:rsidRPr="007B1485" w:rsidRDefault="00AC3542" w:rsidP="00A57B47">
                            <w:pPr>
                              <w:rPr>
                                <w:color w:val="FFFFFF" w:themeColor="background1"/>
                                <w:sz w:val="24"/>
                              </w:rPr>
                            </w:pPr>
                            <w:r>
                              <w:rPr>
                                <w:color w:val="FFFFFF" w:themeColor="background1"/>
                                <w:sz w:val="24"/>
                              </w:rPr>
                              <w:t>June</w:t>
                            </w:r>
                            <w:r w:rsidR="00A57B47" w:rsidRPr="007B1485">
                              <w:rPr>
                                <w:color w:val="FFFFFF" w:themeColor="background1"/>
                                <w:sz w:val="24"/>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3E7F7" id="_x0000_t202" coordsize="21600,21600" o:spt="202" path="m,l,21600r21600,l21600,xe">
                <v:stroke joinstyle="miter"/>
                <v:path gradientshapeok="t" o:connecttype="rect"/>
              </v:shapetype>
              <v:shape id="Text Box 1" o:spid="_x0000_s1026" type="#_x0000_t202" style="position:absolute;margin-left:-23.35pt;margin-top:538.9pt;width:488.65pt;height:16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" filled="f" stroked="f" strokeweight=".5pt">
                <v:textbox>
                  <w:txbxContent>
                    <w:p w14:paraId="233040FB" w14:textId="77777777" w:rsidR="00A57B47" w:rsidRPr="007B1485" w:rsidRDefault="00A57B47" w:rsidP="00A57B47">
                      <w:pPr>
                        <w:rPr>
                          <w:b/>
                          <w:bCs/>
                          <w:color w:val="FFFFFF" w:themeColor="background1"/>
                          <w:sz w:val="52"/>
                          <w:szCs w:val="52"/>
                        </w:rPr>
                      </w:pPr>
                      <w:r>
                        <w:rPr>
                          <w:b/>
                          <w:bCs/>
                          <w:color w:val="FFFFFF" w:themeColor="background1"/>
                          <w:sz w:val="52"/>
                          <w:szCs w:val="52"/>
                        </w:rPr>
                        <w:t>Final report</w:t>
                      </w:r>
                    </w:p>
                    <w:p w14:paraId="0D39AE1C" w14:textId="77777777" w:rsidR="00A57B47" w:rsidRPr="007B1485" w:rsidRDefault="00A57B47" w:rsidP="00A57B47">
                      <w:pPr>
                        <w:rPr>
                          <w:color w:val="FFFFFF" w:themeColor="background1"/>
                          <w:sz w:val="36"/>
                          <w:szCs w:val="36"/>
                        </w:rPr>
                      </w:pPr>
                      <w:r w:rsidRPr="007B1485">
                        <w:rPr>
                          <w:color w:val="FFFFFF" w:themeColor="background1"/>
                          <w:sz w:val="36"/>
                          <w:szCs w:val="36"/>
                        </w:rPr>
                        <w:t xml:space="preserve">Review of the PHN Business Model </w:t>
                      </w:r>
                      <w:r>
                        <w:rPr>
                          <w:color w:val="FFFFFF" w:themeColor="background1"/>
                          <w:sz w:val="36"/>
                          <w:szCs w:val="36"/>
                        </w:rPr>
                        <w:t>and</w:t>
                      </w:r>
                      <w:r w:rsidRPr="007B1485">
                        <w:rPr>
                          <w:color w:val="FFFFFF" w:themeColor="background1"/>
                          <w:sz w:val="36"/>
                          <w:szCs w:val="36"/>
                        </w:rPr>
                        <w:t xml:space="preserve"> Mental Health Flexible Funding Stream</w:t>
                      </w:r>
                    </w:p>
                    <w:p w14:paraId="78D9223D" w14:textId="77777777" w:rsidR="00A57B47" w:rsidRPr="007B1485" w:rsidRDefault="00A57B47" w:rsidP="00A57B47">
                      <w:pPr>
                        <w:rPr>
                          <w:color w:val="FFFFFF" w:themeColor="background1"/>
                          <w:sz w:val="24"/>
                        </w:rPr>
                      </w:pPr>
                    </w:p>
                    <w:p w14:paraId="3D037599" w14:textId="46645F2A" w:rsidR="00A57B47" w:rsidRPr="007B1485" w:rsidRDefault="00AC3542" w:rsidP="00A57B47">
                      <w:pPr>
                        <w:rPr>
                          <w:color w:val="FFFFFF" w:themeColor="background1"/>
                          <w:sz w:val="24"/>
                        </w:rPr>
                      </w:pPr>
                      <w:r>
                        <w:rPr>
                          <w:color w:val="FFFFFF" w:themeColor="background1"/>
                          <w:sz w:val="24"/>
                        </w:rPr>
                        <w:t>June</w:t>
                      </w:r>
                      <w:r w:rsidR="00A57B47" w:rsidRPr="007B1485">
                        <w:rPr>
                          <w:color w:val="FFFFFF" w:themeColor="background1"/>
                          <w:sz w:val="24"/>
                        </w:rPr>
                        <w:t xml:space="preserve"> 2025</w:t>
                      </w:r>
                    </w:p>
                  </w:txbxContent>
                </v:textbox>
              </v:shape>
            </w:pict>
          </mc:Fallback>
        </mc:AlternateContent>
      </w:r>
      <w:r w:rsidRPr="006448DF" w:rsidDel="00F577C0">
        <w:t xml:space="preserve"> </w:t>
      </w:r>
      <w:r w:rsidRPr="006448DF">
        <w:br w:type="page"/>
      </w:r>
    </w:p>
    <w:p w14:paraId="42BDB3B1" w14:textId="77777777" w:rsidR="00A57B47" w:rsidRPr="006448DF" w:rsidRDefault="00A57B47" w:rsidP="00A57B47">
      <w:pPr>
        <w:pStyle w:val="Title"/>
        <w:tabs>
          <w:tab w:val="center" w:pos="4535"/>
        </w:tabs>
        <w:rPr>
          <w:rFonts w:eastAsia="Arial" w:cs="Arial"/>
        </w:rPr>
      </w:pPr>
    </w:p>
    <w:sdt>
      <w:sdtPr>
        <w:rPr>
          <w:rFonts w:eastAsia="Times New Roman" w:cs="Times New Roman"/>
          <w:b w:val="0"/>
          <w:color w:val="000000" w:themeColor="text1"/>
          <w:sz w:val="22"/>
          <w:szCs w:val="24"/>
          <w:lang w:val="en-AU"/>
        </w:rPr>
        <w:id w:val="-1606575656"/>
        <w:docPartObj>
          <w:docPartGallery w:val="Table of Contents"/>
          <w:docPartUnique/>
        </w:docPartObj>
      </w:sdtPr>
      <w:sdtEndPr>
        <w:rPr>
          <w:szCs w:val="22"/>
        </w:rPr>
      </w:sdtEndPr>
      <w:sdtContent>
        <w:p w14:paraId="02A37575" w14:textId="77777777" w:rsidR="00A57B47" w:rsidRPr="006448DF" w:rsidRDefault="00A57B47" w:rsidP="00A57B47">
          <w:pPr>
            <w:pStyle w:val="TOCHeading"/>
            <w:rPr>
              <w:rStyle w:val="Hyperlink"/>
              <w:color w:val="3F4A75" w:themeColor="accent1"/>
              <w:u w:val="none"/>
              <w:lang w:val="en-AU"/>
            </w:rPr>
          </w:pPr>
          <w:r w:rsidRPr="006448DF">
            <w:rPr>
              <w:lang w:val="en-AU"/>
            </w:rPr>
            <w:t>Contents</w:t>
          </w:r>
        </w:p>
        <w:p w14:paraId="459FF6B7" w14:textId="558CE1E6" w:rsidR="005941E6" w:rsidRPr="006448DF" w:rsidRDefault="00A57B47">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r w:rsidRPr="006448DF">
            <w:rPr>
              <w:b/>
            </w:rPr>
            <w:fldChar w:fldCharType="begin"/>
          </w:r>
          <w:r w:rsidRPr="006448DF">
            <w:rPr>
              <w:b/>
            </w:rPr>
            <w:instrText xml:space="preserve"> TOC \o "1-2" \h \z \u </w:instrText>
          </w:r>
          <w:r w:rsidRPr="006448DF">
            <w:rPr>
              <w:b/>
            </w:rPr>
            <w:fldChar w:fldCharType="separate"/>
          </w:r>
          <w:hyperlink w:anchor="_Toc199782138" w:history="1">
            <w:r w:rsidR="005941E6" w:rsidRPr="006448DF">
              <w:rPr>
                <w:rStyle w:val="Hyperlink"/>
              </w:rPr>
              <w:t>About the review</w:t>
            </w:r>
            <w:r w:rsidR="005941E6" w:rsidRPr="006448DF">
              <w:rPr>
                <w:webHidden/>
              </w:rPr>
              <w:tab/>
            </w:r>
            <w:r w:rsidR="005941E6" w:rsidRPr="006448DF">
              <w:rPr>
                <w:webHidden/>
              </w:rPr>
              <w:fldChar w:fldCharType="begin"/>
            </w:r>
            <w:r w:rsidR="005941E6" w:rsidRPr="006448DF">
              <w:rPr>
                <w:webHidden/>
              </w:rPr>
              <w:instrText xml:space="preserve"> PAGEREF _Toc199782138 \h </w:instrText>
            </w:r>
            <w:r w:rsidR="005941E6" w:rsidRPr="006448DF">
              <w:rPr>
                <w:webHidden/>
              </w:rPr>
            </w:r>
            <w:r w:rsidR="005941E6" w:rsidRPr="006448DF">
              <w:rPr>
                <w:webHidden/>
              </w:rPr>
              <w:fldChar w:fldCharType="separate"/>
            </w:r>
            <w:r w:rsidR="005A740D">
              <w:rPr>
                <w:noProof/>
                <w:webHidden/>
              </w:rPr>
              <w:t>3</w:t>
            </w:r>
            <w:r w:rsidR="005941E6" w:rsidRPr="006448DF">
              <w:rPr>
                <w:webHidden/>
              </w:rPr>
              <w:fldChar w:fldCharType="end"/>
            </w:r>
          </w:hyperlink>
        </w:p>
        <w:p w14:paraId="24C8B0AF" w14:textId="31E781C7" w:rsidR="005941E6" w:rsidRPr="006448DF" w:rsidRDefault="005941E6">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39" w:history="1">
            <w:r w:rsidRPr="006448DF">
              <w:rPr>
                <w:rStyle w:val="Hyperlink"/>
              </w:rPr>
              <w:t>Executive summary</w:t>
            </w:r>
            <w:r w:rsidRPr="006448DF">
              <w:rPr>
                <w:webHidden/>
              </w:rPr>
              <w:tab/>
            </w:r>
            <w:r w:rsidRPr="006448DF">
              <w:rPr>
                <w:webHidden/>
              </w:rPr>
              <w:fldChar w:fldCharType="begin"/>
            </w:r>
            <w:r w:rsidRPr="006448DF">
              <w:rPr>
                <w:webHidden/>
              </w:rPr>
              <w:instrText xml:space="preserve"> PAGEREF _Toc199782139 \h </w:instrText>
            </w:r>
            <w:r w:rsidRPr="006448DF">
              <w:rPr>
                <w:webHidden/>
              </w:rPr>
            </w:r>
            <w:r w:rsidRPr="006448DF">
              <w:rPr>
                <w:webHidden/>
              </w:rPr>
              <w:fldChar w:fldCharType="separate"/>
            </w:r>
            <w:r w:rsidR="005A740D">
              <w:rPr>
                <w:noProof/>
                <w:webHidden/>
              </w:rPr>
              <w:t>5</w:t>
            </w:r>
            <w:r w:rsidRPr="006448DF">
              <w:rPr>
                <w:webHidden/>
              </w:rPr>
              <w:fldChar w:fldCharType="end"/>
            </w:r>
          </w:hyperlink>
        </w:p>
        <w:p w14:paraId="422EFA1F" w14:textId="27D3A6C0" w:rsidR="005941E6" w:rsidRPr="006448DF" w:rsidRDefault="005941E6">
          <w:pPr>
            <w:pStyle w:val="TOC2"/>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0" w:history="1">
            <w:r w:rsidRPr="006448DF">
              <w:rPr>
                <w:rStyle w:val="Hyperlink"/>
              </w:rPr>
              <w:t>PHN Business Model</w:t>
            </w:r>
            <w:r w:rsidRPr="006448DF">
              <w:rPr>
                <w:webHidden/>
              </w:rPr>
              <w:tab/>
            </w:r>
            <w:r w:rsidRPr="006448DF">
              <w:rPr>
                <w:webHidden/>
              </w:rPr>
              <w:fldChar w:fldCharType="begin"/>
            </w:r>
            <w:r w:rsidRPr="006448DF">
              <w:rPr>
                <w:webHidden/>
              </w:rPr>
              <w:instrText xml:space="preserve"> PAGEREF _Toc199782140 \h </w:instrText>
            </w:r>
            <w:r w:rsidRPr="006448DF">
              <w:rPr>
                <w:webHidden/>
              </w:rPr>
            </w:r>
            <w:r w:rsidRPr="006448DF">
              <w:rPr>
                <w:webHidden/>
              </w:rPr>
              <w:fldChar w:fldCharType="separate"/>
            </w:r>
            <w:r w:rsidR="005A740D">
              <w:rPr>
                <w:noProof/>
                <w:webHidden/>
              </w:rPr>
              <w:t>5</w:t>
            </w:r>
            <w:r w:rsidRPr="006448DF">
              <w:rPr>
                <w:webHidden/>
              </w:rPr>
              <w:fldChar w:fldCharType="end"/>
            </w:r>
          </w:hyperlink>
        </w:p>
        <w:p w14:paraId="1F3E5B38" w14:textId="027E863F" w:rsidR="005941E6" w:rsidRPr="006448DF" w:rsidRDefault="005941E6">
          <w:pPr>
            <w:pStyle w:val="TOC2"/>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1" w:history="1">
            <w:r w:rsidRPr="006448DF">
              <w:rPr>
                <w:rStyle w:val="Hyperlink"/>
              </w:rPr>
              <w:t>Mental Health Flexible Funding Stream</w:t>
            </w:r>
            <w:r w:rsidRPr="006448DF">
              <w:rPr>
                <w:webHidden/>
              </w:rPr>
              <w:tab/>
            </w:r>
            <w:r w:rsidRPr="006448DF">
              <w:rPr>
                <w:webHidden/>
              </w:rPr>
              <w:fldChar w:fldCharType="begin"/>
            </w:r>
            <w:r w:rsidRPr="006448DF">
              <w:rPr>
                <w:webHidden/>
              </w:rPr>
              <w:instrText xml:space="preserve"> PAGEREF _Toc199782141 \h </w:instrText>
            </w:r>
            <w:r w:rsidRPr="006448DF">
              <w:rPr>
                <w:webHidden/>
              </w:rPr>
            </w:r>
            <w:r w:rsidRPr="006448DF">
              <w:rPr>
                <w:webHidden/>
              </w:rPr>
              <w:fldChar w:fldCharType="separate"/>
            </w:r>
            <w:r w:rsidR="005A740D">
              <w:rPr>
                <w:noProof/>
                <w:webHidden/>
              </w:rPr>
              <w:t>12</w:t>
            </w:r>
            <w:r w:rsidRPr="006448DF">
              <w:rPr>
                <w:webHidden/>
              </w:rPr>
              <w:fldChar w:fldCharType="end"/>
            </w:r>
          </w:hyperlink>
        </w:p>
        <w:p w14:paraId="363E32A9" w14:textId="125E9B80" w:rsidR="005941E6" w:rsidRPr="006448DF" w:rsidRDefault="005941E6">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2" w:history="1">
            <w:r w:rsidRPr="006448DF">
              <w:rPr>
                <w:rStyle w:val="Hyperlink"/>
              </w:rPr>
              <w:t>Review of the PHN Business Model and MHFFS</w:t>
            </w:r>
            <w:r w:rsidRPr="006448DF">
              <w:rPr>
                <w:webHidden/>
              </w:rPr>
              <w:tab/>
            </w:r>
            <w:r w:rsidRPr="006448DF">
              <w:rPr>
                <w:webHidden/>
              </w:rPr>
              <w:fldChar w:fldCharType="begin"/>
            </w:r>
            <w:r w:rsidRPr="006448DF">
              <w:rPr>
                <w:webHidden/>
              </w:rPr>
              <w:instrText xml:space="preserve"> PAGEREF _Toc199782142 \h </w:instrText>
            </w:r>
            <w:r w:rsidRPr="006448DF">
              <w:rPr>
                <w:webHidden/>
              </w:rPr>
            </w:r>
            <w:r w:rsidRPr="006448DF">
              <w:rPr>
                <w:webHidden/>
              </w:rPr>
              <w:fldChar w:fldCharType="separate"/>
            </w:r>
            <w:r w:rsidR="005A740D">
              <w:rPr>
                <w:noProof/>
                <w:webHidden/>
              </w:rPr>
              <w:t>14</w:t>
            </w:r>
            <w:r w:rsidRPr="006448DF">
              <w:rPr>
                <w:webHidden/>
              </w:rPr>
              <w:fldChar w:fldCharType="end"/>
            </w:r>
          </w:hyperlink>
        </w:p>
        <w:p w14:paraId="0B2A4388" w14:textId="1A5C9E93" w:rsidR="005941E6" w:rsidRPr="006448DF" w:rsidRDefault="005941E6">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3" w:history="1">
            <w:r w:rsidRPr="006448DF">
              <w:rPr>
                <w:rStyle w:val="Hyperlink"/>
              </w:rPr>
              <w:t>Background</w:t>
            </w:r>
            <w:r w:rsidRPr="006448DF">
              <w:rPr>
                <w:webHidden/>
              </w:rPr>
              <w:tab/>
            </w:r>
            <w:r w:rsidRPr="006448DF">
              <w:rPr>
                <w:webHidden/>
              </w:rPr>
              <w:fldChar w:fldCharType="begin"/>
            </w:r>
            <w:r w:rsidRPr="006448DF">
              <w:rPr>
                <w:webHidden/>
              </w:rPr>
              <w:instrText xml:space="preserve"> PAGEREF _Toc199782143 \h </w:instrText>
            </w:r>
            <w:r w:rsidRPr="006448DF">
              <w:rPr>
                <w:webHidden/>
              </w:rPr>
            </w:r>
            <w:r w:rsidRPr="006448DF">
              <w:rPr>
                <w:webHidden/>
              </w:rPr>
              <w:fldChar w:fldCharType="separate"/>
            </w:r>
            <w:r w:rsidR="005A740D">
              <w:rPr>
                <w:noProof/>
                <w:webHidden/>
              </w:rPr>
              <w:t>14</w:t>
            </w:r>
            <w:r w:rsidRPr="006448DF">
              <w:rPr>
                <w:webHidden/>
              </w:rPr>
              <w:fldChar w:fldCharType="end"/>
            </w:r>
          </w:hyperlink>
        </w:p>
        <w:p w14:paraId="6F6D6C7B" w14:textId="13FCC6F5" w:rsidR="005941E6" w:rsidRPr="006448DF" w:rsidRDefault="005941E6">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4" w:history="1">
            <w:r w:rsidRPr="006448DF">
              <w:rPr>
                <w:rStyle w:val="Hyperlink"/>
              </w:rPr>
              <w:t>Review approach</w:t>
            </w:r>
            <w:r w:rsidRPr="006448DF">
              <w:rPr>
                <w:webHidden/>
              </w:rPr>
              <w:tab/>
            </w:r>
            <w:r w:rsidRPr="006448DF">
              <w:rPr>
                <w:webHidden/>
              </w:rPr>
              <w:fldChar w:fldCharType="begin"/>
            </w:r>
            <w:r w:rsidRPr="006448DF">
              <w:rPr>
                <w:webHidden/>
              </w:rPr>
              <w:instrText xml:space="preserve"> PAGEREF _Toc199782144 \h </w:instrText>
            </w:r>
            <w:r w:rsidRPr="006448DF">
              <w:rPr>
                <w:webHidden/>
              </w:rPr>
            </w:r>
            <w:r w:rsidRPr="006448DF">
              <w:rPr>
                <w:webHidden/>
              </w:rPr>
              <w:fldChar w:fldCharType="separate"/>
            </w:r>
            <w:r w:rsidR="005A740D">
              <w:rPr>
                <w:noProof/>
                <w:webHidden/>
              </w:rPr>
              <w:t>15</w:t>
            </w:r>
            <w:r w:rsidRPr="006448DF">
              <w:rPr>
                <w:webHidden/>
              </w:rPr>
              <w:fldChar w:fldCharType="end"/>
            </w:r>
          </w:hyperlink>
        </w:p>
        <w:p w14:paraId="53E78DBD" w14:textId="5B297BB7" w:rsidR="005941E6" w:rsidRPr="006448DF" w:rsidRDefault="005941E6">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5" w:history="1">
            <w:r w:rsidRPr="006448DF">
              <w:rPr>
                <w:rStyle w:val="Hyperlink"/>
              </w:rPr>
              <w:t>Findings</w:t>
            </w:r>
            <w:r w:rsidRPr="006448DF">
              <w:rPr>
                <w:webHidden/>
              </w:rPr>
              <w:tab/>
            </w:r>
            <w:r w:rsidRPr="006448DF">
              <w:rPr>
                <w:webHidden/>
              </w:rPr>
              <w:fldChar w:fldCharType="begin"/>
            </w:r>
            <w:r w:rsidRPr="006448DF">
              <w:rPr>
                <w:webHidden/>
              </w:rPr>
              <w:instrText xml:space="preserve"> PAGEREF _Toc199782145 \h </w:instrText>
            </w:r>
            <w:r w:rsidRPr="006448DF">
              <w:rPr>
                <w:webHidden/>
              </w:rPr>
            </w:r>
            <w:r w:rsidRPr="006448DF">
              <w:rPr>
                <w:webHidden/>
              </w:rPr>
              <w:fldChar w:fldCharType="separate"/>
            </w:r>
            <w:r w:rsidR="005A740D">
              <w:rPr>
                <w:noProof/>
                <w:webHidden/>
              </w:rPr>
              <w:t>16</w:t>
            </w:r>
            <w:r w:rsidRPr="006448DF">
              <w:rPr>
                <w:webHidden/>
              </w:rPr>
              <w:fldChar w:fldCharType="end"/>
            </w:r>
          </w:hyperlink>
        </w:p>
        <w:p w14:paraId="75356A71" w14:textId="6FFCE8BA" w:rsidR="005941E6" w:rsidRPr="006448DF" w:rsidRDefault="005941E6">
          <w:pPr>
            <w:pStyle w:val="TOC2"/>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6" w:history="1">
            <w:r w:rsidRPr="006448DF">
              <w:rPr>
                <w:rStyle w:val="Hyperlink"/>
              </w:rPr>
              <w:t>PHN Business Model</w:t>
            </w:r>
            <w:r w:rsidRPr="006448DF">
              <w:rPr>
                <w:webHidden/>
              </w:rPr>
              <w:tab/>
            </w:r>
            <w:r w:rsidRPr="006448DF">
              <w:rPr>
                <w:webHidden/>
              </w:rPr>
              <w:fldChar w:fldCharType="begin"/>
            </w:r>
            <w:r w:rsidRPr="006448DF">
              <w:rPr>
                <w:webHidden/>
              </w:rPr>
              <w:instrText xml:space="preserve"> PAGEREF _Toc199782146 \h </w:instrText>
            </w:r>
            <w:r w:rsidRPr="006448DF">
              <w:rPr>
                <w:webHidden/>
              </w:rPr>
            </w:r>
            <w:r w:rsidRPr="006448DF">
              <w:rPr>
                <w:webHidden/>
              </w:rPr>
              <w:fldChar w:fldCharType="separate"/>
            </w:r>
            <w:r w:rsidR="005A740D">
              <w:rPr>
                <w:noProof/>
                <w:webHidden/>
              </w:rPr>
              <w:t>16</w:t>
            </w:r>
            <w:r w:rsidRPr="006448DF">
              <w:rPr>
                <w:webHidden/>
              </w:rPr>
              <w:fldChar w:fldCharType="end"/>
            </w:r>
          </w:hyperlink>
        </w:p>
        <w:p w14:paraId="1D4168A4" w14:textId="47146762" w:rsidR="005941E6" w:rsidRPr="006448DF" w:rsidRDefault="005941E6">
          <w:pPr>
            <w:pStyle w:val="TOC2"/>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7" w:history="1">
            <w:r w:rsidRPr="006448DF">
              <w:rPr>
                <w:rStyle w:val="Hyperlink"/>
              </w:rPr>
              <w:t>Mental Health Flexible Funding Stream</w:t>
            </w:r>
            <w:r w:rsidRPr="006448DF">
              <w:rPr>
                <w:webHidden/>
              </w:rPr>
              <w:tab/>
            </w:r>
            <w:r w:rsidRPr="006448DF">
              <w:rPr>
                <w:webHidden/>
              </w:rPr>
              <w:fldChar w:fldCharType="begin"/>
            </w:r>
            <w:r w:rsidRPr="006448DF">
              <w:rPr>
                <w:webHidden/>
              </w:rPr>
              <w:instrText xml:space="preserve"> PAGEREF _Toc199782147 \h </w:instrText>
            </w:r>
            <w:r w:rsidRPr="006448DF">
              <w:rPr>
                <w:webHidden/>
              </w:rPr>
            </w:r>
            <w:r w:rsidRPr="006448DF">
              <w:rPr>
                <w:webHidden/>
              </w:rPr>
              <w:fldChar w:fldCharType="separate"/>
            </w:r>
            <w:r w:rsidR="005A740D">
              <w:rPr>
                <w:noProof/>
                <w:webHidden/>
              </w:rPr>
              <w:t>27</w:t>
            </w:r>
            <w:r w:rsidRPr="006448DF">
              <w:rPr>
                <w:webHidden/>
              </w:rPr>
              <w:fldChar w:fldCharType="end"/>
            </w:r>
          </w:hyperlink>
        </w:p>
        <w:p w14:paraId="71580B28" w14:textId="43113E63" w:rsidR="005941E6" w:rsidRPr="006448DF" w:rsidRDefault="005941E6">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8" w:history="1">
            <w:r w:rsidRPr="006448DF">
              <w:rPr>
                <w:rStyle w:val="Hyperlink"/>
              </w:rPr>
              <w:t>Recommendations</w:t>
            </w:r>
            <w:r w:rsidRPr="006448DF">
              <w:rPr>
                <w:webHidden/>
              </w:rPr>
              <w:tab/>
            </w:r>
            <w:r w:rsidRPr="006448DF">
              <w:rPr>
                <w:webHidden/>
              </w:rPr>
              <w:fldChar w:fldCharType="begin"/>
            </w:r>
            <w:r w:rsidRPr="006448DF">
              <w:rPr>
                <w:webHidden/>
              </w:rPr>
              <w:instrText xml:space="preserve"> PAGEREF _Toc199782148 \h </w:instrText>
            </w:r>
            <w:r w:rsidRPr="006448DF">
              <w:rPr>
                <w:webHidden/>
              </w:rPr>
            </w:r>
            <w:r w:rsidRPr="006448DF">
              <w:rPr>
                <w:webHidden/>
              </w:rPr>
              <w:fldChar w:fldCharType="separate"/>
            </w:r>
            <w:r w:rsidR="005A740D">
              <w:rPr>
                <w:noProof/>
                <w:webHidden/>
              </w:rPr>
              <w:t>31</w:t>
            </w:r>
            <w:r w:rsidRPr="006448DF">
              <w:rPr>
                <w:webHidden/>
              </w:rPr>
              <w:fldChar w:fldCharType="end"/>
            </w:r>
          </w:hyperlink>
        </w:p>
        <w:p w14:paraId="59B0E47B" w14:textId="33F1839D" w:rsidR="005941E6" w:rsidRPr="006448DF" w:rsidRDefault="005941E6">
          <w:pPr>
            <w:pStyle w:val="TOC2"/>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49" w:history="1">
            <w:r w:rsidRPr="006448DF">
              <w:rPr>
                <w:rStyle w:val="Hyperlink"/>
              </w:rPr>
              <w:t>PHN Business Model</w:t>
            </w:r>
            <w:r w:rsidRPr="006448DF">
              <w:rPr>
                <w:webHidden/>
              </w:rPr>
              <w:tab/>
            </w:r>
            <w:r w:rsidRPr="006448DF">
              <w:rPr>
                <w:webHidden/>
              </w:rPr>
              <w:fldChar w:fldCharType="begin"/>
            </w:r>
            <w:r w:rsidRPr="006448DF">
              <w:rPr>
                <w:webHidden/>
              </w:rPr>
              <w:instrText xml:space="preserve"> PAGEREF _Toc199782149 \h </w:instrText>
            </w:r>
            <w:r w:rsidRPr="006448DF">
              <w:rPr>
                <w:webHidden/>
              </w:rPr>
            </w:r>
            <w:r w:rsidRPr="006448DF">
              <w:rPr>
                <w:webHidden/>
              </w:rPr>
              <w:fldChar w:fldCharType="separate"/>
            </w:r>
            <w:r w:rsidR="005A740D">
              <w:rPr>
                <w:noProof/>
                <w:webHidden/>
              </w:rPr>
              <w:t>31</w:t>
            </w:r>
            <w:r w:rsidRPr="006448DF">
              <w:rPr>
                <w:webHidden/>
              </w:rPr>
              <w:fldChar w:fldCharType="end"/>
            </w:r>
          </w:hyperlink>
        </w:p>
        <w:p w14:paraId="723A328C" w14:textId="31245C3D" w:rsidR="005941E6" w:rsidRPr="006448DF" w:rsidRDefault="005941E6">
          <w:pPr>
            <w:pStyle w:val="TOC2"/>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50" w:history="1">
            <w:r w:rsidRPr="006448DF">
              <w:rPr>
                <w:rStyle w:val="Hyperlink"/>
              </w:rPr>
              <w:t>Mental Health Flexible Funding Scheme</w:t>
            </w:r>
            <w:r w:rsidRPr="006448DF">
              <w:rPr>
                <w:webHidden/>
              </w:rPr>
              <w:tab/>
            </w:r>
            <w:r w:rsidRPr="006448DF">
              <w:rPr>
                <w:webHidden/>
              </w:rPr>
              <w:fldChar w:fldCharType="begin"/>
            </w:r>
            <w:r w:rsidRPr="006448DF">
              <w:rPr>
                <w:webHidden/>
              </w:rPr>
              <w:instrText xml:space="preserve"> PAGEREF _Toc199782150 \h </w:instrText>
            </w:r>
            <w:r w:rsidRPr="006448DF">
              <w:rPr>
                <w:webHidden/>
              </w:rPr>
            </w:r>
            <w:r w:rsidRPr="006448DF">
              <w:rPr>
                <w:webHidden/>
              </w:rPr>
              <w:fldChar w:fldCharType="separate"/>
            </w:r>
            <w:r w:rsidR="005A740D">
              <w:rPr>
                <w:noProof/>
                <w:webHidden/>
              </w:rPr>
              <w:t>38</w:t>
            </w:r>
            <w:r w:rsidRPr="006448DF">
              <w:rPr>
                <w:webHidden/>
              </w:rPr>
              <w:fldChar w:fldCharType="end"/>
            </w:r>
          </w:hyperlink>
        </w:p>
        <w:p w14:paraId="3DB22C55" w14:textId="443F75D0" w:rsidR="005941E6" w:rsidRPr="006448DF" w:rsidRDefault="005941E6">
          <w:pPr>
            <w:pStyle w:val="TOC1"/>
            <w:tabs>
              <w:tab w:val="right" w:leader="dot" w:pos="9060"/>
            </w:tabs>
            <w:rPr>
              <w:rFonts w:asciiTheme="minorHAnsi" w:eastAsiaTheme="minorEastAsia" w:hAnsiTheme="minorHAnsi" w:cstheme="minorBidi"/>
              <w:color w:val="auto"/>
              <w:kern w:val="2"/>
              <w:sz w:val="24"/>
              <w:lang w:eastAsia="en-GB"/>
              <w14:ligatures w14:val="standardContextual"/>
            </w:rPr>
          </w:pPr>
          <w:hyperlink w:anchor="_Toc199782151" w:history="1">
            <w:r w:rsidRPr="006448DF">
              <w:rPr>
                <w:rStyle w:val="Hyperlink"/>
              </w:rPr>
              <w:t>List of acronyms</w:t>
            </w:r>
            <w:r w:rsidRPr="006448DF">
              <w:rPr>
                <w:webHidden/>
              </w:rPr>
              <w:tab/>
            </w:r>
            <w:r w:rsidRPr="006448DF">
              <w:rPr>
                <w:webHidden/>
              </w:rPr>
              <w:fldChar w:fldCharType="begin"/>
            </w:r>
            <w:r w:rsidRPr="006448DF">
              <w:rPr>
                <w:webHidden/>
              </w:rPr>
              <w:instrText xml:space="preserve"> PAGEREF _Toc199782151 \h </w:instrText>
            </w:r>
            <w:r w:rsidRPr="006448DF">
              <w:rPr>
                <w:webHidden/>
              </w:rPr>
            </w:r>
            <w:r w:rsidRPr="006448DF">
              <w:rPr>
                <w:webHidden/>
              </w:rPr>
              <w:fldChar w:fldCharType="separate"/>
            </w:r>
            <w:r w:rsidR="005A740D">
              <w:rPr>
                <w:noProof/>
                <w:webHidden/>
              </w:rPr>
              <w:t>39</w:t>
            </w:r>
            <w:r w:rsidRPr="006448DF">
              <w:rPr>
                <w:webHidden/>
              </w:rPr>
              <w:fldChar w:fldCharType="end"/>
            </w:r>
          </w:hyperlink>
        </w:p>
        <w:p w14:paraId="490B8C2B" w14:textId="775B7BF0" w:rsidR="00A57B47" w:rsidRPr="006448DF" w:rsidRDefault="00A57B47" w:rsidP="00A57B47">
          <w:pPr>
            <w:rPr>
              <w:szCs w:val="22"/>
            </w:rPr>
          </w:pPr>
          <w:r w:rsidRPr="006448DF">
            <w:rPr>
              <w:b/>
            </w:rPr>
            <w:fldChar w:fldCharType="end"/>
          </w:r>
        </w:p>
      </w:sdtContent>
    </w:sdt>
    <w:p w14:paraId="5B0D2716" w14:textId="77777777" w:rsidR="00A57B47" w:rsidRPr="006448DF" w:rsidRDefault="00A57B47" w:rsidP="00A57B47">
      <w:pPr>
        <w:pStyle w:val="Body"/>
      </w:pPr>
      <w:r w:rsidRPr="006448DF">
        <w:br w:type="page"/>
      </w:r>
    </w:p>
    <w:p w14:paraId="22A14C30" w14:textId="77777777" w:rsidR="00A57B47" w:rsidRPr="006448DF" w:rsidRDefault="00A57B47" w:rsidP="00A57B47">
      <w:pPr>
        <w:pStyle w:val="Heading1"/>
        <w:spacing w:line="259" w:lineRule="auto"/>
        <w:rPr>
          <w:rFonts w:eastAsia="Arial"/>
        </w:rPr>
      </w:pPr>
      <w:bookmarkStart w:id="1" w:name="_Toc199782138"/>
      <w:r w:rsidRPr="006448DF">
        <w:lastRenderedPageBreak/>
        <w:t>About the review</w:t>
      </w:r>
      <w:bookmarkEnd w:id="1"/>
    </w:p>
    <w:p w14:paraId="20F49512" w14:textId="5F946DFC" w:rsidR="00A57B47" w:rsidRPr="006448DF" w:rsidRDefault="00A57B47" w:rsidP="00A57B47">
      <w:pPr>
        <w:rPr>
          <w:rFonts w:eastAsia="Arial" w:cs="Arial"/>
        </w:rPr>
      </w:pPr>
      <w:r w:rsidRPr="006448DF">
        <w:rPr>
          <w:rFonts w:eastAsia="Arial" w:cs="Arial"/>
        </w:rPr>
        <w:t xml:space="preserve">The Department of Health, Disability and Ageing (the Department) engaged Boston Consulting Group to provide </w:t>
      </w:r>
      <w:r w:rsidRPr="006448DF">
        <w:rPr>
          <w:rFonts w:eastAsia="Arial"/>
        </w:rPr>
        <w:t xml:space="preserve">recommendations on the future of the </w:t>
      </w:r>
      <w:r w:rsidRPr="006448DF">
        <w:rPr>
          <w:rFonts w:eastAsia="Arial" w:cs="Arial"/>
        </w:rPr>
        <w:t>Primary Health Networks (</w:t>
      </w:r>
      <w:r w:rsidRPr="006448DF">
        <w:rPr>
          <w:rFonts w:eastAsia="Arial"/>
        </w:rPr>
        <w:t>PHN) Business Model</w:t>
      </w:r>
      <w:r w:rsidRPr="006448DF">
        <w:rPr>
          <w:rFonts w:eastAsia="Arial" w:cs="Arial"/>
        </w:rPr>
        <w:t xml:space="preserve">. In developing these recommendations, the review was required to examine the PHN Program in the context of the changing operating environment in both primary and mental health care, and to ensure the Program is structured to meet </w:t>
      </w:r>
      <w:r w:rsidR="00274996" w:rsidRPr="006448DF">
        <w:rPr>
          <w:rFonts w:eastAsia="Arial" w:cs="Arial"/>
        </w:rPr>
        <w:t>g</w:t>
      </w:r>
      <w:r w:rsidRPr="006448DF">
        <w:rPr>
          <w:rFonts w:eastAsia="Arial" w:cs="Arial"/>
        </w:rPr>
        <w:t xml:space="preserve">overnment objectives. </w:t>
      </w:r>
    </w:p>
    <w:p w14:paraId="62079FE4" w14:textId="77777777" w:rsidR="00A57B47" w:rsidRPr="006448DF" w:rsidRDefault="00A57B47" w:rsidP="009C37CF">
      <w:pPr>
        <w:spacing w:before="240"/>
        <w:rPr>
          <w:rFonts w:eastAsia="Arial" w:cs="Arial"/>
        </w:rPr>
      </w:pPr>
      <w:r w:rsidRPr="006448DF">
        <w:rPr>
          <w:rFonts w:eastAsia="Arial" w:cs="Arial"/>
        </w:rPr>
        <w:t>The scope of the review</w:t>
      </w:r>
      <w:r w:rsidRPr="0005487B">
        <w:rPr>
          <w:rFonts w:eastAsia="Arial" w:cs="Arial"/>
        </w:rPr>
        <w:t xml:space="preserve"> </w:t>
      </w:r>
      <w:r>
        <w:rPr>
          <w:rFonts w:eastAsia="Arial" w:cs="Arial"/>
        </w:rPr>
        <w:t>was guided by</w:t>
      </w:r>
      <w:r w:rsidRPr="006448DF">
        <w:rPr>
          <w:rFonts w:eastAsia="Arial" w:cs="Arial"/>
        </w:rPr>
        <w:t xml:space="preserve"> six key questions determined by the Department</w:t>
      </w:r>
      <w:r w:rsidRPr="0005487B">
        <w:rPr>
          <w:rFonts w:eastAsia="Arial" w:cs="Arial"/>
        </w:rPr>
        <w:t>:</w:t>
      </w:r>
    </w:p>
    <w:p w14:paraId="598DCB30" w14:textId="77777777" w:rsidR="00A57B47" w:rsidRPr="006448DF" w:rsidRDefault="00A57B47" w:rsidP="009C37CF">
      <w:pPr>
        <w:numPr>
          <w:ilvl w:val="0"/>
          <w:numId w:val="29"/>
        </w:numPr>
        <w:spacing w:before="240"/>
        <w:rPr>
          <w:rFonts w:eastAsia="Arial" w:cs="Arial"/>
        </w:rPr>
      </w:pPr>
      <w:r w:rsidRPr="006448DF">
        <w:rPr>
          <w:rFonts w:eastAsia="Arial" w:cs="Arial"/>
        </w:rPr>
        <w:t>Are the roles of PHNs clear and understood by stakeholders? How will the relative importance of the different roles need to evolve to meet broader changes in health policy and delivery?</w:t>
      </w:r>
    </w:p>
    <w:p w14:paraId="2FB8D6B7" w14:textId="77777777" w:rsidR="00A57B47" w:rsidRPr="006448DF" w:rsidRDefault="00A57B47" w:rsidP="009C37CF">
      <w:pPr>
        <w:numPr>
          <w:ilvl w:val="0"/>
          <w:numId w:val="29"/>
        </w:numPr>
        <w:spacing w:before="240"/>
        <w:rPr>
          <w:rFonts w:eastAsia="Arial" w:cs="Arial"/>
        </w:rPr>
      </w:pPr>
      <w:r w:rsidRPr="006448DF">
        <w:rPr>
          <w:rFonts w:eastAsia="Arial" w:cs="Arial"/>
        </w:rPr>
        <w:t>Is the governance of PHNs and the broader PHN Program appropriate, efficient and effective?</w:t>
      </w:r>
    </w:p>
    <w:p w14:paraId="611201FF" w14:textId="77777777" w:rsidR="00A57B47" w:rsidRPr="006448DF" w:rsidRDefault="00A57B47" w:rsidP="009C37CF">
      <w:pPr>
        <w:numPr>
          <w:ilvl w:val="0"/>
          <w:numId w:val="29"/>
        </w:numPr>
        <w:spacing w:before="240"/>
        <w:rPr>
          <w:rFonts w:eastAsia="Arial" w:cs="Arial"/>
        </w:rPr>
      </w:pPr>
      <w:r w:rsidRPr="006448DF">
        <w:rPr>
          <w:rFonts w:eastAsia="Arial" w:cs="Arial"/>
        </w:rPr>
        <w:t>Does the PHN Program support regional planning, capacity building, effective communication and engagement between relevant stakeholders?</w:t>
      </w:r>
    </w:p>
    <w:p w14:paraId="0AE37379" w14:textId="77777777" w:rsidR="00A57B47" w:rsidRPr="006448DF" w:rsidRDefault="00A57B47" w:rsidP="009C37CF">
      <w:pPr>
        <w:numPr>
          <w:ilvl w:val="0"/>
          <w:numId w:val="29"/>
        </w:numPr>
        <w:spacing w:before="240"/>
        <w:rPr>
          <w:rFonts w:eastAsia="Arial" w:cs="Arial"/>
        </w:rPr>
      </w:pPr>
      <w:r w:rsidRPr="006448DF">
        <w:rPr>
          <w:rFonts w:eastAsia="Arial" w:cs="Arial"/>
        </w:rPr>
        <w:t>Do the current PHN Program funding arrangements support effective delivery of the objectives?</w:t>
      </w:r>
    </w:p>
    <w:p w14:paraId="52D1A8A5" w14:textId="77777777" w:rsidR="00A57B47" w:rsidRPr="006448DF" w:rsidRDefault="00A57B47" w:rsidP="009C37CF">
      <w:pPr>
        <w:numPr>
          <w:ilvl w:val="0"/>
          <w:numId w:val="29"/>
        </w:numPr>
        <w:spacing w:before="240"/>
        <w:rPr>
          <w:rFonts w:eastAsia="Arial" w:cs="Arial"/>
        </w:rPr>
      </w:pPr>
      <w:r w:rsidRPr="006448DF">
        <w:rPr>
          <w:rFonts w:eastAsia="Arial" w:cs="Arial"/>
        </w:rPr>
        <w:t>What is the role of PHNs in commissioning services through the Mental Health Flexible Funding Stream within the mental health and suicide prevention system, and how effective has it been? How could that role evolve to be more efficient and effective?</w:t>
      </w:r>
    </w:p>
    <w:p w14:paraId="503FAAEA" w14:textId="77777777" w:rsidR="00A57B47" w:rsidRPr="006448DF" w:rsidRDefault="00A57B47" w:rsidP="009C37CF">
      <w:pPr>
        <w:numPr>
          <w:ilvl w:val="0"/>
          <w:numId w:val="29"/>
        </w:numPr>
        <w:spacing w:before="240"/>
        <w:rPr>
          <w:rFonts w:eastAsia="Arial" w:cs="Arial"/>
        </w:rPr>
      </w:pPr>
      <w:r w:rsidRPr="006448DF">
        <w:rPr>
          <w:rFonts w:eastAsia="Arial" w:cs="Arial"/>
        </w:rPr>
        <w:t>How can the Mental Health Flexible Funding Stream funding model be updated to meet the evolving role?</w:t>
      </w:r>
    </w:p>
    <w:p w14:paraId="358CBF35" w14:textId="6FCA5B26" w:rsidR="00A57B47" w:rsidRDefault="00A57B47" w:rsidP="009C37CF">
      <w:pPr>
        <w:spacing w:before="240"/>
        <w:rPr>
          <w:rFonts w:eastAsia="Arial" w:cs="Arial"/>
        </w:rPr>
      </w:pPr>
      <w:r w:rsidRPr="006448DF">
        <w:rPr>
          <w:rFonts w:eastAsia="Arial" w:cs="Arial"/>
        </w:rPr>
        <w:t xml:space="preserve">The review was conducted from November 2024 to </w:t>
      </w:r>
      <w:r w:rsidR="004D7821">
        <w:rPr>
          <w:rFonts w:eastAsia="Arial" w:cs="Arial"/>
        </w:rPr>
        <w:t>June</w:t>
      </w:r>
      <w:r w:rsidR="004D7821" w:rsidRPr="006448DF">
        <w:rPr>
          <w:rFonts w:eastAsia="Arial" w:cs="Arial"/>
        </w:rPr>
        <w:t xml:space="preserve"> </w:t>
      </w:r>
      <w:r w:rsidRPr="006448DF">
        <w:rPr>
          <w:rFonts w:eastAsia="Arial" w:cs="Arial"/>
        </w:rPr>
        <w:t>2025 and included approximately 150 interviews, 130 submissions and 1,500 survey responses across all key stakeholder groups</w:t>
      </w:r>
      <w:r w:rsidR="00F63B3F">
        <w:rPr>
          <w:rFonts w:eastAsia="Arial" w:cs="Arial"/>
        </w:rPr>
        <w:t xml:space="preserve"> (</w:t>
      </w:r>
      <w:r w:rsidR="000A538A">
        <w:rPr>
          <w:rFonts w:eastAsia="Arial" w:cs="Arial"/>
        </w:rPr>
        <w:t>s</w:t>
      </w:r>
      <w:r w:rsidR="00F63B3F">
        <w:rPr>
          <w:rFonts w:eastAsia="Arial" w:cs="Arial"/>
        </w:rPr>
        <w:t>ee Table 1 below</w:t>
      </w:r>
      <w:r w:rsidR="000A538A">
        <w:rPr>
          <w:rFonts w:eastAsia="Arial" w:cs="Arial"/>
        </w:rPr>
        <w:t>)</w:t>
      </w:r>
      <w:r w:rsidR="00F63B3F">
        <w:rPr>
          <w:rFonts w:eastAsia="Arial" w:cs="Arial"/>
        </w:rPr>
        <w:t xml:space="preserve">. </w:t>
      </w:r>
    </w:p>
    <w:p w14:paraId="739012D1" w14:textId="7C9FDE9E" w:rsidR="00A57B47" w:rsidRPr="006448DF" w:rsidRDefault="00E86637" w:rsidP="00E86637">
      <w:pPr>
        <w:spacing w:before="0" w:after="0" w:line="240" w:lineRule="auto"/>
        <w:rPr>
          <w:rFonts w:eastAsia="Arial" w:cs="Arial"/>
        </w:rPr>
      </w:pPr>
      <w:r>
        <w:rPr>
          <w:rFonts w:eastAsia="Arial"/>
        </w:rPr>
        <w:br w:type="page"/>
      </w:r>
      <w:r w:rsidR="008C6B0F">
        <w:lastRenderedPageBreak/>
        <w:t>Table 1</w:t>
      </w:r>
      <w:r w:rsidR="008C6B0F" w:rsidRPr="000C6C65">
        <w:t xml:space="preserve">: </w:t>
      </w:r>
      <w:r w:rsidR="008B591F">
        <w:t>Summary of consultation</w:t>
      </w:r>
    </w:p>
    <w:p w14:paraId="4294C12F" w14:textId="4F2D7062" w:rsidR="005157AF" w:rsidRDefault="005157AF" w:rsidP="00A57B47">
      <w:pPr>
        <w:spacing w:before="0" w:after="0" w:line="240" w:lineRule="auto"/>
      </w:pPr>
    </w:p>
    <w:tbl>
      <w:tblPr>
        <w:tblStyle w:val="TableGrid"/>
        <w:tblW w:w="9128" w:type="dxa"/>
        <w:tblLook w:val="04A0" w:firstRow="1" w:lastRow="0" w:firstColumn="1" w:lastColumn="0" w:noHBand="0" w:noVBand="1"/>
      </w:tblPr>
      <w:tblGrid>
        <w:gridCol w:w="2282"/>
        <w:gridCol w:w="2282"/>
        <w:gridCol w:w="2282"/>
        <w:gridCol w:w="2282"/>
      </w:tblGrid>
      <w:tr w:rsidR="005157AF" w14:paraId="19112020" w14:textId="77777777" w:rsidTr="00945D7B">
        <w:trPr>
          <w:trHeight w:val="864"/>
        </w:trPr>
        <w:tc>
          <w:tcPr>
            <w:tcW w:w="2282" w:type="dxa"/>
            <w:shd w:val="clear" w:color="auto" w:fill="005EB8"/>
            <w:vAlign w:val="center"/>
          </w:tcPr>
          <w:p w14:paraId="698C2214" w14:textId="77777777" w:rsidR="005157AF" w:rsidRDefault="005157AF" w:rsidP="005157AF">
            <w:pPr>
              <w:spacing w:before="0" w:after="0" w:line="240" w:lineRule="auto"/>
            </w:pPr>
          </w:p>
        </w:tc>
        <w:tc>
          <w:tcPr>
            <w:tcW w:w="2282" w:type="dxa"/>
            <w:shd w:val="clear" w:color="auto" w:fill="005EB8"/>
            <w:vAlign w:val="center"/>
          </w:tcPr>
          <w:p w14:paraId="40043DD2" w14:textId="7BB8DB42" w:rsidR="005157AF" w:rsidRPr="001A3AC3" w:rsidRDefault="005157AF" w:rsidP="005157AF">
            <w:pPr>
              <w:spacing w:before="0" w:after="0" w:line="240" w:lineRule="auto"/>
              <w:rPr>
                <w:b/>
              </w:rPr>
            </w:pPr>
            <w:r w:rsidRPr="001A3AC3">
              <w:rPr>
                <w:rFonts w:cs="Arial"/>
                <w:b/>
                <w:color w:val="FFFFFF" w:themeColor="background1"/>
                <w:sz w:val="21"/>
                <w:szCs w:val="21"/>
              </w:rPr>
              <w:t>Interviewees</w:t>
            </w:r>
          </w:p>
        </w:tc>
        <w:tc>
          <w:tcPr>
            <w:tcW w:w="2282" w:type="dxa"/>
            <w:shd w:val="clear" w:color="auto" w:fill="005EB8"/>
            <w:vAlign w:val="center"/>
          </w:tcPr>
          <w:p w14:paraId="7DC471FC" w14:textId="7DC06DEE" w:rsidR="005157AF" w:rsidRPr="001A3AC3" w:rsidRDefault="005157AF" w:rsidP="005157AF">
            <w:pPr>
              <w:spacing w:before="0" w:after="0" w:line="240" w:lineRule="auto"/>
              <w:rPr>
                <w:b/>
              </w:rPr>
            </w:pPr>
            <w:r w:rsidRPr="001A3AC3">
              <w:rPr>
                <w:rFonts w:cs="Arial"/>
                <w:b/>
                <w:color w:val="FFFFFF" w:themeColor="background1"/>
                <w:sz w:val="21"/>
                <w:szCs w:val="21"/>
              </w:rPr>
              <w:t>Written submissions</w:t>
            </w:r>
          </w:p>
        </w:tc>
        <w:tc>
          <w:tcPr>
            <w:tcW w:w="2282" w:type="dxa"/>
            <w:shd w:val="clear" w:color="auto" w:fill="005EB8"/>
            <w:vAlign w:val="center"/>
          </w:tcPr>
          <w:p w14:paraId="7455C26F" w14:textId="0F552026" w:rsidR="005157AF" w:rsidRPr="001A3AC3" w:rsidRDefault="005157AF" w:rsidP="005157AF">
            <w:pPr>
              <w:spacing w:before="0" w:after="0" w:line="240" w:lineRule="auto"/>
              <w:rPr>
                <w:b/>
              </w:rPr>
            </w:pPr>
            <w:r w:rsidRPr="001A3AC3">
              <w:rPr>
                <w:rFonts w:cs="Arial"/>
                <w:b/>
                <w:color w:val="FFFFFF" w:themeColor="background1"/>
                <w:sz w:val="21"/>
                <w:szCs w:val="21"/>
              </w:rPr>
              <w:t>Survey respondents</w:t>
            </w:r>
            <w:r w:rsidRPr="001A3AC3">
              <w:rPr>
                <w:b/>
                <w:color w:val="FFFFFF" w:themeColor="background1"/>
                <w:sz w:val="21"/>
                <w:szCs w:val="21"/>
                <w:vertAlign w:val="superscript"/>
              </w:rPr>
              <w:footnoteReference w:id="2"/>
            </w:r>
          </w:p>
        </w:tc>
      </w:tr>
      <w:tr w:rsidR="005157AF" w14:paraId="67B5E4DC" w14:textId="77777777" w:rsidTr="00945D7B">
        <w:trPr>
          <w:trHeight w:val="457"/>
        </w:trPr>
        <w:tc>
          <w:tcPr>
            <w:tcW w:w="2282" w:type="dxa"/>
            <w:vAlign w:val="center"/>
          </w:tcPr>
          <w:p w14:paraId="410A3295" w14:textId="6FD57A55" w:rsidR="005157AF" w:rsidRDefault="005157AF" w:rsidP="005157AF">
            <w:pPr>
              <w:spacing w:before="0" w:after="0" w:line="240" w:lineRule="auto"/>
            </w:pPr>
            <w:r w:rsidRPr="008F3BD9">
              <w:rPr>
                <w:rFonts w:eastAsia="Arial" w:cs="Arial"/>
                <w:lang w:val="en-GB"/>
              </w:rPr>
              <w:t>Central agencies</w:t>
            </w:r>
          </w:p>
        </w:tc>
        <w:tc>
          <w:tcPr>
            <w:tcW w:w="2282" w:type="dxa"/>
            <w:vAlign w:val="center"/>
          </w:tcPr>
          <w:p w14:paraId="3F43587E" w14:textId="6BC300C4" w:rsidR="005157AF" w:rsidRDefault="005157AF" w:rsidP="005157AF">
            <w:pPr>
              <w:spacing w:before="0" w:after="0" w:line="240" w:lineRule="auto"/>
            </w:pPr>
            <w:r w:rsidRPr="008F3BD9">
              <w:rPr>
                <w:rFonts w:eastAsia="Arial" w:cs="Arial"/>
                <w:lang w:val="en-GB"/>
              </w:rPr>
              <w:t>6</w:t>
            </w:r>
          </w:p>
        </w:tc>
        <w:tc>
          <w:tcPr>
            <w:tcW w:w="2282" w:type="dxa"/>
            <w:vAlign w:val="center"/>
          </w:tcPr>
          <w:p w14:paraId="15A6B5DD" w14:textId="33016301" w:rsidR="005157AF" w:rsidRDefault="005157AF" w:rsidP="005157AF">
            <w:pPr>
              <w:spacing w:before="0" w:after="0" w:line="240" w:lineRule="auto"/>
            </w:pPr>
            <w:r w:rsidRPr="008F3BD9">
              <w:rPr>
                <w:rFonts w:eastAsia="Arial" w:cs="Arial"/>
                <w:lang w:val="en-GB"/>
              </w:rPr>
              <w:t>-</w:t>
            </w:r>
          </w:p>
        </w:tc>
        <w:tc>
          <w:tcPr>
            <w:tcW w:w="2282" w:type="dxa"/>
            <w:vAlign w:val="center"/>
          </w:tcPr>
          <w:p w14:paraId="379B9BD4" w14:textId="573FE452" w:rsidR="005157AF" w:rsidRDefault="005157AF" w:rsidP="005157AF">
            <w:pPr>
              <w:spacing w:before="0" w:after="0" w:line="240" w:lineRule="auto"/>
            </w:pPr>
            <w:r w:rsidRPr="008F3BD9">
              <w:rPr>
                <w:rFonts w:eastAsia="Arial" w:cs="Arial"/>
                <w:lang w:val="en-GB"/>
              </w:rPr>
              <w:t>-</w:t>
            </w:r>
          </w:p>
        </w:tc>
      </w:tr>
      <w:tr w:rsidR="005157AF" w14:paraId="51609FFA" w14:textId="77777777" w:rsidTr="00945D7B">
        <w:trPr>
          <w:trHeight w:val="432"/>
        </w:trPr>
        <w:tc>
          <w:tcPr>
            <w:tcW w:w="2282" w:type="dxa"/>
            <w:vAlign w:val="center"/>
          </w:tcPr>
          <w:p w14:paraId="4819CBC0" w14:textId="4926F827" w:rsidR="005157AF" w:rsidRDefault="005157AF" w:rsidP="005157AF">
            <w:pPr>
              <w:spacing w:before="0" w:after="0" w:line="240" w:lineRule="auto"/>
            </w:pPr>
            <w:r w:rsidRPr="008F3BD9">
              <w:rPr>
                <w:rFonts w:eastAsia="Arial" w:cs="Arial"/>
                <w:lang w:val="en-GB"/>
              </w:rPr>
              <w:t>State government</w:t>
            </w:r>
          </w:p>
        </w:tc>
        <w:tc>
          <w:tcPr>
            <w:tcW w:w="2282" w:type="dxa"/>
            <w:vAlign w:val="center"/>
          </w:tcPr>
          <w:p w14:paraId="20AA59F2" w14:textId="770ACC40" w:rsidR="005157AF" w:rsidRDefault="005157AF" w:rsidP="005157AF">
            <w:pPr>
              <w:spacing w:before="0" w:after="0" w:line="240" w:lineRule="auto"/>
            </w:pPr>
            <w:r w:rsidRPr="008F3BD9">
              <w:rPr>
                <w:rFonts w:eastAsia="Arial" w:cs="Arial"/>
                <w:lang w:val="en-GB"/>
              </w:rPr>
              <w:t>31</w:t>
            </w:r>
          </w:p>
        </w:tc>
        <w:tc>
          <w:tcPr>
            <w:tcW w:w="2282" w:type="dxa"/>
            <w:vAlign w:val="center"/>
          </w:tcPr>
          <w:p w14:paraId="4249608C" w14:textId="744ABC84" w:rsidR="005157AF" w:rsidRDefault="005157AF" w:rsidP="005157AF">
            <w:pPr>
              <w:spacing w:before="0" w:after="0" w:line="240" w:lineRule="auto"/>
            </w:pPr>
            <w:r w:rsidRPr="008F3BD9">
              <w:rPr>
                <w:rFonts w:eastAsia="Arial" w:cs="Arial"/>
                <w:lang w:val="en-GB"/>
              </w:rPr>
              <w:t>1</w:t>
            </w:r>
          </w:p>
        </w:tc>
        <w:tc>
          <w:tcPr>
            <w:tcW w:w="2282" w:type="dxa"/>
            <w:vAlign w:val="center"/>
          </w:tcPr>
          <w:p w14:paraId="1409A737" w14:textId="722F0B29" w:rsidR="005157AF" w:rsidRDefault="005157AF" w:rsidP="005157AF">
            <w:pPr>
              <w:spacing w:before="0" w:after="0" w:line="240" w:lineRule="auto"/>
            </w:pPr>
            <w:r w:rsidRPr="008F3BD9">
              <w:rPr>
                <w:rFonts w:eastAsia="Arial" w:cs="Arial"/>
                <w:lang w:val="en-GB"/>
              </w:rPr>
              <w:t>132</w:t>
            </w:r>
          </w:p>
        </w:tc>
      </w:tr>
      <w:tr w:rsidR="005157AF" w14:paraId="01717A4D" w14:textId="77777777" w:rsidTr="00945D7B">
        <w:trPr>
          <w:trHeight w:val="432"/>
        </w:trPr>
        <w:tc>
          <w:tcPr>
            <w:tcW w:w="2282" w:type="dxa"/>
            <w:vAlign w:val="center"/>
          </w:tcPr>
          <w:p w14:paraId="02E6201A" w14:textId="11CC23CD" w:rsidR="005157AF" w:rsidRDefault="005157AF" w:rsidP="005157AF">
            <w:pPr>
              <w:spacing w:before="0" w:after="0" w:line="240" w:lineRule="auto"/>
            </w:pPr>
            <w:r w:rsidRPr="008F3BD9">
              <w:rPr>
                <w:rFonts w:eastAsia="Arial" w:cs="Arial"/>
                <w:lang w:val="en-GB"/>
              </w:rPr>
              <w:t>PHNs</w:t>
            </w:r>
          </w:p>
        </w:tc>
        <w:tc>
          <w:tcPr>
            <w:tcW w:w="2282" w:type="dxa"/>
            <w:vAlign w:val="center"/>
          </w:tcPr>
          <w:p w14:paraId="516A3699" w14:textId="5F862558" w:rsidR="005157AF" w:rsidRDefault="005157AF" w:rsidP="005157AF">
            <w:pPr>
              <w:spacing w:before="0" w:after="0" w:line="240" w:lineRule="auto"/>
            </w:pPr>
            <w:r w:rsidRPr="008F3BD9">
              <w:rPr>
                <w:rFonts w:eastAsia="Arial" w:cs="Arial"/>
                <w:lang w:val="en-GB"/>
              </w:rPr>
              <w:t>57</w:t>
            </w:r>
          </w:p>
        </w:tc>
        <w:tc>
          <w:tcPr>
            <w:tcW w:w="2282" w:type="dxa"/>
            <w:vAlign w:val="center"/>
          </w:tcPr>
          <w:p w14:paraId="72BD6B6A" w14:textId="385391D0" w:rsidR="005157AF" w:rsidRDefault="005157AF" w:rsidP="005157AF">
            <w:pPr>
              <w:spacing w:before="0" w:after="0" w:line="240" w:lineRule="auto"/>
            </w:pPr>
            <w:r w:rsidRPr="008F3BD9">
              <w:rPr>
                <w:rFonts w:eastAsia="Arial" w:cs="Arial"/>
                <w:lang w:val="en-GB"/>
              </w:rPr>
              <w:t>17</w:t>
            </w:r>
          </w:p>
        </w:tc>
        <w:tc>
          <w:tcPr>
            <w:tcW w:w="2282" w:type="dxa"/>
            <w:vAlign w:val="center"/>
          </w:tcPr>
          <w:p w14:paraId="67CEBE90" w14:textId="790DA12A" w:rsidR="005157AF" w:rsidRDefault="005157AF" w:rsidP="005157AF">
            <w:pPr>
              <w:spacing w:before="0" w:after="0" w:line="240" w:lineRule="auto"/>
            </w:pPr>
            <w:r w:rsidRPr="008F3BD9">
              <w:rPr>
                <w:rFonts w:eastAsia="Arial" w:cs="Arial"/>
                <w:lang w:val="en-GB"/>
              </w:rPr>
              <w:t>46</w:t>
            </w:r>
          </w:p>
        </w:tc>
      </w:tr>
      <w:tr w:rsidR="005157AF" w14:paraId="770CB894" w14:textId="77777777" w:rsidTr="00945D7B">
        <w:trPr>
          <w:trHeight w:val="1130"/>
        </w:trPr>
        <w:tc>
          <w:tcPr>
            <w:tcW w:w="2282" w:type="dxa"/>
            <w:vAlign w:val="center"/>
          </w:tcPr>
          <w:p w14:paraId="796D833B" w14:textId="07A692D8" w:rsidR="005157AF" w:rsidRDefault="005157AF" w:rsidP="005157AF">
            <w:pPr>
              <w:spacing w:before="0" w:after="0" w:line="240" w:lineRule="auto"/>
            </w:pPr>
            <w:r w:rsidRPr="008F3BD9">
              <w:rPr>
                <w:rFonts w:eastAsia="Arial" w:cs="Arial"/>
                <w:lang w:val="en-GB"/>
              </w:rPr>
              <w:t>PHN</w:t>
            </w:r>
            <w:r w:rsidR="00A13B47">
              <w:rPr>
                <w:rFonts w:eastAsia="Arial" w:cs="Arial"/>
                <w:lang w:val="en-GB"/>
              </w:rPr>
              <w:t xml:space="preserve"> </w:t>
            </w:r>
            <w:r w:rsidR="00A13B47" w:rsidRPr="00A13B47">
              <w:rPr>
                <w:rFonts w:eastAsia="Arial" w:cs="Arial"/>
                <w:lang w:val="en-US"/>
              </w:rPr>
              <w:t xml:space="preserve">Community Councils and Community Advisory Committees </w:t>
            </w:r>
          </w:p>
        </w:tc>
        <w:tc>
          <w:tcPr>
            <w:tcW w:w="2282" w:type="dxa"/>
            <w:vAlign w:val="center"/>
          </w:tcPr>
          <w:p w14:paraId="79507587" w14:textId="4F2720FA" w:rsidR="005157AF" w:rsidRDefault="005157AF" w:rsidP="005157AF">
            <w:pPr>
              <w:spacing w:before="0" w:after="0" w:line="240" w:lineRule="auto"/>
            </w:pPr>
            <w:r w:rsidRPr="008F3BD9">
              <w:rPr>
                <w:rFonts w:eastAsia="Arial" w:cs="Arial"/>
                <w:lang w:val="en-GB"/>
              </w:rPr>
              <w:t>-</w:t>
            </w:r>
          </w:p>
        </w:tc>
        <w:tc>
          <w:tcPr>
            <w:tcW w:w="2282" w:type="dxa"/>
            <w:vAlign w:val="center"/>
          </w:tcPr>
          <w:p w14:paraId="1EB9B475" w14:textId="2B28E6EC" w:rsidR="005157AF" w:rsidRDefault="005157AF" w:rsidP="005157AF">
            <w:pPr>
              <w:spacing w:before="0" w:after="0" w:line="240" w:lineRule="auto"/>
            </w:pPr>
            <w:r w:rsidRPr="008F3BD9">
              <w:rPr>
                <w:rFonts w:eastAsia="Arial" w:cs="Arial"/>
                <w:lang w:val="en-GB"/>
              </w:rPr>
              <w:t>-</w:t>
            </w:r>
          </w:p>
        </w:tc>
        <w:tc>
          <w:tcPr>
            <w:tcW w:w="2282" w:type="dxa"/>
            <w:vAlign w:val="center"/>
          </w:tcPr>
          <w:p w14:paraId="554C9C15" w14:textId="5B2FA5E1" w:rsidR="005157AF" w:rsidRDefault="005157AF" w:rsidP="005157AF">
            <w:pPr>
              <w:spacing w:before="0" w:after="0" w:line="240" w:lineRule="auto"/>
            </w:pPr>
            <w:r w:rsidRPr="008F3BD9">
              <w:rPr>
                <w:rFonts w:eastAsia="Arial" w:cs="Arial"/>
                <w:lang w:val="en-GB"/>
              </w:rPr>
              <w:t>148</w:t>
            </w:r>
          </w:p>
        </w:tc>
      </w:tr>
      <w:tr w:rsidR="005157AF" w14:paraId="66C6DFED" w14:textId="77777777" w:rsidTr="00945D7B">
        <w:trPr>
          <w:trHeight w:val="457"/>
        </w:trPr>
        <w:tc>
          <w:tcPr>
            <w:tcW w:w="2282" w:type="dxa"/>
            <w:vAlign w:val="center"/>
          </w:tcPr>
          <w:p w14:paraId="3E11F5A2" w14:textId="4DFB80C7" w:rsidR="005157AF" w:rsidRDefault="005157AF" w:rsidP="005157AF">
            <w:pPr>
              <w:spacing w:before="0" w:after="0" w:line="240" w:lineRule="auto"/>
            </w:pPr>
            <w:r w:rsidRPr="008F3BD9">
              <w:rPr>
                <w:rFonts w:eastAsia="Arial" w:cs="Arial"/>
                <w:lang w:val="en-GB"/>
              </w:rPr>
              <w:t>Peak bodies</w:t>
            </w:r>
          </w:p>
        </w:tc>
        <w:tc>
          <w:tcPr>
            <w:tcW w:w="2282" w:type="dxa"/>
            <w:vAlign w:val="center"/>
          </w:tcPr>
          <w:p w14:paraId="52092908" w14:textId="44883C8B" w:rsidR="005157AF" w:rsidRDefault="005157AF" w:rsidP="005157AF">
            <w:pPr>
              <w:spacing w:before="0" w:after="0" w:line="240" w:lineRule="auto"/>
            </w:pPr>
            <w:r w:rsidRPr="008F3BD9">
              <w:rPr>
                <w:rFonts w:eastAsia="Arial" w:cs="Arial"/>
                <w:lang w:val="en-GB"/>
              </w:rPr>
              <w:t>16</w:t>
            </w:r>
          </w:p>
        </w:tc>
        <w:tc>
          <w:tcPr>
            <w:tcW w:w="2282" w:type="dxa"/>
            <w:vAlign w:val="center"/>
          </w:tcPr>
          <w:p w14:paraId="4478084C" w14:textId="398769B4" w:rsidR="005157AF" w:rsidRDefault="005157AF" w:rsidP="005157AF">
            <w:pPr>
              <w:spacing w:before="0" w:after="0" w:line="240" w:lineRule="auto"/>
            </w:pPr>
            <w:r w:rsidRPr="008F3BD9">
              <w:rPr>
                <w:rFonts w:eastAsia="Arial" w:cs="Arial"/>
                <w:lang w:val="en-GB"/>
              </w:rPr>
              <w:t>29</w:t>
            </w:r>
          </w:p>
        </w:tc>
        <w:tc>
          <w:tcPr>
            <w:tcW w:w="2282" w:type="dxa"/>
            <w:vAlign w:val="center"/>
          </w:tcPr>
          <w:p w14:paraId="4BE33722" w14:textId="1AEEE3A1" w:rsidR="005157AF" w:rsidRDefault="005157AF" w:rsidP="005157AF">
            <w:pPr>
              <w:spacing w:before="0" w:after="0" w:line="240" w:lineRule="auto"/>
            </w:pPr>
            <w:r w:rsidRPr="008F3BD9">
              <w:rPr>
                <w:rFonts w:eastAsia="Arial" w:cs="Arial"/>
                <w:lang w:val="en-GB"/>
              </w:rPr>
              <w:t>60</w:t>
            </w:r>
          </w:p>
        </w:tc>
      </w:tr>
      <w:tr w:rsidR="005157AF" w14:paraId="334F44EE" w14:textId="77777777" w:rsidTr="00945D7B">
        <w:trPr>
          <w:trHeight w:val="432"/>
        </w:trPr>
        <w:tc>
          <w:tcPr>
            <w:tcW w:w="2282" w:type="dxa"/>
            <w:vAlign w:val="center"/>
          </w:tcPr>
          <w:p w14:paraId="7689795C" w14:textId="599F44AB" w:rsidR="005157AF" w:rsidRDefault="005157AF" w:rsidP="005157AF">
            <w:pPr>
              <w:spacing w:before="0" w:after="0" w:line="240" w:lineRule="auto"/>
            </w:pPr>
            <w:r w:rsidRPr="008F3BD9">
              <w:rPr>
                <w:rFonts w:eastAsia="Arial" w:cs="Arial"/>
                <w:lang w:val="en-GB"/>
              </w:rPr>
              <w:t>General practices</w:t>
            </w:r>
          </w:p>
        </w:tc>
        <w:tc>
          <w:tcPr>
            <w:tcW w:w="2282" w:type="dxa"/>
            <w:vAlign w:val="center"/>
          </w:tcPr>
          <w:p w14:paraId="1301BEB4" w14:textId="4E1A4244" w:rsidR="005157AF" w:rsidRDefault="005157AF" w:rsidP="005157AF">
            <w:pPr>
              <w:spacing w:before="0" w:after="0" w:line="240" w:lineRule="auto"/>
            </w:pPr>
            <w:r w:rsidRPr="008F3BD9">
              <w:rPr>
                <w:rFonts w:eastAsia="Arial" w:cs="Arial"/>
                <w:lang w:val="en-GB"/>
              </w:rPr>
              <w:t>5</w:t>
            </w:r>
          </w:p>
        </w:tc>
        <w:tc>
          <w:tcPr>
            <w:tcW w:w="2282" w:type="dxa"/>
            <w:vAlign w:val="center"/>
          </w:tcPr>
          <w:p w14:paraId="44FDB1AB" w14:textId="606D04FD" w:rsidR="005157AF" w:rsidRDefault="005157AF" w:rsidP="005157AF">
            <w:pPr>
              <w:spacing w:before="0" w:after="0" w:line="240" w:lineRule="auto"/>
            </w:pPr>
            <w:r w:rsidRPr="008F3BD9">
              <w:rPr>
                <w:rFonts w:eastAsia="Arial" w:cs="Arial"/>
                <w:lang w:val="en-GB"/>
              </w:rPr>
              <w:t>9</w:t>
            </w:r>
          </w:p>
        </w:tc>
        <w:tc>
          <w:tcPr>
            <w:tcW w:w="2282" w:type="dxa"/>
            <w:vAlign w:val="center"/>
          </w:tcPr>
          <w:p w14:paraId="5395C263" w14:textId="51655964" w:rsidR="005157AF" w:rsidRDefault="005157AF" w:rsidP="005157AF">
            <w:pPr>
              <w:spacing w:before="0" w:after="0" w:line="240" w:lineRule="auto"/>
            </w:pPr>
            <w:r w:rsidRPr="008F3BD9">
              <w:rPr>
                <w:rFonts w:eastAsia="Arial" w:cs="Arial"/>
                <w:lang w:val="en-GB"/>
              </w:rPr>
              <w:t>307</w:t>
            </w:r>
          </w:p>
        </w:tc>
      </w:tr>
      <w:tr w:rsidR="005157AF" w14:paraId="1C6A0526" w14:textId="77777777" w:rsidTr="00945D7B">
        <w:trPr>
          <w:trHeight w:val="889"/>
        </w:trPr>
        <w:tc>
          <w:tcPr>
            <w:tcW w:w="2282" w:type="dxa"/>
            <w:vAlign w:val="center"/>
          </w:tcPr>
          <w:p w14:paraId="031426B2" w14:textId="39D6B58C" w:rsidR="005157AF" w:rsidRDefault="005157AF" w:rsidP="005157AF">
            <w:pPr>
              <w:spacing w:before="0" w:after="0" w:line="240" w:lineRule="auto"/>
            </w:pPr>
            <w:r w:rsidRPr="008F3BD9">
              <w:rPr>
                <w:rFonts w:eastAsia="Arial" w:cs="Arial"/>
                <w:lang w:val="en-GB"/>
              </w:rPr>
              <w:t>Other local service provider</w:t>
            </w:r>
            <w:r>
              <w:rPr>
                <w:rFonts w:eastAsia="Arial" w:cs="Arial"/>
                <w:lang w:val="en-GB"/>
              </w:rPr>
              <w:t>s</w:t>
            </w:r>
          </w:p>
        </w:tc>
        <w:tc>
          <w:tcPr>
            <w:tcW w:w="2282" w:type="dxa"/>
            <w:vAlign w:val="center"/>
          </w:tcPr>
          <w:p w14:paraId="371D3209" w14:textId="7CFF95FF" w:rsidR="005157AF" w:rsidRDefault="005157AF" w:rsidP="005157AF">
            <w:pPr>
              <w:spacing w:before="0" w:after="0" w:line="240" w:lineRule="auto"/>
            </w:pPr>
            <w:r w:rsidRPr="008F3BD9">
              <w:rPr>
                <w:rFonts w:eastAsia="Arial" w:cs="Arial"/>
                <w:lang w:val="en-GB"/>
              </w:rPr>
              <w:t>27</w:t>
            </w:r>
          </w:p>
        </w:tc>
        <w:tc>
          <w:tcPr>
            <w:tcW w:w="2282" w:type="dxa"/>
            <w:vAlign w:val="center"/>
          </w:tcPr>
          <w:p w14:paraId="76156606" w14:textId="742A452E" w:rsidR="005157AF" w:rsidRDefault="005157AF" w:rsidP="005157AF">
            <w:pPr>
              <w:spacing w:before="0" w:after="0" w:line="240" w:lineRule="auto"/>
            </w:pPr>
            <w:r w:rsidRPr="008F3BD9">
              <w:rPr>
                <w:rFonts w:eastAsia="Arial" w:cs="Arial"/>
                <w:lang w:val="en-GB"/>
              </w:rPr>
              <w:t>73</w:t>
            </w:r>
          </w:p>
        </w:tc>
        <w:tc>
          <w:tcPr>
            <w:tcW w:w="2282" w:type="dxa"/>
            <w:vAlign w:val="center"/>
          </w:tcPr>
          <w:p w14:paraId="2DF7F475" w14:textId="14ACE4FC" w:rsidR="005157AF" w:rsidRDefault="005157AF" w:rsidP="005157AF">
            <w:pPr>
              <w:spacing w:before="0" w:after="0" w:line="240" w:lineRule="auto"/>
            </w:pPr>
            <w:r w:rsidRPr="008F3BD9">
              <w:rPr>
                <w:rFonts w:eastAsia="Arial" w:cs="Arial"/>
                <w:lang w:val="en-GB"/>
              </w:rPr>
              <w:t>595</w:t>
            </w:r>
          </w:p>
        </w:tc>
      </w:tr>
      <w:tr w:rsidR="005157AF" w14:paraId="3833E22B" w14:textId="77777777" w:rsidTr="00945D7B">
        <w:trPr>
          <w:trHeight w:val="432"/>
        </w:trPr>
        <w:tc>
          <w:tcPr>
            <w:tcW w:w="2282" w:type="dxa"/>
            <w:vAlign w:val="center"/>
          </w:tcPr>
          <w:p w14:paraId="33AAB30C" w14:textId="2BAAE548" w:rsidR="005157AF" w:rsidRDefault="005157AF" w:rsidP="005157AF">
            <w:pPr>
              <w:spacing w:before="0" w:after="0" w:line="240" w:lineRule="auto"/>
            </w:pPr>
            <w:r w:rsidRPr="008F3BD9">
              <w:rPr>
                <w:rFonts w:eastAsia="Arial" w:cs="Arial"/>
                <w:lang w:val="en-GB"/>
              </w:rPr>
              <w:t>Other</w:t>
            </w:r>
            <w:r>
              <w:rPr>
                <w:rStyle w:val="FootnoteReference"/>
                <w:rFonts w:eastAsia="Arial" w:cs="Arial"/>
                <w:lang w:val="en-GB"/>
              </w:rPr>
              <w:footnoteReference w:id="3"/>
            </w:r>
          </w:p>
        </w:tc>
        <w:tc>
          <w:tcPr>
            <w:tcW w:w="2282" w:type="dxa"/>
            <w:vAlign w:val="center"/>
          </w:tcPr>
          <w:p w14:paraId="36A3B1D8" w14:textId="435416A8" w:rsidR="005157AF" w:rsidRDefault="005157AF" w:rsidP="005157AF">
            <w:pPr>
              <w:spacing w:before="0" w:after="0" w:line="240" w:lineRule="auto"/>
            </w:pPr>
            <w:r w:rsidRPr="008F3BD9">
              <w:rPr>
                <w:rFonts w:eastAsia="Arial" w:cs="Arial"/>
                <w:lang w:val="en-GB"/>
              </w:rPr>
              <w:t>36</w:t>
            </w:r>
          </w:p>
        </w:tc>
        <w:tc>
          <w:tcPr>
            <w:tcW w:w="2282" w:type="dxa"/>
            <w:vAlign w:val="center"/>
          </w:tcPr>
          <w:p w14:paraId="40EA872E" w14:textId="0BF5F4D7" w:rsidR="005157AF" w:rsidRDefault="005157AF" w:rsidP="005157AF">
            <w:pPr>
              <w:spacing w:before="0" w:after="0" w:line="240" w:lineRule="auto"/>
            </w:pPr>
            <w:r w:rsidRPr="008F3BD9">
              <w:rPr>
                <w:rFonts w:eastAsia="Arial" w:cs="Arial"/>
                <w:lang w:val="en-GB"/>
              </w:rPr>
              <w:t>2</w:t>
            </w:r>
          </w:p>
        </w:tc>
        <w:tc>
          <w:tcPr>
            <w:tcW w:w="2282" w:type="dxa"/>
            <w:vAlign w:val="center"/>
          </w:tcPr>
          <w:p w14:paraId="0050D624" w14:textId="75BE8C5B" w:rsidR="005157AF" w:rsidRDefault="005157AF" w:rsidP="005157AF">
            <w:pPr>
              <w:spacing w:before="0" w:after="0" w:line="240" w:lineRule="auto"/>
            </w:pPr>
            <w:r w:rsidRPr="008F3BD9">
              <w:rPr>
                <w:rFonts w:eastAsia="Arial" w:cs="Arial"/>
                <w:lang w:val="en-GB"/>
              </w:rPr>
              <w:t>172</w:t>
            </w:r>
          </w:p>
        </w:tc>
      </w:tr>
      <w:tr w:rsidR="005157AF" w14:paraId="289487E6" w14:textId="77777777" w:rsidTr="00945D7B">
        <w:trPr>
          <w:trHeight w:val="432"/>
        </w:trPr>
        <w:tc>
          <w:tcPr>
            <w:tcW w:w="2282" w:type="dxa"/>
            <w:vAlign w:val="center"/>
          </w:tcPr>
          <w:p w14:paraId="39786337" w14:textId="2A1B7E5D" w:rsidR="005157AF" w:rsidRDefault="005157AF" w:rsidP="005157AF">
            <w:pPr>
              <w:spacing w:before="0" w:after="0" w:line="240" w:lineRule="auto"/>
            </w:pPr>
            <w:r w:rsidRPr="008F3BD9">
              <w:rPr>
                <w:rFonts w:eastAsia="Arial" w:cs="Arial"/>
                <w:b/>
                <w:bCs/>
                <w:lang w:val="en-GB"/>
              </w:rPr>
              <w:t>Total</w:t>
            </w:r>
          </w:p>
        </w:tc>
        <w:tc>
          <w:tcPr>
            <w:tcW w:w="2282" w:type="dxa"/>
            <w:vAlign w:val="center"/>
          </w:tcPr>
          <w:p w14:paraId="5A8303CE" w14:textId="7BCB80A3" w:rsidR="005157AF" w:rsidRDefault="005157AF" w:rsidP="005157AF">
            <w:pPr>
              <w:spacing w:before="0" w:after="0" w:line="240" w:lineRule="auto"/>
            </w:pPr>
            <w:r w:rsidRPr="008F3BD9">
              <w:rPr>
                <w:rFonts w:eastAsia="Arial" w:cs="Arial"/>
                <w:b/>
                <w:bCs/>
                <w:lang w:val="en-GB"/>
              </w:rPr>
              <w:t>148</w:t>
            </w:r>
          </w:p>
        </w:tc>
        <w:tc>
          <w:tcPr>
            <w:tcW w:w="2282" w:type="dxa"/>
            <w:vAlign w:val="center"/>
          </w:tcPr>
          <w:p w14:paraId="6F35D2F8" w14:textId="4912D8A9" w:rsidR="005157AF" w:rsidRDefault="005157AF" w:rsidP="005157AF">
            <w:pPr>
              <w:spacing w:before="0" w:after="0" w:line="240" w:lineRule="auto"/>
            </w:pPr>
            <w:r w:rsidRPr="008F3BD9">
              <w:rPr>
                <w:rFonts w:eastAsia="Arial" w:cs="Arial"/>
                <w:b/>
                <w:bCs/>
                <w:lang w:val="en-GB"/>
              </w:rPr>
              <w:t>131</w:t>
            </w:r>
          </w:p>
        </w:tc>
        <w:tc>
          <w:tcPr>
            <w:tcW w:w="2282" w:type="dxa"/>
            <w:vAlign w:val="center"/>
          </w:tcPr>
          <w:p w14:paraId="7EEB6BD3" w14:textId="169D612D" w:rsidR="005157AF" w:rsidRDefault="005157AF" w:rsidP="005157AF">
            <w:pPr>
              <w:spacing w:before="0" w:after="0" w:line="240" w:lineRule="auto"/>
            </w:pPr>
            <w:r w:rsidRPr="008F3BD9">
              <w:rPr>
                <w:rFonts w:eastAsia="Arial" w:cs="Arial"/>
                <w:b/>
                <w:bCs/>
                <w:lang w:val="en-GB"/>
              </w:rPr>
              <w:t>1,460</w:t>
            </w:r>
          </w:p>
        </w:tc>
      </w:tr>
    </w:tbl>
    <w:p w14:paraId="068A67EF" w14:textId="0F101031" w:rsidR="00E86637" w:rsidRDefault="00E86637" w:rsidP="00A57B47">
      <w:pPr>
        <w:spacing w:before="0" w:after="0" w:line="240" w:lineRule="auto"/>
        <w:rPr>
          <w:rFonts w:cs="Arial"/>
          <w:b/>
          <w:kern w:val="28"/>
        </w:rPr>
      </w:pPr>
    </w:p>
    <w:p w14:paraId="7649D521" w14:textId="77777777" w:rsidR="00E86637" w:rsidRDefault="00E86637">
      <w:pPr>
        <w:spacing w:before="0" w:after="0" w:line="240" w:lineRule="auto"/>
        <w:rPr>
          <w:rFonts w:cs="Arial"/>
          <w:b/>
          <w:kern w:val="28"/>
        </w:rPr>
      </w:pPr>
      <w:r>
        <w:rPr>
          <w:rFonts w:cs="Arial"/>
          <w:b/>
          <w:kern w:val="28"/>
        </w:rPr>
        <w:br w:type="page"/>
      </w:r>
    </w:p>
    <w:p w14:paraId="13D9E585" w14:textId="1DD49CAF" w:rsidR="00A57B47" w:rsidRPr="006448DF" w:rsidRDefault="00A57B47" w:rsidP="00A57B47">
      <w:pPr>
        <w:pStyle w:val="Heading1"/>
        <w:spacing w:line="259" w:lineRule="auto"/>
        <w:rPr>
          <w:color w:val="3F4A75" w:themeColor="accent1"/>
        </w:rPr>
      </w:pPr>
      <w:bookmarkStart w:id="2" w:name="_Toc199782139"/>
      <w:r w:rsidRPr="006448DF">
        <w:rPr>
          <w:color w:val="3F4A75" w:themeColor="accent1"/>
        </w:rPr>
        <w:lastRenderedPageBreak/>
        <w:t>Executive summary</w:t>
      </w:r>
      <w:bookmarkEnd w:id="2"/>
    </w:p>
    <w:p w14:paraId="2946D857" w14:textId="326DD2D3" w:rsidR="00A57B47" w:rsidRPr="006448DF" w:rsidRDefault="00A57B47" w:rsidP="00A57B47">
      <w:pPr>
        <w:pStyle w:val="Heading2"/>
        <w:rPr>
          <w:rFonts w:eastAsia="Arial"/>
          <w:lang w:val="en-AU"/>
        </w:rPr>
      </w:pPr>
      <w:bookmarkStart w:id="3" w:name="_Toc199762550"/>
      <w:bookmarkStart w:id="4" w:name="_Toc199782140"/>
      <w:r w:rsidRPr="006448DF">
        <w:rPr>
          <w:lang w:val="en-AU"/>
        </w:rPr>
        <w:t>PHN Business Model</w:t>
      </w:r>
      <w:bookmarkEnd w:id="3"/>
      <w:bookmarkEnd w:id="4"/>
      <w:r w:rsidR="00803752" w:rsidRPr="006448DF">
        <w:rPr>
          <w:lang w:val="en-AU"/>
        </w:rPr>
        <w:t xml:space="preserve"> </w:t>
      </w:r>
    </w:p>
    <w:p w14:paraId="1DE63DDA" w14:textId="34F1A5B2" w:rsidR="00A57B47" w:rsidRPr="006448DF" w:rsidRDefault="00A57B47" w:rsidP="00A57B47">
      <w:r w:rsidRPr="006448DF">
        <w:rPr>
          <w:b/>
        </w:rPr>
        <w:t xml:space="preserve">The </w:t>
      </w:r>
      <w:r w:rsidRPr="006448DF">
        <w:rPr>
          <w:rFonts w:eastAsia="Arial"/>
          <w:b/>
        </w:rPr>
        <w:t>Primary Health Networks</w:t>
      </w:r>
      <w:r w:rsidRPr="006448DF">
        <w:rPr>
          <w:rFonts w:eastAsia="Arial"/>
        </w:rPr>
        <w:t xml:space="preserve"> (</w:t>
      </w:r>
      <w:r w:rsidRPr="006448DF">
        <w:rPr>
          <w:b/>
        </w:rPr>
        <w:t>PHN) business model comprises 29 not-for-profit organisations appointed as PHN Operators funded by federal government grants to deliver a range of locally responsive government programs that address community health needs.</w:t>
      </w:r>
      <w:r w:rsidRPr="006448DF" w:rsidDel="009377E5">
        <w:rPr>
          <w:b/>
        </w:rPr>
        <w:t xml:space="preserve"> </w:t>
      </w:r>
      <w:r w:rsidRPr="006448DF">
        <w:t>PHNs were established by the Australian Government in 2015 in response to recommendations of the 2014 Review of Medicare Locals, when the Government appointed 29 regional not-for-profit organisations as PHN Operators across 31 regions Australia-wide.</w:t>
      </w:r>
      <w:r w:rsidRPr="006448DF">
        <w:rPr>
          <w:rStyle w:val="FootnoteReference"/>
        </w:rPr>
        <w:footnoteReference w:id="4"/>
      </w:r>
      <w:r w:rsidRPr="006448DF">
        <w:t xml:space="preserve"> The PHN model replaced Medicare Locals (established in 2011, with 61 regions), which replaced Divisions of General Practice (established in 1992, with 120 divisions). PHNs are responsible for driving local innovation to meet specific local health needs and supporting the consistent local delivery of national and co-commissioned programs and services. They deliver three core functions, known as </w:t>
      </w:r>
      <w:bookmarkStart w:id="5" w:name="OLE_LINK1"/>
      <w:r w:rsidR="00CA59D3" w:rsidRPr="006448DF">
        <w:t>‘</w:t>
      </w:r>
      <w:r w:rsidRPr="006448DF">
        <w:t>the 3Cs</w:t>
      </w:r>
      <w:r w:rsidR="00CA59D3" w:rsidRPr="006448DF">
        <w:t>’</w:t>
      </w:r>
      <w:bookmarkEnd w:id="5"/>
      <w:r w:rsidRPr="006448DF">
        <w:t xml:space="preserve">: </w:t>
      </w:r>
      <w:proofErr w:type="spellStart"/>
      <w:r w:rsidRPr="006448DF">
        <w:t>i</w:t>
      </w:r>
      <w:proofErr w:type="spellEnd"/>
      <w:r w:rsidRPr="006448DF">
        <w:t xml:space="preserve">. </w:t>
      </w:r>
      <w:r w:rsidRPr="006448DF">
        <w:rPr>
          <w:b/>
        </w:rPr>
        <w:t>Coordinate</w:t>
      </w:r>
      <w:r w:rsidRPr="006448DF">
        <w:t xml:space="preserve"> and integrate local health care services in collaboration with Local Hospital Networks (LHNs) to improve quality of care, people's experience and efficient use of resources; ii. </w:t>
      </w:r>
      <w:r w:rsidRPr="006448DF">
        <w:rPr>
          <w:b/>
        </w:rPr>
        <w:t>Commission</w:t>
      </w:r>
      <w:r w:rsidRPr="006448DF">
        <w:t xml:space="preserve"> primary care and mental health services to address population health needs and gaps in service delivery and to improve access and equity; and iii. </w:t>
      </w:r>
      <w:r w:rsidRPr="006448DF">
        <w:rPr>
          <w:b/>
        </w:rPr>
        <w:t>Capacity</w:t>
      </w:r>
      <w:r w:rsidR="00312539" w:rsidRPr="006448DF">
        <w:rPr>
          <w:b/>
        </w:rPr>
        <w:t xml:space="preserve"> </w:t>
      </w:r>
      <w:r w:rsidRPr="006448DF">
        <w:rPr>
          <w:b/>
        </w:rPr>
        <w:t>build</w:t>
      </w:r>
      <w:r w:rsidRPr="006448DF">
        <w:t xml:space="preserve"> and provide practice support to primary care and mental health providers to support quality care delivery.</w:t>
      </w:r>
      <w:r w:rsidRPr="006448DF">
        <w:rPr>
          <w:rStyle w:val="FootnoteReference"/>
        </w:rPr>
        <w:footnoteReference w:id="5"/>
      </w:r>
      <w:r w:rsidRPr="006448DF" w:rsidDel="00523F14">
        <w:t xml:space="preserve"> </w:t>
      </w:r>
      <w:r w:rsidRPr="006448DF">
        <w:t xml:space="preserve">PHNs currently deliver over 2,700 activities on behalf of the Department.  </w:t>
      </w:r>
    </w:p>
    <w:p w14:paraId="24DF892C" w14:textId="7ABFAB6D" w:rsidR="00A57B47" w:rsidRPr="006448DF" w:rsidRDefault="00A57B47" w:rsidP="00A57B47">
      <w:r w:rsidRPr="006448DF">
        <w:rPr>
          <w:b/>
        </w:rPr>
        <w:t>The primary health care landscape has evolved since PHNs were established, but the PHN business model has not changed.</w:t>
      </w:r>
      <w:r w:rsidRPr="006448DF">
        <w:t xml:space="preserve"> Broader shifts in the primary care landscape, including an ageing and growing population and a rising burden of preventable disease, have underscored the need for better integrated primary care. PHNs are expected to play a larger role with increasing </w:t>
      </w:r>
      <w:proofErr w:type="gramStart"/>
      <w:r w:rsidRPr="006448DF">
        <w:t>responsibilities</w:t>
      </w:r>
      <w:proofErr w:type="gramEnd"/>
      <w:r w:rsidRPr="006448DF">
        <w:t xml:space="preserve"> and their remit has expanded substantially since 2015, from delivering activities on behalf of four policy areas in the Department to delivering activity on behalf of 43 policy areas today. </w:t>
      </w:r>
      <w:r w:rsidRPr="00C832BE">
        <w:t>This expansion has been matched by a significant increase in investment, with total PHN funding nearly doubling from $968 million in 2016–17 to $1.89 billion in 2022–23</w:t>
      </w:r>
      <w:r>
        <w:t>.</w:t>
      </w:r>
      <w:r w:rsidRPr="006448DF">
        <w:t xml:space="preserve"> The role of PHNs has also evolved to include rapid delivery of national programs, such as Headspace and Covid-19 pandemic programs.</w:t>
      </w:r>
    </w:p>
    <w:p w14:paraId="2E9E2092" w14:textId="356E7302" w:rsidR="00A57B47" w:rsidRPr="006448DF" w:rsidRDefault="00A57B47" w:rsidP="00A57B47">
      <w:pPr>
        <w:rPr>
          <w:rFonts w:eastAsia="Arial" w:cs="Arial"/>
        </w:rPr>
      </w:pPr>
      <w:r w:rsidRPr="006448DF">
        <w:rPr>
          <w:b/>
        </w:rPr>
        <w:t>The Department engaged BCG to review the PHN Business Model in the context of the changing operating environment in both primary and mental health care, and to ensure the Program is structured to meet government objectives. </w:t>
      </w:r>
      <w:r w:rsidRPr="006448DF">
        <w:t>The review found strong and widespread support for the PHN model</w:t>
      </w:r>
      <w:r w:rsidRPr="006448DF" w:rsidDel="00A72AC9">
        <w:t>,</w:t>
      </w:r>
      <w:r w:rsidRPr="006448DF">
        <w:t xml:space="preserve"> along with several valid concerns. Stakeholders recognised PHNs as critical enablers of locally responsive care that are valued for their commissioning capabilities, provider engagement and local knowledge</w:t>
      </w:r>
      <w:r w:rsidRPr="006448DF">
        <w:rPr>
          <w:rFonts w:eastAsia="Arial" w:cs="Arial"/>
        </w:rPr>
        <w:t xml:space="preserve"> – </w:t>
      </w:r>
      <w:r w:rsidRPr="006448DF">
        <w:t xml:space="preserve">particularly in regions with complex needs. Many stakeholders pointed to strong examples of positive local impact, and to PHNs’ significant role in delivering critical national programs such as </w:t>
      </w:r>
      <w:r w:rsidRPr="006448DF">
        <w:lastRenderedPageBreak/>
        <w:t xml:space="preserve">Urgent Care </w:t>
      </w:r>
      <w:r w:rsidR="00B40061">
        <w:t>Clinics</w:t>
      </w:r>
      <w:r w:rsidRPr="006448DF">
        <w:t>. At the same time, the views of many stakeholders could be summarised as a belief that</w:t>
      </w:r>
      <w:r w:rsidRPr="006448DF" w:rsidDel="00A72AC9">
        <w:t xml:space="preserve"> </w:t>
      </w:r>
      <w:r w:rsidRPr="006448DF">
        <w:t xml:space="preserve">the PHN Program’s full potential remains unrealised. </w:t>
      </w:r>
      <w:proofErr w:type="gramStart"/>
      <w:r w:rsidRPr="006448DF">
        <w:t>In particular, capa</w:t>
      </w:r>
      <w:r w:rsidR="00DF16D9" w:rsidRPr="006448DF">
        <w:t>city</w:t>
      </w:r>
      <w:proofErr w:type="gramEnd"/>
      <w:r w:rsidRPr="006448DF">
        <w:t xml:space="preserve"> and performance are seen to vary significantly across PHNs, limited data on </w:t>
      </w:r>
      <w:r w:rsidR="00B10C4A">
        <w:t xml:space="preserve">outputs and </w:t>
      </w:r>
      <w:r w:rsidRPr="006448DF">
        <w:t>outcomes makes it hard to assess Program performance, and some stakeholders raised specific concerns regarding trust and engagement.</w:t>
      </w:r>
    </w:p>
    <w:p w14:paraId="035454BD" w14:textId="476410AD" w:rsidR="00A57B47" w:rsidRPr="006448DF" w:rsidRDefault="00A57B47" w:rsidP="00A57B47">
      <w:pPr>
        <w:rPr>
          <w:b/>
          <w:color w:val="auto"/>
        </w:rPr>
      </w:pPr>
      <w:bookmarkStart w:id="6" w:name="_Hlk202962215"/>
      <w:r w:rsidRPr="006448DF">
        <w:rPr>
          <w:b/>
          <w:color w:val="auto"/>
        </w:rPr>
        <w:t xml:space="preserve">The review identified </w:t>
      </w:r>
      <w:r w:rsidR="008557AD" w:rsidRPr="006448DF">
        <w:rPr>
          <w:b/>
          <w:color w:val="auto"/>
        </w:rPr>
        <w:t xml:space="preserve">a negative </w:t>
      </w:r>
      <w:r w:rsidR="00C65E09" w:rsidRPr="006448DF">
        <w:rPr>
          <w:b/>
          <w:color w:val="auto"/>
        </w:rPr>
        <w:t xml:space="preserve">feedback </w:t>
      </w:r>
      <w:r w:rsidR="008557AD" w:rsidRPr="006448DF">
        <w:rPr>
          <w:b/>
          <w:color w:val="auto"/>
        </w:rPr>
        <w:t>loop</w:t>
      </w:r>
      <w:r w:rsidRPr="006448DF">
        <w:rPr>
          <w:b/>
          <w:color w:val="auto"/>
        </w:rPr>
        <w:t xml:space="preserve"> </w:t>
      </w:r>
      <w:r w:rsidR="005D163E" w:rsidRPr="006448DF">
        <w:rPr>
          <w:b/>
          <w:color w:val="auto"/>
        </w:rPr>
        <w:t>in which</w:t>
      </w:r>
      <w:r w:rsidR="0061261E" w:rsidRPr="006448DF">
        <w:rPr>
          <w:b/>
          <w:color w:val="auto"/>
        </w:rPr>
        <w:t xml:space="preserve"> </w:t>
      </w:r>
      <w:r w:rsidRPr="006448DF">
        <w:rPr>
          <w:b/>
          <w:color w:val="auto"/>
        </w:rPr>
        <w:t>inherent tensions in the PHN model undermine stakeholder confidence, which contributes to an unwieldy and burdensome funding process that restricts the ability of PHNs to respond flexibly to local needs</w:t>
      </w:r>
      <w:r w:rsidR="005D163E" w:rsidRPr="006448DF">
        <w:rPr>
          <w:b/>
          <w:color w:val="auto"/>
        </w:rPr>
        <w:t xml:space="preserve">, which </w:t>
      </w:r>
      <w:r w:rsidR="00BF5E5A" w:rsidRPr="006448DF">
        <w:rPr>
          <w:b/>
          <w:color w:val="auto"/>
        </w:rPr>
        <w:t>further undermines stakeholder trust and confidence</w:t>
      </w:r>
      <w:r w:rsidRPr="006448DF">
        <w:rPr>
          <w:b/>
          <w:color w:val="auto"/>
        </w:rPr>
        <w:t xml:space="preserve"> (see </w:t>
      </w:r>
      <w:r w:rsidR="005F3C05" w:rsidRPr="006448DF">
        <w:rPr>
          <w:b/>
          <w:color w:val="auto"/>
        </w:rPr>
        <w:br/>
      </w:r>
      <w:r w:rsidRPr="006448DF">
        <w:rPr>
          <w:b/>
          <w:color w:val="auto"/>
        </w:rPr>
        <w:t>Exhibit 1).</w:t>
      </w:r>
    </w:p>
    <w:bookmarkEnd w:id="6"/>
    <w:p w14:paraId="55438604" w14:textId="04D693E1" w:rsidR="00A57B47" w:rsidRPr="0058713B" w:rsidRDefault="00A57B47" w:rsidP="00ED11FC">
      <w:pPr>
        <w:pStyle w:val="Exhibit"/>
      </w:pPr>
      <w:r w:rsidRPr="000C6C65">
        <w:t xml:space="preserve">Exhibit 1: </w:t>
      </w:r>
      <w:r w:rsidR="00F04091">
        <w:t>I</w:t>
      </w:r>
      <w:r w:rsidRPr="000C6C65">
        <w:t xml:space="preserve">nherent tensions </w:t>
      </w:r>
      <w:r w:rsidR="005D163E">
        <w:t>in the PHN Model</w:t>
      </w:r>
      <w:r w:rsidR="00F04091" w:rsidRPr="00F04091">
        <w:t xml:space="preserve"> </w:t>
      </w:r>
      <w:r w:rsidR="00F04091">
        <w:t xml:space="preserve">drive a negative feedback loop </w:t>
      </w:r>
    </w:p>
    <w:p w14:paraId="1A791981" w14:textId="77777777" w:rsidR="00A57B47" w:rsidRPr="006448DF" w:rsidRDefault="00A57B47" w:rsidP="0052449A">
      <w:pPr>
        <w:jc w:val="center"/>
        <w:rPr>
          <w:color w:val="auto"/>
        </w:rPr>
      </w:pPr>
      <w:r w:rsidRPr="006448DF">
        <w:rPr>
          <w:noProof/>
        </w:rPr>
        <w:drawing>
          <wp:inline distT="0" distB="0" distL="0" distR="0" wp14:anchorId="57C20AE0" wp14:editId="51C2F457">
            <wp:extent cx="4159196" cy="2877185"/>
            <wp:effectExtent l="0" t="0" r="0" b="5715"/>
            <wp:docPr id="655972676" name="Picture 1" descr="A diagram showing a cyclical loop of the key tensions in the current PHN business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2676" name="Picture 1" descr="A diagram showing a cyclical loop of the key tensions in the current PHN business model. "/>
                    <pic:cNvPicPr/>
                  </pic:nvPicPr>
                  <pic:blipFill rotWithShape="1">
                    <a:blip r:embed="rId17"/>
                    <a:srcRect l="2746"/>
                    <a:stretch>
                      <a:fillRect/>
                    </a:stretch>
                  </pic:blipFill>
                  <pic:spPr bwMode="auto">
                    <a:xfrm>
                      <a:off x="0" y="0"/>
                      <a:ext cx="4183470" cy="2893977"/>
                    </a:xfrm>
                    <a:prstGeom prst="rect">
                      <a:avLst/>
                    </a:prstGeom>
                    <a:ln>
                      <a:noFill/>
                    </a:ln>
                    <a:extLst>
                      <a:ext uri="{53640926-AAD7-44D8-BBD7-CCE9431645EC}">
                        <a14:shadowObscured xmlns:a14="http://schemas.microsoft.com/office/drawing/2010/main"/>
                      </a:ext>
                    </a:extLst>
                  </pic:spPr>
                </pic:pic>
              </a:graphicData>
            </a:graphic>
          </wp:inline>
        </w:drawing>
      </w:r>
    </w:p>
    <w:p w14:paraId="1150836F" w14:textId="7719A51E" w:rsidR="00A57B47" w:rsidRPr="001A3AC3" w:rsidRDefault="00BC2E32" w:rsidP="001A3AC3">
      <w:pPr>
        <w:pStyle w:val="ListParagraph"/>
        <w:numPr>
          <w:ilvl w:val="0"/>
          <w:numId w:val="51"/>
        </w:numPr>
        <w:ind w:left="360"/>
        <w:rPr>
          <w:b/>
        </w:rPr>
      </w:pPr>
      <w:r w:rsidRPr="006448DF">
        <w:rPr>
          <w:b/>
          <w:color w:val="auto"/>
        </w:rPr>
        <w:t>K</w:t>
      </w:r>
      <w:r w:rsidR="00A57B47" w:rsidRPr="006448DF">
        <w:rPr>
          <w:b/>
          <w:color w:val="auto"/>
        </w:rPr>
        <w:t xml:space="preserve">ey tensions in the PHN business model undermine stakeholder trust and confidence. </w:t>
      </w:r>
      <w:r w:rsidR="00A57B47" w:rsidRPr="006448DF">
        <w:rPr>
          <w:color w:val="auto"/>
        </w:rPr>
        <w:t>The first</w:t>
      </w:r>
      <w:r w:rsidR="00A57B47" w:rsidRPr="006448DF">
        <w:rPr>
          <w:b/>
          <w:color w:val="auto"/>
        </w:rPr>
        <w:t xml:space="preserve"> </w:t>
      </w:r>
      <w:r w:rsidR="00A57B47" w:rsidRPr="006448DF">
        <w:rPr>
          <w:color w:val="auto"/>
        </w:rPr>
        <w:t xml:space="preserve">tension involves differing perspectives </w:t>
      </w:r>
      <w:r w:rsidR="00A57B47" w:rsidRPr="006448DF">
        <w:rPr>
          <w:rFonts w:eastAsiaTheme="minorEastAsia"/>
        </w:rPr>
        <w:t xml:space="preserve">between stakeholders </w:t>
      </w:r>
      <w:r w:rsidR="00A57B47" w:rsidRPr="006448DF">
        <w:t xml:space="preserve">as to whether the model requires PHNs </w:t>
      </w:r>
      <w:r w:rsidR="00A57B47" w:rsidRPr="006448DF">
        <w:rPr>
          <w:rFonts w:eastAsiaTheme="minorEastAsia"/>
        </w:rPr>
        <w:t xml:space="preserve">to be primarily accountable to general practices, to the Commonwealth, or to themselves as self-governing entities, leading to confusion and misaligned expectations. The second tension arises due to </w:t>
      </w:r>
      <w:r w:rsidR="00A57B47" w:rsidRPr="006448DF">
        <w:t xml:space="preserve">the difference between the current model’s approach that allows PHNs to set their own governance standards so long as they comply with the requirements of the Australian Charities and Not-for-profits Commission (ACNC), and the expectation of most stakeholders </w:t>
      </w:r>
      <w:r w:rsidR="00E640FA" w:rsidRPr="006448DF">
        <w:t>for</w:t>
      </w:r>
      <w:r w:rsidR="00A57B47" w:rsidRPr="006448DF">
        <w:t xml:space="preserve"> organisations that manage significant public funds </w:t>
      </w:r>
      <w:r w:rsidR="00E640FA" w:rsidRPr="006448DF">
        <w:t>to</w:t>
      </w:r>
      <w:r w:rsidR="00A57B47" w:rsidRPr="006448DF">
        <w:t xml:space="preserve"> have more consistent and robust governance. This tension underpins many of the concerns raised about trust and transparency and is exacerbated by a similar tension between the model’s encouragement of local design of engagement and many stakeholders’ expectations for greater consistency. The third key tension arises between</w:t>
      </w:r>
      <w:r w:rsidR="00A57B47" w:rsidRPr="006448DF">
        <w:rPr>
          <w:rFonts w:eastAsiaTheme="minorEastAsia"/>
        </w:rPr>
        <w:t xml:space="preserve"> the desire for an integrated perspective on PHN performance measurement, management and improvement</w:t>
      </w:r>
      <w:r w:rsidR="002A6E80" w:rsidRPr="006448DF">
        <w:rPr>
          <w:rFonts w:eastAsiaTheme="minorEastAsia"/>
        </w:rPr>
        <w:t>,</w:t>
      </w:r>
      <w:r w:rsidR="00A57B47" w:rsidRPr="006448DF">
        <w:t xml:space="preserve"> and the reality of a complex, many-to-many oversight relationship between </w:t>
      </w:r>
      <w:r w:rsidR="00A57B47" w:rsidRPr="006448DF">
        <w:rPr>
          <w:rFonts w:eastAsiaTheme="minorEastAsia"/>
        </w:rPr>
        <w:t>PHNs and multiple policy areas of the Department</w:t>
      </w:r>
      <w:r w:rsidR="00A65A6A">
        <w:rPr>
          <w:rFonts w:eastAsiaTheme="minorEastAsia"/>
        </w:rPr>
        <w:t xml:space="preserve">. This has led </w:t>
      </w:r>
      <w:r w:rsidR="00A57B47" w:rsidRPr="006448DF">
        <w:rPr>
          <w:rFonts w:eastAsiaTheme="minorEastAsia"/>
        </w:rPr>
        <w:t xml:space="preserve">to </w:t>
      </w:r>
      <w:r w:rsidR="00A57B47" w:rsidRPr="006448DF">
        <w:t>ineffective performance measurement and management at the individual PHN and overall program level</w:t>
      </w:r>
      <w:r w:rsidR="00A57B47" w:rsidRPr="006448DF">
        <w:rPr>
          <w:rFonts w:eastAsiaTheme="minorEastAsia"/>
        </w:rPr>
        <w:t>.</w:t>
      </w:r>
    </w:p>
    <w:p w14:paraId="58CEE169" w14:textId="7B2D0AED" w:rsidR="00A57B47" w:rsidRPr="006448DF" w:rsidRDefault="49A24DCA" w:rsidP="00ED11FC">
      <w:pPr>
        <w:pStyle w:val="ListParagraph"/>
        <w:numPr>
          <w:ilvl w:val="0"/>
          <w:numId w:val="51"/>
        </w:numPr>
        <w:ind w:left="360"/>
      </w:pPr>
      <w:r w:rsidRPr="006448DF">
        <w:rPr>
          <w:b/>
          <w:color w:val="auto"/>
        </w:rPr>
        <w:lastRenderedPageBreak/>
        <w:t xml:space="preserve">Stakeholder trust and confidence concerns contribute to </w:t>
      </w:r>
      <w:r w:rsidR="002A6E80" w:rsidRPr="006448DF">
        <w:rPr>
          <w:b/>
          <w:color w:val="auto"/>
        </w:rPr>
        <w:t xml:space="preserve">a </w:t>
      </w:r>
      <w:r w:rsidRPr="006448DF">
        <w:rPr>
          <w:b/>
          <w:color w:val="auto"/>
        </w:rPr>
        <w:t>short</w:t>
      </w:r>
      <w:r w:rsidR="002A6E80" w:rsidRPr="006448DF">
        <w:rPr>
          <w:b/>
          <w:color w:val="auto"/>
        </w:rPr>
        <w:t>-</w:t>
      </w:r>
      <w:r w:rsidRPr="006448DF">
        <w:rPr>
          <w:b/>
          <w:color w:val="auto"/>
        </w:rPr>
        <w:t xml:space="preserve">term, highly prescriptive and slow funding approach that is unwieldy and burdensome.  </w:t>
      </w:r>
      <w:r w:rsidRPr="006448DF">
        <w:rPr>
          <w:color w:val="auto"/>
        </w:rPr>
        <w:t xml:space="preserve">The grant funding model, designed primarily for special purpose and competitive grants, is in fundamental tension with the PHN </w:t>
      </w:r>
      <w:r w:rsidR="002C0DA6" w:rsidRPr="006448DF">
        <w:rPr>
          <w:color w:val="auto"/>
        </w:rPr>
        <w:t>B</w:t>
      </w:r>
      <w:r w:rsidRPr="006448DF">
        <w:rPr>
          <w:color w:val="auto"/>
        </w:rPr>
        <w:t xml:space="preserve">usiness </w:t>
      </w:r>
      <w:r w:rsidR="002C0DA6" w:rsidRPr="006448DF">
        <w:rPr>
          <w:color w:val="auto"/>
        </w:rPr>
        <w:t>M</w:t>
      </w:r>
      <w:r w:rsidRPr="006448DF">
        <w:rPr>
          <w:color w:val="auto"/>
        </w:rPr>
        <w:t xml:space="preserve">odel which </w:t>
      </w:r>
      <w:r w:rsidR="007608B3">
        <w:rPr>
          <w:color w:val="auto"/>
        </w:rPr>
        <w:t xml:space="preserve">has </w:t>
      </w:r>
      <w:r w:rsidR="007C32CE">
        <w:rPr>
          <w:color w:val="auto"/>
        </w:rPr>
        <w:t>used a competitive tender process to give</w:t>
      </w:r>
      <w:r w:rsidR="0029172A" w:rsidRPr="006448DF">
        <w:rPr>
          <w:color w:val="auto"/>
        </w:rPr>
        <w:t xml:space="preserve"> </w:t>
      </w:r>
      <w:r w:rsidRPr="006448DF">
        <w:rPr>
          <w:color w:val="auto"/>
        </w:rPr>
        <w:t>PHN</w:t>
      </w:r>
      <w:r w:rsidR="007C32CE">
        <w:rPr>
          <w:color w:val="auto"/>
        </w:rPr>
        <w:t xml:space="preserve"> operator</w:t>
      </w:r>
      <w:r w:rsidRPr="006448DF">
        <w:rPr>
          <w:color w:val="auto"/>
        </w:rPr>
        <w:t>s an ongoing sole mandate from the Commonwealth to deliver local enhan</w:t>
      </w:r>
      <w:r w:rsidRPr="006619EB">
        <w:rPr>
          <w:color w:val="auto"/>
        </w:rPr>
        <w:t>cements</w:t>
      </w:r>
      <w:r w:rsidR="007C32CE">
        <w:rPr>
          <w:color w:val="auto"/>
        </w:rPr>
        <w:t xml:space="preserve"> under the program</w:t>
      </w:r>
      <w:r w:rsidRPr="006619EB">
        <w:rPr>
          <w:color w:val="auto"/>
        </w:rPr>
        <w:t xml:space="preserve">. </w:t>
      </w:r>
      <w:r w:rsidR="006D6B7F">
        <w:rPr>
          <w:color w:val="auto"/>
        </w:rPr>
        <w:t>Th</w:t>
      </w:r>
      <w:r w:rsidR="00676C9E">
        <w:rPr>
          <w:color w:val="auto"/>
        </w:rPr>
        <w:t>e processes associated with grant funding</w:t>
      </w:r>
      <w:r w:rsidR="006D6B7F">
        <w:rPr>
          <w:color w:val="auto"/>
        </w:rPr>
        <w:t xml:space="preserve"> add a layer of </w:t>
      </w:r>
      <w:r w:rsidR="00676C9E">
        <w:rPr>
          <w:color w:val="auto"/>
        </w:rPr>
        <w:t>administration that</w:t>
      </w:r>
      <w:r w:rsidR="00345165">
        <w:rPr>
          <w:color w:val="auto"/>
        </w:rPr>
        <w:t xml:space="preserve"> </w:t>
      </w:r>
      <w:r w:rsidR="00A30416">
        <w:rPr>
          <w:color w:val="auto"/>
        </w:rPr>
        <w:t xml:space="preserve">creates </w:t>
      </w:r>
      <w:r w:rsidR="0059698C">
        <w:rPr>
          <w:color w:val="auto"/>
        </w:rPr>
        <w:t xml:space="preserve">limited value. </w:t>
      </w:r>
      <w:r w:rsidRPr="006619EB">
        <w:rPr>
          <w:color w:val="auto"/>
        </w:rPr>
        <w:t xml:space="preserve"> </w:t>
      </w:r>
      <w:r w:rsidR="00676C9E">
        <w:rPr>
          <w:color w:val="auto"/>
        </w:rPr>
        <w:t xml:space="preserve">In addition, the </w:t>
      </w:r>
      <w:r w:rsidR="00676C9E">
        <w:rPr>
          <w:rFonts w:eastAsiaTheme="minorEastAsia"/>
        </w:rPr>
        <w:t>g</w:t>
      </w:r>
      <w:r w:rsidR="0059698C" w:rsidRPr="006448DF">
        <w:rPr>
          <w:rFonts w:eastAsiaTheme="minorEastAsia"/>
        </w:rPr>
        <w:t xml:space="preserve">rant schedules </w:t>
      </w:r>
      <w:r w:rsidR="00676C9E">
        <w:rPr>
          <w:rFonts w:eastAsiaTheme="minorEastAsia"/>
        </w:rPr>
        <w:t xml:space="preserve">that </w:t>
      </w:r>
      <w:r w:rsidR="008A218D">
        <w:rPr>
          <w:rFonts w:eastAsiaTheme="minorEastAsia"/>
        </w:rPr>
        <w:t>accompany funding agreements</w:t>
      </w:r>
      <w:r w:rsidR="00676C9E">
        <w:rPr>
          <w:rFonts w:eastAsiaTheme="minorEastAsia"/>
        </w:rPr>
        <w:t xml:space="preserve"> are</w:t>
      </w:r>
      <w:r w:rsidR="0059698C" w:rsidRPr="006448DF">
        <w:rPr>
          <w:rFonts w:eastAsiaTheme="minorEastAsia"/>
        </w:rPr>
        <w:t xml:space="preserve"> </w:t>
      </w:r>
      <w:r w:rsidR="008A218D">
        <w:rPr>
          <w:rFonts w:eastAsiaTheme="minorEastAsia"/>
        </w:rPr>
        <w:t>typically</w:t>
      </w:r>
      <w:r w:rsidR="0059698C" w:rsidRPr="006448DF">
        <w:rPr>
          <w:rFonts w:eastAsiaTheme="minorEastAsia"/>
        </w:rPr>
        <w:t xml:space="preserve"> highly prescriptive and focus</w:t>
      </w:r>
      <w:r w:rsidR="0059698C">
        <w:rPr>
          <w:rFonts w:eastAsiaTheme="minorEastAsia"/>
        </w:rPr>
        <w:t>sed</w:t>
      </w:r>
      <w:r w:rsidR="0059698C" w:rsidRPr="006448DF">
        <w:rPr>
          <w:rFonts w:eastAsiaTheme="minorEastAsia"/>
        </w:rPr>
        <w:t xml:space="preserve"> on process controls (even for ostensibly flexible funding streams)</w:t>
      </w:r>
      <w:r w:rsidR="008A218D">
        <w:rPr>
          <w:rFonts w:eastAsiaTheme="minorEastAsia"/>
        </w:rPr>
        <w:t>,</w:t>
      </w:r>
      <w:r w:rsidR="0059698C">
        <w:rPr>
          <w:rFonts w:eastAsiaTheme="minorEastAsia"/>
        </w:rPr>
        <w:t xml:space="preserve"> </w:t>
      </w:r>
      <w:r w:rsidR="0059698C" w:rsidRPr="006448DF">
        <w:rPr>
          <w:rFonts w:eastAsiaTheme="minorEastAsia"/>
        </w:rPr>
        <w:t>requir</w:t>
      </w:r>
      <w:r w:rsidR="0059698C">
        <w:rPr>
          <w:rFonts w:eastAsiaTheme="minorEastAsia"/>
        </w:rPr>
        <w:t>ing</w:t>
      </w:r>
      <w:r w:rsidR="0059698C" w:rsidRPr="006448DF">
        <w:rPr>
          <w:rFonts w:eastAsiaTheme="minorEastAsia"/>
        </w:rPr>
        <w:t xml:space="preserve"> significant </w:t>
      </w:r>
      <w:r w:rsidR="0059698C">
        <w:rPr>
          <w:rFonts w:eastAsiaTheme="minorEastAsia"/>
        </w:rPr>
        <w:t xml:space="preserve">detailed </w:t>
      </w:r>
      <w:r w:rsidR="0059698C" w:rsidRPr="006448DF">
        <w:rPr>
          <w:rFonts w:eastAsiaTheme="minorEastAsia"/>
        </w:rPr>
        <w:t>reporting</w:t>
      </w:r>
      <w:r w:rsidR="0059698C">
        <w:rPr>
          <w:rFonts w:eastAsiaTheme="minorEastAsia"/>
        </w:rPr>
        <w:t xml:space="preserve"> that does not deliver usable</w:t>
      </w:r>
      <w:r w:rsidR="008B5F84">
        <w:rPr>
          <w:rFonts w:eastAsiaTheme="minorEastAsia"/>
        </w:rPr>
        <w:t>, aggregable</w:t>
      </w:r>
      <w:r w:rsidR="0059698C">
        <w:rPr>
          <w:rFonts w:eastAsiaTheme="minorEastAsia"/>
        </w:rPr>
        <w:t xml:space="preserve"> insights on outputs and outcomes</w:t>
      </w:r>
      <w:r w:rsidR="0059698C" w:rsidRPr="006448DF">
        <w:rPr>
          <w:rFonts w:eastAsiaTheme="minorEastAsia"/>
        </w:rPr>
        <w:t xml:space="preserve">. </w:t>
      </w:r>
      <w:r w:rsidR="0059698C">
        <w:rPr>
          <w:color w:val="auto"/>
        </w:rPr>
        <w:t xml:space="preserve">Many </w:t>
      </w:r>
      <w:r w:rsidR="00F644E1">
        <w:rPr>
          <w:color w:val="auto"/>
        </w:rPr>
        <w:t>grants</w:t>
      </w:r>
      <w:r w:rsidR="0059698C">
        <w:rPr>
          <w:color w:val="auto"/>
        </w:rPr>
        <w:t xml:space="preserve"> are short term in nature</w:t>
      </w:r>
      <w:r w:rsidR="00736587">
        <w:rPr>
          <w:color w:val="auto"/>
        </w:rPr>
        <w:t xml:space="preserve">, </w:t>
      </w:r>
      <w:r w:rsidR="00736587" w:rsidRPr="006448DF">
        <w:t>often only 1–3 years</w:t>
      </w:r>
      <w:r w:rsidR="00736587">
        <w:t xml:space="preserve"> </w:t>
      </w:r>
      <w:r w:rsidR="0068161F">
        <w:t>duration</w:t>
      </w:r>
      <w:r w:rsidR="00736587" w:rsidRPr="006448DF">
        <w:t xml:space="preserve"> even for persistent programs</w:t>
      </w:r>
      <w:r w:rsidR="0068161F">
        <w:t xml:space="preserve">, </w:t>
      </w:r>
      <w:r w:rsidR="00B459EC">
        <w:t>and</w:t>
      </w:r>
      <w:r w:rsidR="00063ECD">
        <w:t xml:space="preserve"> </w:t>
      </w:r>
      <w:r w:rsidR="0059698C">
        <w:t>are renewed at the last minute</w:t>
      </w:r>
      <w:r w:rsidRPr="006448DF">
        <w:t>.</w:t>
      </w:r>
      <w:r w:rsidRPr="006448DF">
        <w:rPr>
          <w:rFonts w:eastAsiaTheme="minorEastAsia"/>
        </w:rPr>
        <w:t xml:space="preserve"> Disbursement of f</w:t>
      </w:r>
      <w:r w:rsidRPr="006448DF">
        <w:t xml:space="preserve">unding </w:t>
      </w:r>
      <w:r w:rsidR="006A5394">
        <w:t>typically</w:t>
      </w:r>
      <w:r w:rsidRPr="006448DF">
        <w:t xml:space="preserve"> takes 6–12 months from announcement to receipt by PHNs.</w:t>
      </w:r>
      <w:r w:rsidRPr="006448DF">
        <w:rPr>
          <w:color w:val="auto"/>
        </w:rPr>
        <w:t xml:space="preserve"> </w:t>
      </w:r>
    </w:p>
    <w:p w14:paraId="13AA59CE" w14:textId="77777777" w:rsidR="00A57B47" w:rsidRPr="006448DF" w:rsidRDefault="00A57B47" w:rsidP="00ED11FC">
      <w:pPr>
        <w:pStyle w:val="ListParagraph"/>
        <w:ind w:left="360"/>
      </w:pPr>
    </w:p>
    <w:p w14:paraId="0EDF64C9" w14:textId="28A9132F" w:rsidR="00A57B47" w:rsidRPr="006448DF" w:rsidRDefault="00A57B47" w:rsidP="00ED11FC">
      <w:pPr>
        <w:pStyle w:val="ListParagraph"/>
        <w:numPr>
          <w:ilvl w:val="0"/>
          <w:numId w:val="51"/>
        </w:numPr>
        <w:ind w:left="360"/>
      </w:pPr>
      <w:r w:rsidRPr="006448DF">
        <w:rPr>
          <w:b/>
        </w:rPr>
        <w:t>Short</w:t>
      </w:r>
      <w:r w:rsidR="002C0DA6" w:rsidRPr="006448DF">
        <w:rPr>
          <w:b/>
        </w:rPr>
        <w:t>-</w:t>
      </w:r>
      <w:r w:rsidRPr="006448DF">
        <w:rPr>
          <w:b/>
        </w:rPr>
        <w:t>term, prescriptive and delayed funding undermine PHNs</w:t>
      </w:r>
      <w:r w:rsidR="00855DC9" w:rsidRPr="006448DF">
        <w:rPr>
          <w:b/>
        </w:rPr>
        <w:t>’</w:t>
      </w:r>
      <w:r w:rsidRPr="006448DF">
        <w:rPr>
          <w:b/>
        </w:rPr>
        <w:t xml:space="preserve"> ability to plan and deliver locally responsive services</w:t>
      </w:r>
      <w:r w:rsidRPr="006448DF">
        <w:t>. S</w:t>
      </w:r>
      <w:r w:rsidRPr="006448DF">
        <w:rPr>
          <w:rFonts w:eastAsiaTheme="minorEastAsia"/>
        </w:rPr>
        <w:t xml:space="preserve">hort-term grants with late renewals </w:t>
      </w:r>
      <w:proofErr w:type="gramStart"/>
      <w:r w:rsidR="00CF38B9">
        <w:rPr>
          <w:rFonts w:eastAsiaTheme="minorEastAsia"/>
        </w:rPr>
        <w:t>constrains</w:t>
      </w:r>
      <w:proofErr w:type="gramEnd"/>
      <w:r w:rsidR="00CF38B9" w:rsidRPr="006448DF">
        <w:rPr>
          <w:rFonts w:eastAsiaTheme="minorEastAsia"/>
        </w:rPr>
        <w:t xml:space="preserve"> </w:t>
      </w:r>
      <w:r w:rsidRPr="006448DF">
        <w:rPr>
          <w:rFonts w:eastAsiaTheme="minorEastAsia"/>
        </w:rPr>
        <w:t xml:space="preserve">PHNs </w:t>
      </w:r>
      <w:r w:rsidR="00CF38B9">
        <w:rPr>
          <w:rFonts w:eastAsiaTheme="minorEastAsia"/>
        </w:rPr>
        <w:t>to</w:t>
      </w:r>
      <w:r w:rsidR="00CF38B9" w:rsidRPr="006448DF">
        <w:rPr>
          <w:rFonts w:eastAsiaTheme="minorEastAsia"/>
        </w:rPr>
        <w:t xml:space="preserve"> </w:t>
      </w:r>
      <w:r w:rsidRPr="006448DF">
        <w:rPr>
          <w:rFonts w:eastAsiaTheme="minorEastAsia"/>
        </w:rPr>
        <w:t>simpl</w:t>
      </w:r>
      <w:r w:rsidR="00CF38B9">
        <w:rPr>
          <w:rFonts w:eastAsiaTheme="minorEastAsia"/>
        </w:rPr>
        <w:t>y</w:t>
      </w:r>
      <w:r w:rsidRPr="006448DF">
        <w:rPr>
          <w:rFonts w:eastAsiaTheme="minorEastAsia"/>
        </w:rPr>
        <w:t xml:space="preserve"> roll</w:t>
      </w:r>
      <w:r w:rsidR="00CF38B9">
        <w:rPr>
          <w:rFonts w:eastAsiaTheme="minorEastAsia"/>
        </w:rPr>
        <w:t>ing over</w:t>
      </w:r>
      <w:r w:rsidRPr="006448DF">
        <w:rPr>
          <w:rFonts w:eastAsiaTheme="minorEastAsia"/>
        </w:rPr>
        <w:t xml:space="preserve"> funding </w:t>
      </w:r>
      <w:r w:rsidR="00CF38B9">
        <w:rPr>
          <w:rFonts w:eastAsiaTheme="minorEastAsia"/>
        </w:rPr>
        <w:t xml:space="preserve">and programs </w:t>
      </w:r>
      <w:r w:rsidRPr="006448DF">
        <w:rPr>
          <w:rFonts w:eastAsiaTheme="minorEastAsia"/>
        </w:rPr>
        <w:t xml:space="preserve">rather than enabling </w:t>
      </w:r>
      <w:r w:rsidR="00CF38B9">
        <w:rPr>
          <w:rFonts w:eastAsiaTheme="minorEastAsia"/>
        </w:rPr>
        <w:t>them</w:t>
      </w:r>
      <w:r w:rsidR="00CF38B9" w:rsidRPr="006448DF">
        <w:rPr>
          <w:rFonts w:eastAsiaTheme="minorEastAsia"/>
        </w:rPr>
        <w:t xml:space="preserve"> </w:t>
      </w:r>
      <w:r w:rsidRPr="006448DF">
        <w:rPr>
          <w:rFonts w:eastAsiaTheme="minorEastAsia"/>
        </w:rPr>
        <w:t xml:space="preserve">to plan for and manage </w:t>
      </w:r>
      <w:r w:rsidR="00CF38B9">
        <w:rPr>
          <w:rFonts w:eastAsiaTheme="minorEastAsia"/>
        </w:rPr>
        <w:t xml:space="preserve">new and changing </w:t>
      </w:r>
      <w:r w:rsidRPr="006448DF">
        <w:rPr>
          <w:rFonts w:eastAsiaTheme="minorEastAsia"/>
        </w:rPr>
        <w:t>services in line with changing needs.</w:t>
      </w:r>
      <w:r w:rsidRPr="006448DF">
        <w:t xml:space="preserve"> Prescriptive schedules </w:t>
      </w:r>
      <w:r w:rsidRPr="006448DF">
        <w:rPr>
          <w:color w:val="auto"/>
        </w:rPr>
        <w:t>limit the ability of PHNs to tailor programs to local needs and</w:t>
      </w:r>
      <w:r w:rsidRPr="006448DF">
        <w:t xml:space="preserve"> may require</w:t>
      </w:r>
      <w:r w:rsidRPr="006448DF">
        <w:rPr>
          <w:rFonts w:eastAsiaTheme="minorEastAsia"/>
        </w:rPr>
        <w:t xml:space="preserve"> directed activities that do not respond to the opportunities identified in local Needs Assessments. Delayed disbursements also lead to </w:t>
      </w:r>
      <w:r w:rsidRPr="006448DF">
        <w:rPr>
          <w:color w:val="auto"/>
        </w:rPr>
        <w:t>significant administrative burden,</w:t>
      </w:r>
      <w:r w:rsidRPr="006448DF">
        <w:rPr>
          <w:rFonts w:eastAsiaTheme="minorEastAsia"/>
        </w:rPr>
        <w:t xml:space="preserve"> rushed commissioning and disruptions to service delivery. Combined, these impacts often leave local stakeholders conscious of a significant gap between the findings of local </w:t>
      </w:r>
      <w:r w:rsidR="00533457" w:rsidRPr="006448DF">
        <w:rPr>
          <w:rFonts w:eastAsiaTheme="minorEastAsia"/>
        </w:rPr>
        <w:t>N</w:t>
      </w:r>
      <w:r w:rsidRPr="006448DF">
        <w:rPr>
          <w:rFonts w:eastAsiaTheme="minorEastAsia"/>
        </w:rPr>
        <w:t xml:space="preserve">eeds </w:t>
      </w:r>
      <w:r w:rsidR="00533457" w:rsidRPr="006448DF">
        <w:rPr>
          <w:rFonts w:eastAsiaTheme="minorEastAsia"/>
        </w:rPr>
        <w:t>A</w:t>
      </w:r>
      <w:r w:rsidRPr="006448DF">
        <w:rPr>
          <w:rFonts w:eastAsiaTheme="minorEastAsia"/>
        </w:rPr>
        <w:t xml:space="preserve">ssessments and </w:t>
      </w:r>
      <w:r w:rsidR="00427C41" w:rsidRPr="006448DF">
        <w:rPr>
          <w:rFonts w:eastAsiaTheme="minorEastAsia"/>
        </w:rPr>
        <w:t xml:space="preserve">the activities </w:t>
      </w:r>
      <w:proofErr w:type="gramStart"/>
      <w:r w:rsidR="00427C41" w:rsidRPr="006448DF">
        <w:rPr>
          <w:rFonts w:eastAsiaTheme="minorEastAsia"/>
        </w:rPr>
        <w:t>actually funded</w:t>
      </w:r>
      <w:proofErr w:type="gramEnd"/>
      <w:r w:rsidR="00427C41" w:rsidRPr="006448DF">
        <w:rPr>
          <w:rFonts w:eastAsiaTheme="minorEastAsia"/>
        </w:rPr>
        <w:t xml:space="preserve">. </w:t>
      </w:r>
    </w:p>
    <w:p w14:paraId="740DE2BB" w14:textId="42C662DE" w:rsidR="0096749C" w:rsidRPr="00E86637" w:rsidRDefault="00A57B47" w:rsidP="00E86637">
      <w:r w:rsidRPr="006448DF">
        <w:rPr>
          <w:b/>
        </w:rPr>
        <w:t>The review recommends two streams of immediate reforms</w:t>
      </w:r>
      <w:r w:rsidRPr="006448DF">
        <w:rPr>
          <w:rFonts w:eastAsia="Arial"/>
          <w:b/>
        </w:rPr>
        <w:t xml:space="preserve"> to the PHN Business Model.</w:t>
      </w:r>
      <w:r w:rsidRPr="006448DF">
        <w:rPr>
          <w:rFonts w:eastAsia="Arial"/>
        </w:rPr>
        <w:t xml:space="preserve"> These reforms are designed to address the identified tensions in the PHN Business Model while retaining the existing </w:t>
      </w:r>
      <w:r w:rsidR="00C56551" w:rsidRPr="006448DF">
        <w:rPr>
          <w:rFonts w:eastAsia="Arial"/>
        </w:rPr>
        <w:t>Business M</w:t>
      </w:r>
      <w:r w:rsidRPr="006448DF">
        <w:rPr>
          <w:rFonts w:eastAsia="Arial"/>
        </w:rPr>
        <w:t>odel.</w:t>
      </w:r>
      <w:r w:rsidRPr="006448DF">
        <w:rPr>
          <w:b/>
        </w:rPr>
        <w:t xml:space="preserve"> </w:t>
      </w:r>
      <w:r w:rsidR="000D6E73" w:rsidRPr="006448DF">
        <w:rPr>
          <w:b/>
        </w:rPr>
        <w:t>Reform Stream 1 – Raise confidence in PHNs</w:t>
      </w:r>
      <w:r w:rsidR="000D6E73" w:rsidRPr="006448DF">
        <w:t xml:space="preserve"> focuses on a targeted set of interventions to clarify that the primary accountability of PHNs is to the Commonwealth, introduce minimum governance and engagement standards, and implement meaningful performance assessment. </w:t>
      </w:r>
      <w:r w:rsidR="000D6E73" w:rsidRPr="006448DF">
        <w:rPr>
          <w:b/>
        </w:rPr>
        <w:t>Reform Stream 2 – Improve process for funding</w:t>
      </w:r>
      <w:r w:rsidR="000D6E73" w:rsidRPr="006448DF">
        <w:t xml:space="preserve"> includes a targeted set of interventions to simplify grant duration, reduce the prescriptiveness of schedules, and accelerate the disbursement of funding.</w:t>
      </w:r>
      <w:r w:rsidR="005755EF">
        <w:t xml:space="preserve"> </w:t>
      </w:r>
    </w:p>
    <w:p w14:paraId="6A3D1FDE" w14:textId="6537313B" w:rsidR="00EA66CA" w:rsidRPr="006448DF" w:rsidRDefault="00AC7E01">
      <w:pPr>
        <w:spacing w:before="0" w:after="0" w:line="240" w:lineRule="auto"/>
        <w:rPr>
          <w:rStyle w:val="LToptionChar"/>
        </w:rPr>
      </w:pPr>
      <w:r>
        <w:rPr>
          <w:rStyle w:val="LToptionChar"/>
        </w:rPr>
        <w:br w:type="page"/>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054"/>
      </w:tblGrid>
      <w:tr w:rsidR="00FB609B" w:rsidRPr="00076428" w14:paraId="5D33947E" w14:textId="77777777" w:rsidTr="4325136B">
        <w:trPr>
          <w:trHeight w:val="409"/>
        </w:trPr>
        <w:tc>
          <w:tcPr>
            <w:tcW w:w="5000" w:type="pct"/>
            <w:shd w:val="clear" w:color="auto" w:fill="005EB8"/>
            <w:vAlign w:val="center"/>
          </w:tcPr>
          <w:p w14:paraId="12F507A9" w14:textId="43D32C5F" w:rsidR="00FB609B" w:rsidRPr="006448DF" w:rsidRDefault="000D6E73">
            <w:pPr>
              <w:spacing w:before="20" w:after="20"/>
              <w:rPr>
                <w:rFonts w:cs="Arial"/>
                <w:color w:val="auto"/>
                <w:sz w:val="21"/>
                <w:szCs w:val="21"/>
              </w:rPr>
            </w:pPr>
            <w:r w:rsidRPr="006448DF">
              <w:rPr>
                <w:rFonts w:cs="Arial"/>
                <w:b/>
                <w:color w:val="FFFFFF" w:themeColor="background1"/>
                <w:sz w:val="21"/>
                <w:szCs w:val="21"/>
              </w:rPr>
              <w:lastRenderedPageBreak/>
              <w:t xml:space="preserve">Reform Stream 1 – Raise confidence in PHNs </w:t>
            </w:r>
            <w:r w:rsidRPr="006448DF">
              <w:rPr>
                <w:rFonts w:cs="Arial"/>
                <w:color w:val="FFFFFF" w:themeColor="background1"/>
                <w:sz w:val="21"/>
                <w:szCs w:val="21"/>
              </w:rPr>
              <w:t>focuses on a targeted set of interventions to clarify that the primary accountability of PHNs is to the Commonwealth, introduce minimum governance and engagement standards, and implement meaningful performance assessment</w:t>
            </w:r>
          </w:p>
        </w:tc>
      </w:tr>
      <w:tr w:rsidR="00FB609B" w:rsidRPr="00076428" w14:paraId="16016EA9" w14:textId="77777777" w:rsidTr="4325136B">
        <w:trPr>
          <w:trHeight w:val="72"/>
        </w:trPr>
        <w:tc>
          <w:tcPr>
            <w:tcW w:w="5000" w:type="pct"/>
          </w:tcPr>
          <w:p w14:paraId="1D9FA4D0" w14:textId="00595BE0" w:rsidR="00B95077" w:rsidRPr="006448DF" w:rsidRDefault="5FFC67DC" w:rsidP="00B95077">
            <w:pPr>
              <w:pStyle w:val="ListParagraph"/>
              <w:numPr>
                <w:ilvl w:val="1"/>
                <w:numId w:val="45"/>
              </w:numPr>
              <w:ind w:left="567" w:hanging="567"/>
            </w:pPr>
            <w:bookmarkStart w:id="7" w:name="OLE_LINK5"/>
            <w:r w:rsidRPr="006448DF">
              <w:t>Reinforce that PHNs are funded to act on behalf of the Commonwealth in line with the provisions of their Deeds</w:t>
            </w:r>
            <w:r w:rsidR="0472F0BA" w:rsidRPr="006448DF">
              <w:t xml:space="preserve"> </w:t>
            </w:r>
            <w:r w:rsidRPr="006448DF">
              <w:t>and are primarily responsible for delivering better health outcomes by improving local primary care</w:t>
            </w:r>
            <w:r w:rsidR="0472F0BA" w:rsidRPr="006448DF">
              <w:t xml:space="preserve"> </w:t>
            </w:r>
            <w:r w:rsidRPr="006448DF">
              <w:t>through service coordination, provider capa</w:t>
            </w:r>
            <w:r w:rsidR="006A1D0A" w:rsidRPr="006448DF">
              <w:t>city</w:t>
            </w:r>
            <w:r w:rsidRPr="006448DF">
              <w:t xml:space="preserve"> building and targeted commissioning</w:t>
            </w:r>
          </w:p>
          <w:bookmarkEnd w:id="7"/>
          <w:p w14:paraId="10827AFC" w14:textId="77777777" w:rsidR="00B95077" w:rsidRPr="006448DF" w:rsidRDefault="00B95077" w:rsidP="00B95077">
            <w:pPr>
              <w:pStyle w:val="ListParagraph"/>
              <w:ind w:left="360"/>
            </w:pPr>
          </w:p>
          <w:p w14:paraId="78B4CA98" w14:textId="77777777" w:rsidR="00B95077" w:rsidRPr="0026790B" w:rsidRDefault="00B95077" w:rsidP="00B95077">
            <w:pPr>
              <w:pStyle w:val="ListParagraph"/>
              <w:numPr>
                <w:ilvl w:val="1"/>
                <w:numId w:val="45"/>
              </w:numPr>
              <w:ind w:left="567" w:hanging="567"/>
            </w:pPr>
            <w:r w:rsidRPr="00E90DC6">
              <w:t>Introduce minimum governance and engagement standards</w:t>
            </w:r>
            <w:r>
              <w:t>:</w:t>
            </w:r>
          </w:p>
          <w:p w14:paraId="4ACD1A23" w14:textId="77777777" w:rsidR="00B95077" w:rsidRPr="006448DF" w:rsidRDefault="00B95077" w:rsidP="00B95077">
            <w:pPr>
              <w:pStyle w:val="ListParagraph"/>
              <w:numPr>
                <w:ilvl w:val="1"/>
                <w:numId w:val="30"/>
              </w:numPr>
            </w:pPr>
            <w:r w:rsidRPr="006448DF">
              <w:t>Require PHNs to conduct internal minimum governance reviews using standardised guidelines</w:t>
            </w:r>
          </w:p>
          <w:p w14:paraId="3970805D" w14:textId="43BCA73E" w:rsidR="00B95077" w:rsidRPr="006448DF" w:rsidRDefault="00B95077" w:rsidP="00B95077">
            <w:pPr>
              <w:pStyle w:val="ListParagraph"/>
              <w:numPr>
                <w:ilvl w:val="1"/>
                <w:numId w:val="30"/>
              </w:numPr>
            </w:pPr>
            <w:r w:rsidRPr="006448DF">
              <w:t>Require all PHNs to adopt a nationally consistent commissioning approach, based on the existing work that has been started by the PHN Cooperative (e.g. consistent RFP documents, KPIs)</w:t>
            </w:r>
          </w:p>
          <w:p w14:paraId="2BF94CD9" w14:textId="77777777" w:rsidR="00B95077" w:rsidRPr="006448DF" w:rsidRDefault="00B95077" w:rsidP="00B95077">
            <w:pPr>
              <w:pStyle w:val="ListParagraph"/>
              <w:ind w:left="1080"/>
            </w:pPr>
          </w:p>
          <w:p w14:paraId="1605EB3D" w14:textId="77777777" w:rsidR="00B95077" w:rsidRPr="0026790B" w:rsidRDefault="00B95077" w:rsidP="00B95077">
            <w:pPr>
              <w:pStyle w:val="ListParagraph"/>
              <w:numPr>
                <w:ilvl w:val="1"/>
                <w:numId w:val="45"/>
              </w:numPr>
              <w:ind w:left="567" w:hanging="567"/>
            </w:pPr>
            <w:r w:rsidRPr="00E90DC6">
              <w:t>Implement meaningful performance assessment</w:t>
            </w:r>
            <w:r>
              <w:t>:</w:t>
            </w:r>
          </w:p>
          <w:p w14:paraId="7C1E44CB" w14:textId="77777777" w:rsidR="00B95077" w:rsidRPr="006448DF" w:rsidRDefault="00B95077" w:rsidP="00B95077">
            <w:pPr>
              <w:pStyle w:val="ListParagraph"/>
              <w:numPr>
                <w:ilvl w:val="1"/>
                <w:numId w:val="30"/>
              </w:numPr>
            </w:pPr>
            <w:r w:rsidRPr="006448DF">
              <w:t>Standardise and integrate key reporting using an annual ‘Needs, Programs, Outputs’ report for each PHN</w:t>
            </w:r>
          </w:p>
          <w:p w14:paraId="30422472" w14:textId="108AB9C8" w:rsidR="00B95077" w:rsidRPr="006448DF" w:rsidRDefault="00B95077" w:rsidP="00B95077">
            <w:pPr>
              <w:pStyle w:val="ListParagraph"/>
              <w:numPr>
                <w:ilvl w:val="1"/>
                <w:numId w:val="30"/>
              </w:numPr>
            </w:pPr>
            <w:r w:rsidRPr="006448DF">
              <w:t xml:space="preserve">Establish a ‘PHN Quality and Improvement’ team to </w:t>
            </w:r>
            <w:r w:rsidR="00E64CCC">
              <w:t>conduct</w:t>
            </w:r>
            <w:r w:rsidR="00E64CCC" w:rsidRPr="006448DF">
              <w:t xml:space="preserve"> </w:t>
            </w:r>
            <w:r w:rsidR="00E64CCC">
              <w:t>PHN operations</w:t>
            </w:r>
            <w:r w:rsidR="006B3252">
              <w:t xml:space="preserve"> and </w:t>
            </w:r>
            <w:r w:rsidRPr="006448DF">
              <w:t xml:space="preserve">performance </w:t>
            </w:r>
            <w:r w:rsidR="00E64CCC">
              <w:t xml:space="preserve">reviews, </w:t>
            </w:r>
            <w:r w:rsidRPr="006448DF">
              <w:t xml:space="preserve">and </w:t>
            </w:r>
            <w:r w:rsidR="00D6723A">
              <w:t xml:space="preserve">recommend </w:t>
            </w:r>
            <w:r w:rsidR="008A0419">
              <w:t xml:space="preserve">improvement </w:t>
            </w:r>
            <w:r w:rsidR="00D6723A">
              <w:t>actions</w:t>
            </w:r>
            <w:r w:rsidR="0015062E">
              <w:t xml:space="preserve"> to PHN</w:t>
            </w:r>
            <w:r w:rsidR="00E64CCC">
              <w:t>s</w:t>
            </w:r>
            <w:r w:rsidR="00D6723A">
              <w:t xml:space="preserve"> </w:t>
            </w:r>
          </w:p>
          <w:p w14:paraId="5C11128C" w14:textId="64E2638B" w:rsidR="00FB609B" w:rsidRPr="006448DF" w:rsidRDefault="00B95077" w:rsidP="00ED11FC">
            <w:pPr>
              <w:pStyle w:val="ListParagraph"/>
              <w:numPr>
                <w:ilvl w:val="1"/>
                <w:numId w:val="30"/>
              </w:numPr>
              <w:rPr>
                <w:sz w:val="21"/>
                <w:szCs w:val="21"/>
              </w:rPr>
            </w:pPr>
            <w:r w:rsidRPr="006448DF">
              <w:t xml:space="preserve">Implement an underperformance escalation pathway to </w:t>
            </w:r>
            <w:r w:rsidR="00E64CCC">
              <w:t>man</w:t>
            </w:r>
            <w:r w:rsidR="002D417D">
              <w:t>age</w:t>
            </w:r>
            <w:r w:rsidR="00F2506A" w:rsidRPr="006448DF">
              <w:t xml:space="preserve"> </w:t>
            </w:r>
            <w:r w:rsidRPr="006448DF">
              <w:t xml:space="preserve">underperforming PHNs and </w:t>
            </w:r>
            <w:r w:rsidR="00E64CCC">
              <w:t>ensure they</w:t>
            </w:r>
            <w:r w:rsidR="0015062E">
              <w:t xml:space="preserve"> respond to </w:t>
            </w:r>
            <w:r w:rsidR="002320AD">
              <w:t>improvement recommendations</w:t>
            </w:r>
          </w:p>
        </w:tc>
      </w:tr>
    </w:tbl>
    <w:p w14:paraId="53B343CE" w14:textId="76221453" w:rsidR="00CC4E92" w:rsidRPr="006448DF" w:rsidRDefault="00455E12" w:rsidP="00ED11FC">
      <w:pPr>
        <w:spacing w:before="0" w:after="0" w:line="240" w:lineRule="auto"/>
        <w:rPr>
          <w:rStyle w:val="LToptionChar"/>
        </w:rPr>
      </w:pPr>
      <w:r w:rsidRPr="006448DF">
        <w:rPr>
          <w:rStyle w:val="LToptionChar"/>
        </w:rPr>
        <w:br w:type="page"/>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054"/>
      </w:tblGrid>
      <w:tr w:rsidR="00CC4E92" w:rsidRPr="00076428" w14:paraId="4B9C97E6" w14:textId="77777777">
        <w:trPr>
          <w:trHeight w:val="409"/>
        </w:trPr>
        <w:tc>
          <w:tcPr>
            <w:tcW w:w="5000" w:type="pct"/>
            <w:shd w:val="clear" w:color="auto" w:fill="005EB8"/>
            <w:vAlign w:val="center"/>
          </w:tcPr>
          <w:p w14:paraId="5DB38906" w14:textId="525CEB33" w:rsidR="00CC4E92" w:rsidRPr="006448DF" w:rsidRDefault="000D6E73">
            <w:pPr>
              <w:spacing w:before="20" w:after="20"/>
              <w:rPr>
                <w:rFonts w:cs="Arial"/>
                <w:color w:val="auto"/>
                <w:sz w:val="21"/>
                <w:szCs w:val="21"/>
              </w:rPr>
            </w:pPr>
            <w:r w:rsidRPr="006448DF">
              <w:rPr>
                <w:rFonts w:cs="Arial"/>
                <w:b/>
                <w:color w:val="FFFFFF" w:themeColor="background1"/>
                <w:sz w:val="21"/>
                <w:szCs w:val="21"/>
              </w:rPr>
              <w:lastRenderedPageBreak/>
              <w:t>Reform Stream 2 – Improve process for funding</w:t>
            </w:r>
            <w:r w:rsidRPr="006448DF">
              <w:rPr>
                <w:rFonts w:cs="Arial"/>
                <w:color w:val="FFFFFF" w:themeColor="background1"/>
                <w:sz w:val="21"/>
                <w:szCs w:val="21"/>
              </w:rPr>
              <w:t xml:space="preserve"> includes a targeted set of interventions to simplify grant duration, reduce the prescriptiveness of schedules, and accelerate the disbursement of funding</w:t>
            </w:r>
          </w:p>
        </w:tc>
      </w:tr>
      <w:tr w:rsidR="00CC4E92" w:rsidRPr="00076428" w14:paraId="739536DF" w14:textId="77777777" w:rsidTr="00BE125D">
        <w:trPr>
          <w:trHeight w:val="5315"/>
        </w:trPr>
        <w:tc>
          <w:tcPr>
            <w:tcW w:w="5000" w:type="pct"/>
          </w:tcPr>
          <w:p w14:paraId="3258F755" w14:textId="209624AE" w:rsidR="00CC4E92" w:rsidRPr="00E90DC6" w:rsidRDefault="00CC4E92" w:rsidP="00CC4E92">
            <w:pPr>
              <w:pStyle w:val="ListParagraph"/>
              <w:numPr>
                <w:ilvl w:val="1"/>
                <w:numId w:val="46"/>
              </w:numPr>
              <w:ind w:left="567" w:hanging="567"/>
            </w:pPr>
            <w:r w:rsidRPr="00E90DC6">
              <w:t>Move to 3</w:t>
            </w:r>
            <w:r>
              <w:rPr>
                <w:rFonts w:cs="Arial"/>
              </w:rPr>
              <w:t>–</w:t>
            </w:r>
            <w:r w:rsidRPr="00E90DC6">
              <w:t xml:space="preserve">5 year rolling grants for all persistent </w:t>
            </w:r>
            <w:r>
              <w:t xml:space="preserve">and core </w:t>
            </w:r>
            <w:r w:rsidRPr="00E90DC6">
              <w:t>programs</w:t>
            </w:r>
            <w:r>
              <w:t>:</w:t>
            </w:r>
          </w:p>
          <w:p w14:paraId="1A1543C9" w14:textId="77777777" w:rsidR="00CC4E92" w:rsidRPr="0026790B" w:rsidRDefault="00CC4E92" w:rsidP="00CC4E92">
            <w:pPr>
              <w:pStyle w:val="ListParagraph"/>
              <w:numPr>
                <w:ilvl w:val="1"/>
                <w:numId w:val="30"/>
              </w:numPr>
              <w:spacing w:after="120"/>
              <w:rPr>
                <w:rFonts w:eastAsiaTheme="minorEastAsia"/>
              </w:rPr>
            </w:pPr>
            <w:r>
              <w:rPr>
                <w:rFonts w:eastAsiaTheme="minorEastAsia"/>
              </w:rPr>
              <w:t>A</w:t>
            </w:r>
            <w:r w:rsidRPr="00E90DC6">
              <w:rPr>
                <w:rFonts w:eastAsiaTheme="minorEastAsia"/>
              </w:rPr>
              <w:t>rticulat</w:t>
            </w:r>
            <w:r>
              <w:rPr>
                <w:rFonts w:eastAsiaTheme="minorEastAsia"/>
              </w:rPr>
              <w:t>e</w:t>
            </w:r>
            <w:r w:rsidRPr="00E90DC6">
              <w:rPr>
                <w:rFonts w:eastAsiaTheme="minorEastAsia"/>
              </w:rPr>
              <w:t xml:space="preserve"> the impacts/limitations of short-term funding to policy areas and broader government to support a </w:t>
            </w:r>
            <w:r w:rsidRPr="00E90DC6">
              <w:t>transition</w:t>
            </w:r>
            <w:r w:rsidRPr="00E90DC6">
              <w:rPr>
                <w:rFonts w:eastAsiaTheme="minorEastAsia"/>
              </w:rPr>
              <w:t xml:space="preserve"> to longer terms for core funding </w:t>
            </w:r>
            <w:r w:rsidRPr="00E90DC6">
              <w:t xml:space="preserve">and </w:t>
            </w:r>
            <w:r w:rsidRPr="00E90DC6">
              <w:rPr>
                <w:rFonts w:eastAsiaTheme="minorEastAsia"/>
              </w:rPr>
              <w:t>program funding</w:t>
            </w:r>
            <w:r w:rsidRPr="00E90DC6">
              <w:t xml:space="preserve"> </w:t>
            </w:r>
          </w:p>
          <w:p w14:paraId="34C5A3B9" w14:textId="5C11B48B" w:rsidR="00EA018A" w:rsidRPr="00EA018A" w:rsidRDefault="00EA018A" w:rsidP="00EA018A">
            <w:pPr>
              <w:pStyle w:val="ListParagraph"/>
              <w:numPr>
                <w:ilvl w:val="1"/>
                <w:numId w:val="30"/>
              </w:numPr>
              <w:spacing w:after="120"/>
            </w:pPr>
            <w:r w:rsidRPr="00EA018A">
              <w:t>Set guide</w:t>
            </w:r>
            <w:r w:rsidR="00D76C59">
              <w:t>line</w:t>
            </w:r>
            <w:r w:rsidRPr="00EA018A">
              <w:t xml:space="preserve">s </w:t>
            </w:r>
            <w:r w:rsidR="00D76C59">
              <w:t xml:space="preserve">on </w:t>
            </w:r>
            <w:r w:rsidRPr="00EA018A">
              <w:t xml:space="preserve">the design and duration of program funding (e.g. three years) to allow meaningful tailoring and commissioning of services, </w:t>
            </w:r>
            <w:proofErr w:type="gramStart"/>
            <w:r w:rsidRPr="00EA018A">
              <w:t>with the exception of</w:t>
            </w:r>
            <w:proofErr w:type="gramEnd"/>
            <w:r w:rsidRPr="00EA018A">
              <w:t xml:space="preserve"> one-off/ad-hoc grants</w:t>
            </w:r>
          </w:p>
          <w:p w14:paraId="6798DFE7" w14:textId="77777777" w:rsidR="00CC4E92" w:rsidRPr="00E90DC6" w:rsidRDefault="00CC4E92" w:rsidP="00ED11FC">
            <w:pPr>
              <w:pStyle w:val="ListParagraph"/>
              <w:spacing w:after="120"/>
              <w:ind w:left="1080"/>
              <w:rPr>
                <w:rFonts w:eastAsiaTheme="minorEastAsia"/>
              </w:rPr>
            </w:pPr>
          </w:p>
          <w:p w14:paraId="7F059EAD" w14:textId="77777777" w:rsidR="00CC4E92" w:rsidRPr="00E90DC6" w:rsidRDefault="00CC4E92" w:rsidP="00CC4E92">
            <w:pPr>
              <w:pStyle w:val="ListParagraph"/>
              <w:numPr>
                <w:ilvl w:val="1"/>
                <w:numId w:val="46"/>
              </w:numPr>
              <w:ind w:left="567" w:hanging="567"/>
            </w:pPr>
            <w:r w:rsidRPr="00E90DC6">
              <w:t>Move to standard templates that cater to different levels of prescription required and</w:t>
            </w:r>
            <w:r>
              <w:t xml:space="preserve"> </w:t>
            </w:r>
            <w:r w:rsidRPr="00E90DC6">
              <w:t>focus on outputs</w:t>
            </w:r>
            <w:r>
              <w:t>:</w:t>
            </w:r>
          </w:p>
          <w:p w14:paraId="15A54E7B" w14:textId="0CEB300E" w:rsidR="00CC4E92" w:rsidRPr="00E90DC6" w:rsidRDefault="00CC4E92" w:rsidP="00CC4E92">
            <w:pPr>
              <w:pStyle w:val="ListParagraph"/>
              <w:numPr>
                <w:ilvl w:val="1"/>
                <w:numId w:val="30"/>
              </w:numPr>
              <w:rPr>
                <w:rFonts w:eastAsiaTheme="minorEastAsia"/>
              </w:rPr>
            </w:pPr>
            <w:r w:rsidRPr="00E90DC6">
              <w:rPr>
                <w:rFonts w:eastAsiaTheme="minorEastAsia"/>
              </w:rPr>
              <w:t xml:space="preserve">Establish a clear ‘Service Offer’ with policy areas to establish the rules of when and how </w:t>
            </w:r>
            <w:r>
              <w:rPr>
                <w:rFonts w:eastAsiaTheme="minorEastAsia"/>
              </w:rPr>
              <w:t>policy areas</w:t>
            </w:r>
            <w:r w:rsidRPr="00E90DC6">
              <w:rPr>
                <w:rFonts w:eastAsiaTheme="minorEastAsia"/>
              </w:rPr>
              <w:t xml:space="preserve"> can use PHNs to deliver their programs (e.g. simplified schedules, minimum terms of funding)</w:t>
            </w:r>
          </w:p>
          <w:p w14:paraId="01C0934A" w14:textId="359F3BD0" w:rsidR="00CC4E92" w:rsidRPr="00E90DC6" w:rsidRDefault="00CC4E92" w:rsidP="00CC4E92">
            <w:pPr>
              <w:pStyle w:val="ListParagraph"/>
              <w:numPr>
                <w:ilvl w:val="1"/>
                <w:numId w:val="30"/>
              </w:numPr>
              <w:rPr>
                <w:rFonts w:eastAsiaTheme="minorEastAsia"/>
              </w:rPr>
            </w:pPr>
            <w:r w:rsidRPr="00E90DC6">
              <w:rPr>
                <w:rFonts w:eastAsiaTheme="minorEastAsia"/>
              </w:rPr>
              <w:t xml:space="preserve">Significantly reduce </w:t>
            </w:r>
            <w:r>
              <w:rPr>
                <w:rFonts w:eastAsiaTheme="minorEastAsia"/>
              </w:rPr>
              <w:t>s</w:t>
            </w:r>
            <w:r w:rsidRPr="00E90DC6">
              <w:rPr>
                <w:rFonts w:eastAsiaTheme="minorEastAsia"/>
              </w:rPr>
              <w:t>chedule length and</w:t>
            </w:r>
            <w:r>
              <w:t xml:space="preserve">, </w:t>
            </w:r>
            <w:r w:rsidRPr="00E90DC6">
              <w:rPr>
                <w:rFonts w:eastAsiaTheme="minorEastAsia"/>
              </w:rPr>
              <w:t xml:space="preserve">where possible, remove overly prescriptive </w:t>
            </w:r>
            <w:r>
              <w:rPr>
                <w:rFonts w:eastAsiaTheme="minorEastAsia"/>
              </w:rPr>
              <w:t>a</w:t>
            </w:r>
            <w:r w:rsidRPr="00E90DC6">
              <w:rPr>
                <w:rFonts w:eastAsiaTheme="minorEastAsia"/>
              </w:rPr>
              <w:t>ctivities and burdensome program-specific process control reporting</w:t>
            </w:r>
          </w:p>
          <w:p w14:paraId="53DF1FC0" w14:textId="38C67347" w:rsidR="00CC4E92" w:rsidRPr="006448DF" w:rsidRDefault="00CC4E92" w:rsidP="00CC4E92">
            <w:pPr>
              <w:pStyle w:val="ListParagraph"/>
              <w:numPr>
                <w:ilvl w:val="1"/>
                <w:numId w:val="30"/>
              </w:numPr>
            </w:pPr>
            <w:r w:rsidRPr="00E90DC6">
              <w:t>Create different</w:t>
            </w:r>
            <w:r>
              <w:t xml:space="preserve"> </w:t>
            </w:r>
            <w:r w:rsidRPr="00E90DC6">
              <w:t>templated versions of the grants process</w:t>
            </w:r>
            <w:r>
              <w:t xml:space="preserve"> (e.g. </w:t>
            </w:r>
            <w:r w:rsidRPr="006448DF">
              <w:rPr>
                <w:rFonts w:eastAsiaTheme="minorEastAsia"/>
              </w:rPr>
              <w:t>high control, medium control, low control)</w:t>
            </w:r>
          </w:p>
          <w:p w14:paraId="31D1E67D" w14:textId="30414708" w:rsidR="00CC4E92" w:rsidRPr="006448DF" w:rsidRDefault="00CC4E92" w:rsidP="00CC4E92">
            <w:pPr>
              <w:pStyle w:val="ListParagraph"/>
              <w:numPr>
                <w:ilvl w:val="1"/>
                <w:numId w:val="30"/>
              </w:numPr>
            </w:pPr>
            <w:r w:rsidRPr="006448DF">
              <w:rPr>
                <w:rFonts w:eastAsiaTheme="minorEastAsia"/>
              </w:rPr>
              <w:t>Ensure that reporting is commensurate with funding amount and duration, and that data collection is fully justified (e.g. high frequency only early in new policies)</w:t>
            </w:r>
          </w:p>
          <w:p w14:paraId="346BC596" w14:textId="77777777" w:rsidR="00CC4E92" w:rsidRPr="006448DF" w:rsidRDefault="00CC4E92" w:rsidP="00ED11FC">
            <w:pPr>
              <w:pStyle w:val="ListParagraph"/>
              <w:ind w:left="1080"/>
            </w:pPr>
          </w:p>
          <w:p w14:paraId="5C841CCE" w14:textId="77777777" w:rsidR="00CC4E92" w:rsidRPr="00E90DC6" w:rsidRDefault="00CC4E92" w:rsidP="00CC4E92">
            <w:pPr>
              <w:pStyle w:val="ListParagraph"/>
              <w:numPr>
                <w:ilvl w:val="1"/>
                <w:numId w:val="46"/>
              </w:numPr>
              <w:ind w:left="567" w:hanging="567"/>
            </w:pPr>
            <w:r w:rsidRPr="00E90DC6">
              <w:t>Reduce administrative bottlenecks and introduce faster pathways for routine or low</w:t>
            </w:r>
            <w:r>
              <w:t xml:space="preserve"> </w:t>
            </w:r>
            <w:r w:rsidRPr="00E90DC6">
              <w:t>risk funding</w:t>
            </w:r>
            <w:r>
              <w:t>:</w:t>
            </w:r>
          </w:p>
          <w:p w14:paraId="394BD799" w14:textId="18E408E5" w:rsidR="00A65A6A" w:rsidRDefault="00CC4E92" w:rsidP="001E39A0">
            <w:pPr>
              <w:pStyle w:val="ListParagraph"/>
              <w:numPr>
                <w:ilvl w:val="1"/>
                <w:numId w:val="30"/>
              </w:numPr>
              <w:rPr>
                <w:rFonts w:eastAsiaTheme="minorEastAsia"/>
              </w:rPr>
            </w:pPr>
            <w:r w:rsidRPr="00E90DC6">
              <w:rPr>
                <w:rFonts w:eastAsiaTheme="minorEastAsia"/>
              </w:rPr>
              <w:t xml:space="preserve">Investigate accelerated pathway for grants (including variations or extensions to existing funding) </w:t>
            </w:r>
            <w:r w:rsidR="00A65A6A" w:rsidRPr="00A65A6A">
              <w:rPr>
                <w:rFonts w:eastAsiaTheme="minorEastAsia"/>
              </w:rPr>
              <w:t xml:space="preserve">to achieve the most suitable outcomes </w:t>
            </w:r>
          </w:p>
          <w:p w14:paraId="08B2E788" w14:textId="7BF9CD74" w:rsidR="00CC4E92" w:rsidRPr="00E90DC6" w:rsidRDefault="00CC4E92" w:rsidP="00CC4E92">
            <w:pPr>
              <w:pStyle w:val="ListParagraph"/>
              <w:numPr>
                <w:ilvl w:val="1"/>
                <w:numId w:val="30"/>
              </w:numPr>
              <w:rPr>
                <w:rFonts w:eastAsiaTheme="minorEastAsia"/>
              </w:rPr>
            </w:pPr>
            <w:r w:rsidRPr="00E90DC6">
              <w:rPr>
                <w:rFonts w:eastAsiaTheme="minorEastAsia"/>
              </w:rPr>
              <w:t>Continue using non-competitive and non-application-based grants where</w:t>
            </w:r>
            <w:r w:rsidRPr="00144B95">
              <w:rPr>
                <w:rFonts w:eastAsiaTheme="minorEastAsia"/>
              </w:rPr>
              <w:t xml:space="preserve"> </w:t>
            </w:r>
            <w:r w:rsidRPr="00E90DC6">
              <w:rPr>
                <w:rFonts w:eastAsiaTheme="minorEastAsia"/>
              </w:rPr>
              <w:t xml:space="preserve">possible (unless the </w:t>
            </w:r>
            <w:r>
              <w:rPr>
                <w:rFonts w:eastAsiaTheme="minorEastAsia"/>
              </w:rPr>
              <w:t>activity</w:t>
            </w:r>
            <w:r w:rsidRPr="00E90DC6">
              <w:rPr>
                <w:rFonts w:eastAsiaTheme="minorEastAsia"/>
              </w:rPr>
              <w:t xml:space="preserve"> is specifically competitive)</w:t>
            </w:r>
          </w:p>
          <w:p w14:paraId="5268FA69" w14:textId="58222940" w:rsidR="00CC4E92" w:rsidRPr="00E90DC6" w:rsidRDefault="00CC4E92" w:rsidP="00CC4E92">
            <w:pPr>
              <w:pStyle w:val="ListParagraph"/>
              <w:numPr>
                <w:ilvl w:val="1"/>
                <w:numId w:val="30"/>
              </w:numPr>
            </w:pPr>
            <w:r w:rsidRPr="00E90DC6">
              <w:t>Assess opportunities to triage PHN grants to lower risk templates when appropriate (e.g. PHN grants can default to 'complex/high risk' templates, despite the well-tested model and defined recipients)</w:t>
            </w:r>
          </w:p>
          <w:p w14:paraId="205B7C37" w14:textId="319570C4" w:rsidR="00CC4E92" w:rsidRPr="00E90DC6" w:rsidRDefault="00CC4E92" w:rsidP="00CC4E92">
            <w:pPr>
              <w:pStyle w:val="ListParagraph"/>
              <w:numPr>
                <w:ilvl w:val="1"/>
                <w:numId w:val="30"/>
              </w:numPr>
              <w:rPr>
                <w:rFonts w:eastAsiaTheme="minorEastAsia"/>
              </w:rPr>
            </w:pPr>
            <w:r w:rsidRPr="00E90DC6">
              <w:rPr>
                <w:rFonts w:eastAsiaTheme="minorEastAsia"/>
              </w:rPr>
              <w:t xml:space="preserve">Evaluate opportunities to operate under existing (more flexible) </w:t>
            </w:r>
            <w:r>
              <w:rPr>
                <w:rFonts w:eastAsiaTheme="minorEastAsia"/>
              </w:rPr>
              <w:t>s</w:t>
            </w:r>
            <w:r w:rsidRPr="00E90DC6">
              <w:rPr>
                <w:rFonts w:eastAsiaTheme="minorEastAsia"/>
              </w:rPr>
              <w:t>chedules, rather than defaulting to new Grant Opportunities</w:t>
            </w:r>
          </w:p>
          <w:p w14:paraId="283E281A" w14:textId="4D13D3FD" w:rsidR="00CC4E92" w:rsidRPr="006448DF" w:rsidRDefault="00CC4E92" w:rsidP="00CC4E92">
            <w:pPr>
              <w:pStyle w:val="ListParagraph"/>
              <w:numPr>
                <w:ilvl w:val="1"/>
                <w:numId w:val="30"/>
              </w:numPr>
              <w:rPr>
                <w:sz w:val="21"/>
                <w:szCs w:val="21"/>
              </w:rPr>
            </w:pPr>
            <w:r w:rsidRPr="00E90DC6">
              <w:rPr>
                <w:rFonts w:eastAsiaTheme="minorEastAsia"/>
              </w:rPr>
              <w:t>Consider options to expedite approval of 'standard' Grant Opportunity Guidelines (e.g. funding extension)</w:t>
            </w:r>
          </w:p>
        </w:tc>
      </w:tr>
    </w:tbl>
    <w:p w14:paraId="11D0B26B" w14:textId="77777777" w:rsidR="00FB609B" w:rsidRPr="006448DF" w:rsidRDefault="00FB609B" w:rsidP="00A57B47">
      <w:pPr>
        <w:rPr>
          <w:rStyle w:val="LToptionChar"/>
        </w:rPr>
      </w:pPr>
    </w:p>
    <w:p w14:paraId="70DEC21A" w14:textId="77777777" w:rsidR="00455E12" w:rsidRPr="006448DF" w:rsidRDefault="00455E12">
      <w:pPr>
        <w:spacing w:before="0" w:after="0" w:line="240" w:lineRule="auto"/>
        <w:rPr>
          <w:rStyle w:val="LToptionChar"/>
        </w:rPr>
      </w:pPr>
      <w:r w:rsidRPr="006448DF">
        <w:rPr>
          <w:rStyle w:val="LToptionChar"/>
        </w:rPr>
        <w:br w:type="page"/>
      </w:r>
    </w:p>
    <w:p w14:paraId="0A87749E" w14:textId="7786AC4E" w:rsidR="00E25B20" w:rsidRPr="001A3AC3" w:rsidRDefault="00E25B20" w:rsidP="00A57B47">
      <w:r w:rsidRPr="000E4AAE">
        <w:rPr>
          <w:b/>
          <w:bCs/>
        </w:rPr>
        <w:lastRenderedPageBreak/>
        <w:t>Delivering the reforms will require both immediate and ongoing investment.</w:t>
      </w:r>
      <w:r w:rsidRPr="000E4AAE">
        <w:t xml:space="preserve"> In the </w:t>
      </w:r>
      <w:r w:rsidRPr="00E61FC1">
        <w:t>12 months following a</w:t>
      </w:r>
      <w:r>
        <w:t>greement</w:t>
      </w:r>
      <w:r w:rsidRPr="00E61FC1">
        <w:t xml:space="preserve"> to adopt </w:t>
      </w:r>
      <w:r>
        <w:t xml:space="preserve">these </w:t>
      </w:r>
      <w:r w:rsidRPr="00E61FC1">
        <w:t>reforms</w:t>
      </w:r>
      <w:r>
        <w:t>,</w:t>
      </w:r>
      <w:r w:rsidRPr="000E4AAE">
        <w:t xml:space="preserve"> the Department will need to </w:t>
      </w:r>
      <w:r>
        <w:t xml:space="preserve">make a one-off </w:t>
      </w:r>
      <w:r w:rsidRPr="000E4AAE">
        <w:t>invest</w:t>
      </w:r>
      <w:r>
        <w:t>ment</w:t>
      </w:r>
      <w:r w:rsidRPr="000E4AAE">
        <w:t xml:space="preserve"> in PHN Branch resourcing to update funding deeds, simplify reporting</w:t>
      </w:r>
      <w:r>
        <w:t xml:space="preserve">, </w:t>
      </w:r>
      <w:r w:rsidRPr="000E4AAE">
        <w:t>develop new policy proposals to support longer-term funding arrangements</w:t>
      </w:r>
      <w:r>
        <w:t xml:space="preserve"> and stand up the new Quality Improvement team</w:t>
      </w:r>
      <w:r w:rsidRPr="000E4AAE">
        <w:t xml:space="preserve">. </w:t>
      </w:r>
      <w:r w:rsidR="002320AD">
        <w:t xml:space="preserve">Following this </w:t>
      </w:r>
      <w:r>
        <w:t xml:space="preserve">initial </w:t>
      </w:r>
      <w:r w:rsidR="002320AD">
        <w:t xml:space="preserve">implementation period, a smaller </w:t>
      </w:r>
      <w:r w:rsidR="00A9161D">
        <w:t xml:space="preserve">ongoing </w:t>
      </w:r>
      <w:r w:rsidR="002320AD">
        <w:t>increase to</w:t>
      </w:r>
      <w:r w:rsidRPr="000E4AAE">
        <w:t xml:space="preserve"> current </w:t>
      </w:r>
      <w:r w:rsidR="002320AD">
        <w:t xml:space="preserve">funding </w:t>
      </w:r>
      <w:r w:rsidRPr="000E4AAE">
        <w:t>levels</w:t>
      </w:r>
      <w:r w:rsidR="002320AD">
        <w:t xml:space="preserve"> will be required to </w:t>
      </w:r>
      <w:r>
        <w:t xml:space="preserve">support the PHN </w:t>
      </w:r>
      <w:r w:rsidRPr="000E4AAE">
        <w:t xml:space="preserve">Quality Improvement team and enhanced </w:t>
      </w:r>
      <w:r w:rsidR="00302370">
        <w:t>PHN Branch</w:t>
      </w:r>
      <w:r w:rsidRPr="000E4AAE">
        <w:t xml:space="preserve"> responsibilities. The Department’s operating model will need to change with respect to the PHN program, with the PHN Program </w:t>
      </w:r>
      <w:r w:rsidR="00302370">
        <w:t>B</w:t>
      </w:r>
      <w:r w:rsidRPr="000E4AAE">
        <w:t xml:space="preserve">oard playing a stronger stewardship role. </w:t>
      </w:r>
    </w:p>
    <w:p w14:paraId="4E94BD99" w14:textId="4374D334" w:rsidR="00A57B47" w:rsidRPr="006448DF" w:rsidRDefault="00A57B47" w:rsidP="00A57B47">
      <w:r w:rsidRPr="006448DF">
        <w:rPr>
          <w:b/>
        </w:rPr>
        <w:t xml:space="preserve">Delivering the two streams of immediate reforms will </w:t>
      </w:r>
      <w:r w:rsidR="006E796A">
        <w:rPr>
          <w:b/>
        </w:rPr>
        <w:t xml:space="preserve">increase trust, </w:t>
      </w:r>
      <w:r w:rsidRPr="006448DF">
        <w:rPr>
          <w:b/>
        </w:rPr>
        <w:t xml:space="preserve">reduce administrative burden, distribute funds more effectively, and support PHNs to deliver </w:t>
      </w:r>
      <w:r w:rsidR="00CA59D3" w:rsidRPr="006448DF">
        <w:rPr>
          <w:b/>
        </w:rPr>
        <w:t>‘</w:t>
      </w:r>
      <w:r w:rsidRPr="006448DF">
        <w:rPr>
          <w:b/>
        </w:rPr>
        <w:t>the 3Cs</w:t>
      </w:r>
      <w:r w:rsidR="00CA59D3" w:rsidRPr="006448DF">
        <w:rPr>
          <w:b/>
        </w:rPr>
        <w:t>’</w:t>
      </w:r>
      <w:r w:rsidRPr="006448DF">
        <w:rPr>
          <w:b/>
        </w:rPr>
        <w:t xml:space="preserve">. </w:t>
      </w:r>
      <w:r w:rsidR="002C60C6">
        <w:rPr>
          <w:bCs/>
        </w:rPr>
        <w:t>Making PHNs primarily accountable to the Commonwealth will help manage mis-aligned stakeholder</w:t>
      </w:r>
      <w:r w:rsidR="00D2036E">
        <w:rPr>
          <w:bCs/>
        </w:rPr>
        <w:t xml:space="preserve"> expectations and build their trust and confidence. </w:t>
      </w:r>
      <w:r w:rsidR="00B37E70">
        <w:rPr>
          <w:bCs/>
        </w:rPr>
        <w:t xml:space="preserve">It will </w:t>
      </w:r>
      <w:r w:rsidR="00F65F73">
        <w:rPr>
          <w:bCs/>
        </w:rPr>
        <w:t xml:space="preserve">also </w:t>
      </w:r>
      <w:r w:rsidR="00B37E70">
        <w:rPr>
          <w:bCs/>
        </w:rPr>
        <w:t xml:space="preserve">provide clarity for PHN </w:t>
      </w:r>
      <w:r w:rsidR="008867E7">
        <w:rPr>
          <w:bCs/>
        </w:rPr>
        <w:t>b</w:t>
      </w:r>
      <w:r w:rsidR="00B37E70">
        <w:rPr>
          <w:bCs/>
        </w:rPr>
        <w:t>oards</w:t>
      </w:r>
      <w:r w:rsidR="00D2036E">
        <w:rPr>
          <w:bCs/>
        </w:rPr>
        <w:t>. Additionally, t</w:t>
      </w:r>
      <w:r w:rsidRPr="006448DF">
        <w:t xml:space="preserve">he reduction in reporting and administrative effort (e.g. activity work plans and fragmented funding requirements) would free up a portion of the 17,750–20,000 </w:t>
      </w:r>
      <w:r w:rsidR="005937AB" w:rsidRPr="006448DF">
        <w:t xml:space="preserve">administrative </w:t>
      </w:r>
      <w:r w:rsidRPr="006448DF">
        <w:t xml:space="preserve">staff hours per </w:t>
      </w:r>
      <w:r w:rsidR="00A564CB" w:rsidRPr="006448DF">
        <w:t xml:space="preserve">year per PHN </w:t>
      </w:r>
      <w:r w:rsidRPr="006448DF">
        <w:t xml:space="preserve">for more strategic, value-adding work. A streamlined PHN funding model could </w:t>
      </w:r>
      <w:r w:rsidR="002A06F6">
        <w:t xml:space="preserve">significantly </w:t>
      </w:r>
      <w:r w:rsidRPr="006448DF">
        <w:t>reduce time to disbursement</w:t>
      </w:r>
      <w:r w:rsidR="002A06F6">
        <w:t>.</w:t>
      </w:r>
      <w:r w:rsidRPr="006448DF">
        <w:t xml:space="preserve"> PHNs would have an improved ability to commission services aligned with local Needs Assessments, using best practice approaches and stronger coordination of care – particularly between adjacent PHNs. </w:t>
      </w:r>
      <w:r w:rsidR="002C60C6" w:rsidRPr="002C60C6">
        <w:t xml:space="preserve"> </w:t>
      </w:r>
    </w:p>
    <w:p w14:paraId="3B3A64F5" w14:textId="2298981A" w:rsidR="00A57B47" w:rsidRPr="001A3AC3" w:rsidRDefault="00A57B47" w:rsidP="00A57B47">
      <w:pPr>
        <w:rPr>
          <w:b/>
        </w:rPr>
      </w:pPr>
      <w:r w:rsidRPr="006448DF">
        <w:rPr>
          <w:b/>
        </w:rPr>
        <w:t>The review also recommends that, three years after commencing the immediate reforms, the Department considers the option of moving to a new PHN model</w:t>
      </w:r>
      <w:r w:rsidR="00FE3583">
        <w:rPr>
          <w:b/>
        </w:rPr>
        <w:t xml:space="preserve"> </w:t>
      </w:r>
      <w:r w:rsidR="00FE3583" w:rsidRPr="00FE3583">
        <w:rPr>
          <w:b/>
          <w:bCs/>
        </w:rPr>
        <w:t xml:space="preserve">if the reforms have not delivered sustained improvements in PHN capability and capacity. </w:t>
      </w:r>
      <w:r w:rsidRPr="006448DF">
        <w:t xml:space="preserve">Under this model, a not-for-profit Commonwealth entity would be established as the holding entity and enabling service provider for </w:t>
      </w:r>
      <w:r w:rsidRPr="00E90DC6">
        <w:rPr>
          <w:bCs/>
        </w:rPr>
        <w:t>3</w:t>
      </w:r>
      <w:r>
        <w:rPr>
          <w:bCs/>
        </w:rPr>
        <w:t>1</w:t>
      </w:r>
      <w:r w:rsidRPr="00E90DC6">
        <w:t xml:space="preserve"> local PHN Divisions, with</w:t>
      </w:r>
      <w:r w:rsidRPr="006448DF">
        <w:t xml:space="preserve"> each PHN </w:t>
      </w:r>
      <w:r w:rsidRPr="00665286">
        <w:t xml:space="preserve">retaining current boundaries, local staff, local offices and a </w:t>
      </w:r>
      <w:r w:rsidRPr="00E90DC6">
        <w:t xml:space="preserve">local </w:t>
      </w:r>
      <w:r w:rsidRPr="00E90DC6" w:rsidDel="00665286">
        <w:t>CEO</w:t>
      </w:r>
      <w:r w:rsidRPr="006448DF">
        <w:t>, and holding similar delegations and authorities to maintain local autonomy and flexibility.</w:t>
      </w:r>
      <w:r w:rsidRPr="00665286">
        <w:t xml:space="preserve"> PHN Boards and advisory groups would become </w:t>
      </w:r>
      <w:r w:rsidRPr="00E90DC6">
        <w:t>Local Advisory Boards</w:t>
      </w:r>
      <w:r w:rsidRPr="00665286">
        <w:t xml:space="preserve">. </w:t>
      </w:r>
      <w:r w:rsidRPr="00E90DC6">
        <w:t xml:space="preserve">PHNs would be funded via direct appropriations </w:t>
      </w:r>
      <w:r w:rsidRPr="00665286">
        <w:t xml:space="preserve">from Government with </w:t>
      </w:r>
      <w:r w:rsidR="00BD67B2">
        <w:t>five</w:t>
      </w:r>
      <w:r w:rsidRPr="00665286">
        <w:t xml:space="preserve">-year core and </w:t>
      </w:r>
      <w:r w:rsidR="00BD67B2">
        <w:t>four</w:t>
      </w:r>
      <w:r w:rsidRPr="00665286">
        <w:t xml:space="preserve">-year program funding. </w:t>
      </w:r>
      <w:r w:rsidR="006102B6">
        <w:t>A</w:t>
      </w:r>
      <w:r>
        <w:t xml:space="preserve"> s</w:t>
      </w:r>
      <w:r w:rsidRPr="00E90DC6">
        <w:t xml:space="preserve">hared services function would </w:t>
      </w:r>
      <w:r w:rsidRPr="00665286">
        <w:t xml:space="preserve">provide finance, HR, ICT, data and procurement, freeing up funds for investment in primary care. The </w:t>
      </w:r>
      <w:r w:rsidRPr="00E90DC6">
        <w:t xml:space="preserve">PHN Branch </w:t>
      </w:r>
      <w:r>
        <w:t>of the Department</w:t>
      </w:r>
      <w:r w:rsidRPr="00E90DC6">
        <w:t xml:space="preserve"> would</w:t>
      </w:r>
      <w:r w:rsidRPr="00665286">
        <w:t xml:space="preserve"> remain responsible for broader policy and program design</w:t>
      </w:r>
      <w:r>
        <w:t>.</w:t>
      </w:r>
      <w:r w:rsidR="006113AB" w:rsidRPr="006113AB">
        <w:rPr>
          <w:b/>
          <w:bCs/>
        </w:rPr>
        <w:t xml:space="preserve"> </w:t>
      </w:r>
    </w:p>
    <w:p w14:paraId="12EFB452" w14:textId="094D85C2" w:rsidR="004F44DB" w:rsidRPr="006448DF" w:rsidRDefault="00A57B47" w:rsidP="00A57B47">
      <w:r w:rsidRPr="006448DF">
        <w:rPr>
          <w:b/>
        </w:rPr>
        <w:t>This not-for-profit Commonwealth entity model would help to address remaining structural tensions in governance and engagement, performance management and funding processes</w:t>
      </w:r>
      <w:r w:rsidRPr="006448DF" w:rsidDel="00CD3D52">
        <w:rPr>
          <w:b/>
        </w:rPr>
        <w:t xml:space="preserve">, </w:t>
      </w:r>
      <w:r w:rsidRPr="006448DF">
        <w:rPr>
          <w:b/>
        </w:rPr>
        <w:t xml:space="preserve">and unlock further efficiencies for reinvestment in primary care. </w:t>
      </w:r>
      <w:r w:rsidRPr="006448DF">
        <w:rPr>
          <w:rFonts w:eastAsia="+mn-ea"/>
        </w:rPr>
        <w:t xml:space="preserve">The entity structure would improve PHN delivery even further </w:t>
      </w:r>
      <w:r w:rsidR="00282E9F" w:rsidRPr="006448DF">
        <w:rPr>
          <w:rFonts w:eastAsia="+mn-ea"/>
        </w:rPr>
        <w:t>–</w:t>
      </w:r>
      <w:r w:rsidRPr="006448DF">
        <w:rPr>
          <w:rFonts w:eastAsia="+mn-ea"/>
        </w:rPr>
        <w:t xml:space="preserve"> raising confidence in PHNs by clarifying roles and expectations, removing the need for grants and </w:t>
      </w:r>
      <w:r w:rsidRPr="006448DF">
        <w:t>reducing administrative costs.</w:t>
      </w:r>
      <w:r w:rsidRPr="006448DF" w:rsidDel="00E51C69">
        <w:rPr>
          <w:rFonts w:eastAsia="+mn-ea"/>
        </w:rPr>
        <w:t xml:space="preserve"> </w:t>
      </w:r>
      <w:r w:rsidRPr="006448DF">
        <w:rPr>
          <w:rFonts w:eastAsia="+mn-ea"/>
        </w:rPr>
        <w:t>These further system benefits and efficiencies could be directed towards more primary care programs, enabling stronger Commonwealth support of local health care delivery and offering potential for a collaborative governance model that engages a wide range of stakeholders</w:t>
      </w:r>
      <w:r w:rsidRPr="006448DF">
        <w:t xml:space="preserve">. Longer term, bringing PHNs into a not-for-profit Commonwealth </w:t>
      </w:r>
      <w:r w:rsidRPr="006448DF" w:rsidDel="00CD3D52">
        <w:t xml:space="preserve">entity </w:t>
      </w:r>
      <w:r w:rsidRPr="006448DF">
        <w:t>would also support more consistent integration between the Commonwealth, states and territories at the local level.</w:t>
      </w:r>
    </w:p>
    <w:p w14:paraId="668DDEAF" w14:textId="38C9F268" w:rsidR="00A57B47" w:rsidRPr="006448DF" w:rsidRDefault="00A57B47" w:rsidP="00240637">
      <w:pPr>
        <w:rPr>
          <w:b/>
          <w:color w:val="358189" w:themeColor="accent2"/>
          <w:sz w:val="26"/>
          <w:szCs w:val="26"/>
        </w:rPr>
      </w:pPr>
      <w:bookmarkStart w:id="8" w:name="_Hlk199952449"/>
      <w:r w:rsidRPr="006448DF">
        <w:rPr>
          <w:rFonts w:eastAsia="+mn-ea"/>
          <w:b/>
        </w:rPr>
        <w:lastRenderedPageBreak/>
        <w:t xml:space="preserve">While this reform offers significant benefits, </w:t>
      </w:r>
      <w:bookmarkStart w:id="9" w:name="OLE_LINK2"/>
      <w:r w:rsidRPr="006448DF">
        <w:rPr>
          <w:rFonts w:eastAsia="+mn-ea"/>
          <w:b/>
        </w:rPr>
        <w:t>it would be complex, time</w:t>
      </w:r>
      <w:r w:rsidR="00C6013D" w:rsidRPr="006448DF">
        <w:rPr>
          <w:rFonts w:eastAsia="+mn-ea"/>
          <w:b/>
        </w:rPr>
        <w:t>-</w:t>
      </w:r>
      <w:r w:rsidRPr="006448DF">
        <w:rPr>
          <w:rFonts w:eastAsia="+mn-ea"/>
          <w:b/>
        </w:rPr>
        <w:t>consuming and disruptive</w:t>
      </w:r>
      <w:bookmarkEnd w:id="9"/>
      <w:r w:rsidRPr="006448DF">
        <w:rPr>
          <w:rFonts w:eastAsia="+mn-ea"/>
          <w:b/>
        </w:rPr>
        <w:t xml:space="preserve">, and </w:t>
      </w:r>
      <w:r w:rsidR="007F35FB">
        <w:rPr>
          <w:rFonts w:eastAsia="+mn-ea"/>
          <w:b/>
        </w:rPr>
        <w:t xml:space="preserve">likely </w:t>
      </w:r>
      <w:r w:rsidRPr="006448DF">
        <w:rPr>
          <w:rFonts w:eastAsia="+mn-ea"/>
          <w:b/>
        </w:rPr>
        <w:t xml:space="preserve">require legislative change and major shifts in contracts, systems and governance; as a result, the review recommends that the two streams of immediate reforms are </w:t>
      </w:r>
      <w:r w:rsidR="007E32D3">
        <w:rPr>
          <w:rFonts w:eastAsia="+mn-ea"/>
          <w:b/>
        </w:rPr>
        <w:t xml:space="preserve">first </w:t>
      </w:r>
      <w:r w:rsidRPr="006448DF">
        <w:rPr>
          <w:rFonts w:eastAsia="+mn-ea"/>
          <w:b/>
        </w:rPr>
        <w:t xml:space="preserve">pursued </w:t>
      </w:r>
      <w:r w:rsidR="004A10CB">
        <w:rPr>
          <w:rFonts w:eastAsia="+mn-ea"/>
          <w:b/>
        </w:rPr>
        <w:t>for three years before this option is considered</w:t>
      </w:r>
      <w:r w:rsidRPr="006448DF">
        <w:rPr>
          <w:rFonts w:eastAsia="+mn-ea"/>
          <w:b/>
        </w:rPr>
        <w:t>.</w:t>
      </w:r>
      <w:r w:rsidR="00CE0C59" w:rsidRPr="00CE0C59">
        <w:t xml:space="preserve"> </w:t>
      </w:r>
      <w:r w:rsidR="00CE0C59" w:rsidRPr="00597F3C">
        <w:t>Th</w:t>
      </w:r>
      <w:r w:rsidR="00CE0C59">
        <w:t>e</w:t>
      </w:r>
      <w:r w:rsidR="00CE0C59" w:rsidRPr="00597F3C">
        <w:t xml:space="preserve"> decision </w:t>
      </w:r>
      <w:r w:rsidR="00CE0C59">
        <w:t xml:space="preserve">to move to a new model </w:t>
      </w:r>
      <w:r w:rsidR="00CE0C59" w:rsidRPr="00597F3C">
        <w:t>would ultimately rest with government</w:t>
      </w:r>
      <w:r w:rsidR="00CE0C59">
        <w:t>.</w:t>
      </w:r>
      <w:bookmarkEnd w:id="8"/>
      <w:r w:rsidRPr="006448DF">
        <w:br w:type="page"/>
      </w:r>
    </w:p>
    <w:p w14:paraId="6BA4D369" w14:textId="0DC5C3EC" w:rsidR="00A57B47" w:rsidRPr="006448DF" w:rsidRDefault="00A57B47" w:rsidP="001E39A0">
      <w:pPr>
        <w:pStyle w:val="Heading2"/>
        <w:spacing w:line="276" w:lineRule="auto"/>
        <w:rPr>
          <w:lang w:val="en-AU"/>
        </w:rPr>
      </w:pPr>
      <w:bookmarkStart w:id="10" w:name="_Toc199762551"/>
      <w:bookmarkStart w:id="11" w:name="_Toc199782141"/>
      <w:r w:rsidRPr="006448DF">
        <w:rPr>
          <w:lang w:val="en-AU"/>
        </w:rPr>
        <w:lastRenderedPageBreak/>
        <w:t>Mental Health Flexible Funding Stream</w:t>
      </w:r>
      <w:bookmarkEnd w:id="10"/>
      <w:bookmarkEnd w:id="11"/>
      <w:r w:rsidRPr="006448DF">
        <w:rPr>
          <w:lang w:val="en-AU"/>
        </w:rPr>
        <w:t xml:space="preserve"> </w:t>
      </w:r>
    </w:p>
    <w:p w14:paraId="2D4F5C4E" w14:textId="25CEA529" w:rsidR="00A57B47" w:rsidRPr="006448DF" w:rsidRDefault="00A57B47" w:rsidP="00A57B47">
      <w:pPr>
        <w:rPr>
          <w:b/>
        </w:rPr>
      </w:pPr>
      <w:r w:rsidRPr="006448DF">
        <w:rPr>
          <w:b/>
        </w:rPr>
        <w:t xml:space="preserve">The Mental Health Flexible Funding Stream (MH FFS) </w:t>
      </w:r>
      <w:r w:rsidRPr="003C1D15">
        <w:rPr>
          <w:b/>
          <w:bCs/>
        </w:rPr>
        <w:t>support</w:t>
      </w:r>
      <w:r>
        <w:rPr>
          <w:b/>
          <w:bCs/>
        </w:rPr>
        <w:t>s</w:t>
      </w:r>
      <w:r w:rsidRPr="003C1D15">
        <w:rPr>
          <w:b/>
          <w:bCs/>
        </w:rPr>
        <w:t xml:space="preserve"> PHNs to commission place-based mental health care where existing services do not meet community needs. </w:t>
      </w:r>
      <w:r>
        <w:t>The MH FFS</w:t>
      </w:r>
      <w:r w:rsidRPr="00E90DC6">
        <w:t xml:space="preserve"> </w:t>
      </w:r>
      <w:r>
        <w:t>was introduced in 2016 to</w:t>
      </w:r>
      <w:r w:rsidRPr="00E90DC6">
        <w:t xml:space="preserve"> respond to widespread service gaps by aiming to improve access and address local priorities. </w:t>
      </w:r>
      <w:r>
        <w:t xml:space="preserve">The </w:t>
      </w:r>
      <w:r w:rsidR="00FC6C98">
        <w:t xml:space="preserve">funding </w:t>
      </w:r>
      <w:r>
        <w:t>stream</w:t>
      </w:r>
      <w:r w:rsidRPr="00E90DC6">
        <w:t xml:space="preserve"> provides</w:t>
      </w:r>
      <w:r w:rsidRPr="00E90DC6" w:rsidDel="008E0D1D">
        <w:t xml:space="preserve"> </w:t>
      </w:r>
      <w:r w:rsidRPr="00E90DC6">
        <w:t xml:space="preserve">short-term grant funding to support services that fall between </w:t>
      </w:r>
      <w:r w:rsidR="001106E3">
        <w:t>low intensity</w:t>
      </w:r>
      <w:r w:rsidRPr="00E90DC6">
        <w:t xml:space="preserve"> and </w:t>
      </w:r>
      <w:r w:rsidR="001106E3">
        <w:t>high intensity services</w:t>
      </w:r>
      <w:r w:rsidRPr="00E90DC6">
        <w:t>, with a focus on moderate-intensity support. It includes both specified and unspecified funding: specified funding supports national</w:t>
      </w:r>
      <w:r w:rsidR="00DC40BA">
        <w:t>ly consistent</w:t>
      </w:r>
      <w:r w:rsidRPr="00E90DC6">
        <w:t xml:space="preserve"> programs and is more prescriptive, while unspecified funding gives PHNs greater flexibility to respond to local needs.</w:t>
      </w:r>
    </w:p>
    <w:p w14:paraId="5894EB3C" w14:textId="1BF48A9E" w:rsidR="00A57B47" w:rsidRPr="006448DF" w:rsidRDefault="00A57B47" w:rsidP="00A57B47">
      <w:pPr>
        <w:rPr>
          <w:b/>
        </w:rPr>
      </w:pPr>
      <w:r w:rsidRPr="006448DF">
        <w:rPr>
          <w:b/>
        </w:rPr>
        <w:t>The MH FFS has many of the same tensions identified within the PHN Business Model, and the recommendations regarding the PHN Business Model will also support the MH FFS</w:t>
      </w:r>
      <w:r w:rsidRPr="006448DF" w:rsidDel="00054261">
        <w:rPr>
          <w:b/>
        </w:rPr>
        <w:t xml:space="preserve">. </w:t>
      </w:r>
      <w:r w:rsidRPr="006448DF">
        <w:t xml:space="preserve">During consultation, stakeholders shared similar concerns about governance, prescriptive schedules, short term funding and poor </w:t>
      </w:r>
      <w:r w:rsidR="00D42882">
        <w:t xml:space="preserve">output and </w:t>
      </w:r>
      <w:r w:rsidRPr="006448DF">
        <w:t xml:space="preserve">outcomes measurement. PHNs </w:t>
      </w:r>
      <w:r>
        <w:t xml:space="preserve">sought </w:t>
      </w:r>
      <w:r w:rsidRPr="00201A57">
        <w:rPr>
          <w:rFonts w:eastAsiaTheme="majorEastAsia"/>
        </w:rPr>
        <w:t xml:space="preserve">further clarity on </w:t>
      </w:r>
      <w:r>
        <w:t>the alignment between</w:t>
      </w:r>
      <w:r w:rsidRPr="00201A57">
        <w:rPr>
          <w:rFonts w:eastAsiaTheme="majorEastAsia"/>
        </w:rPr>
        <w:t xml:space="preserve"> MH FFS purpose</w:t>
      </w:r>
      <w:r>
        <w:t xml:space="preserve"> and</w:t>
      </w:r>
      <w:r w:rsidRPr="00201A57">
        <w:rPr>
          <w:rFonts w:eastAsiaTheme="majorEastAsia"/>
        </w:rPr>
        <w:t xml:space="preserve"> funding, and PHN responsibilities</w:t>
      </w:r>
      <w:r>
        <w:t>.</w:t>
      </w:r>
      <w:r w:rsidRPr="00201A57">
        <w:rPr>
          <w:rFonts w:eastAsiaTheme="majorEastAsia"/>
          <w:b/>
          <w:bCs/>
        </w:rPr>
        <w:t xml:space="preserve"> </w:t>
      </w:r>
      <w:r w:rsidRPr="006448DF">
        <w:rPr>
          <w:rFonts w:eastAsiaTheme="majorEastAsia"/>
        </w:rPr>
        <w:t>Most (</w:t>
      </w:r>
      <w:r w:rsidRPr="00201A57">
        <w:rPr>
          <w:rFonts w:eastAsiaTheme="majorEastAsia"/>
        </w:rPr>
        <w:t>19 of 29) PHNs report</w:t>
      </w:r>
      <w:r>
        <w:t>ed</w:t>
      </w:r>
      <w:r w:rsidRPr="00201A57">
        <w:rPr>
          <w:rFonts w:eastAsiaTheme="majorEastAsia"/>
        </w:rPr>
        <w:t xml:space="preserve"> that funding is </w:t>
      </w:r>
      <w:r>
        <w:rPr>
          <w:rFonts w:eastAsiaTheme="majorEastAsia"/>
        </w:rPr>
        <w:t>prescriptive</w:t>
      </w:r>
      <w:r w:rsidRPr="00201A57">
        <w:rPr>
          <w:rFonts w:eastAsiaTheme="majorEastAsia"/>
        </w:rPr>
        <w:t xml:space="preserve"> and inhibits their ability to fund initiatives to address local needs</w:t>
      </w:r>
      <w:r>
        <w:t xml:space="preserve">. </w:t>
      </w:r>
      <w:r w:rsidRPr="00201A57">
        <w:rPr>
          <w:rFonts w:eastAsiaTheme="majorEastAsia"/>
        </w:rPr>
        <w:t xml:space="preserve">Non-PHN stakeholders reported </w:t>
      </w:r>
      <w:r>
        <w:rPr>
          <w:rFonts w:eastAsiaTheme="majorEastAsia"/>
        </w:rPr>
        <w:t xml:space="preserve">similar </w:t>
      </w:r>
      <w:r w:rsidRPr="00201A57">
        <w:rPr>
          <w:rFonts w:eastAsiaTheme="majorEastAsia"/>
        </w:rPr>
        <w:t xml:space="preserve">concerns about </w:t>
      </w:r>
      <w:r>
        <w:rPr>
          <w:rFonts w:eastAsiaTheme="majorEastAsia"/>
        </w:rPr>
        <w:t xml:space="preserve">prescriptive </w:t>
      </w:r>
      <w:r w:rsidRPr="00201A57">
        <w:rPr>
          <w:rFonts w:eastAsiaTheme="majorEastAsia"/>
        </w:rPr>
        <w:t>MH FFS funding and advocated for greater flexibility to coordinat</w:t>
      </w:r>
      <w:r>
        <w:t>e</w:t>
      </w:r>
      <w:r w:rsidRPr="00201A57">
        <w:rPr>
          <w:rFonts w:eastAsiaTheme="majorEastAsia"/>
        </w:rPr>
        <w:t xml:space="preserve"> existing services </w:t>
      </w:r>
      <w:r>
        <w:t>and</w:t>
      </w:r>
      <w:r w:rsidRPr="00201A57">
        <w:t xml:space="preserve"> </w:t>
      </w:r>
      <w:r w:rsidRPr="00201A57">
        <w:rPr>
          <w:rFonts w:eastAsiaTheme="majorEastAsia"/>
        </w:rPr>
        <w:t>commission innovative services</w:t>
      </w:r>
      <w:r>
        <w:t xml:space="preserve">. </w:t>
      </w:r>
    </w:p>
    <w:p w14:paraId="641140E6" w14:textId="0AA843D4" w:rsidR="00A57B47" w:rsidRPr="006448DF" w:rsidRDefault="00A57B47" w:rsidP="00A57B47">
      <w:r w:rsidRPr="006448DF">
        <w:rPr>
          <w:b/>
        </w:rPr>
        <w:t xml:space="preserve">More specifically for the MH FFS, changes in the mental health funding landscape </w:t>
      </w:r>
      <w:r w:rsidR="00DC0205">
        <w:rPr>
          <w:b/>
        </w:rPr>
        <w:t>since 2016 mean that</w:t>
      </w:r>
      <w:r w:rsidRPr="006448DF">
        <w:rPr>
          <w:b/>
        </w:rPr>
        <w:t xml:space="preserve"> unmet needs </w:t>
      </w:r>
      <w:r w:rsidR="00DC0205">
        <w:rPr>
          <w:b/>
        </w:rPr>
        <w:t>are now</w:t>
      </w:r>
      <w:r w:rsidR="00DC0205" w:rsidRPr="006448DF">
        <w:rPr>
          <w:b/>
        </w:rPr>
        <w:t xml:space="preserve"> </w:t>
      </w:r>
      <w:r w:rsidRPr="006448DF">
        <w:rPr>
          <w:b/>
        </w:rPr>
        <w:t xml:space="preserve">more variable at a regional level. </w:t>
      </w:r>
      <w:r w:rsidRPr="006448DF" w:rsidDel="00DC3268">
        <w:t>When the MH FFS was introduced in 2016, all PHNs faced widespread unmet mental health needs</w:t>
      </w:r>
      <w:r w:rsidR="00FA1F76">
        <w:t>. T</w:t>
      </w:r>
      <w:r w:rsidRPr="006448DF" w:rsidDel="00DC3268">
        <w:t xml:space="preserve">he scheme was designed to ensure that a range of these needs were at least partially addressed. </w:t>
      </w:r>
      <w:r w:rsidRPr="006448DF">
        <w:t>The</w:t>
      </w:r>
      <w:r w:rsidRPr="006448DF" w:rsidDel="00DC3268">
        <w:t xml:space="preserve"> additional funding delivered through specified and unspecified streams provided a welcome and reliable way to address priority gaps. Since then, the broader funding and service context has shifted, with increased investment, new national and state programs such as Headspace and Medicare </w:t>
      </w:r>
      <w:r w:rsidR="000C2DA9" w:rsidRPr="006448DF">
        <w:t>M</w:t>
      </w:r>
      <w:r w:rsidRPr="006448DF" w:rsidDel="00DC3268">
        <w:t xml:space="preserve">ental </w:t>
      </w:r>
      <w:r w:rsidR="000C2DA9" w:rsidRPr="006448DF">
        <w:t>H</w:t>
      </w:r>
      <w:r w:rsidRPr="006448DF" w:rsidDel="00DC3268">
        <w:t xml:space="preserve">ealth </w:t>
      </w:r>
      <w:r w:rsidR="000C2DA9" w:rsidRPr="006448DF">
        <w:t>C</w:t>
      </w:r>
      <w:r w:rsidRPr="006448DF" w:rsidDel="00DC3268">
        <w:t>entres, and</w:t>
      </w:r>
      <w:r w:rsidR="00966D3F" w:rsidRPr="006448DF">
        <w:t xml:space="preserve"> </w:t>
      </w:r>
      <w:r w:rsidR="003A7020" w:rsidRPr="006448DF">
        <w:t xml:space="preserve">Commonwealth and state agreements including the </w:t>
      </w:r>
      <w:r w:rsidR="00FB2F5E" w:rsidRPr="00FB2F5E">
        <w:t>Fifth National Mental Health and Suicide Prevention Plan</w:t>
      </w:r>
      <w:r w:rsidR="00BD42DE">
        <w:t xml:space="preserve"> </w:t>
      </w:r>
      <w:r w:rsidR="00F76206">
        <w:t xml:space="preserve">(2017-2022) </w:t>
      </w:r>
      <w:r w:rsidR="00BD42DE">
        <w:t>and the</w:t>
      </w:r>
      <w:r w:rsidR="00033254">
        <w:t xml:space="preserve"> </w:t>
      </w:r>
      <w:r w:rsidR="000C2DA9" w:rsidRPr="006448DF">
        <w:t>National Mental Health and Suicide Prevention Agreement</w:t>
      </w:r>
      <w:r w:rsidR="00AE4894" w:rsidRPr="006448DF">
        <w:t xml:space="preserve"> (2022-2026)</w:t>
      </w:r>
      <w:r w:rsidR="00362D76">
        <w:t>.</w:t>
      </w:r>
      <w:r w:rsidRPr="006448DF">
        <w:t xml:space="preserve"> </w:t>
      </w:r>
      <w:r w:rsidR="00362D76">
        <w:t xml:space="preserve">These changes have </w:t>
      </w:r>
      <w:r w:rsidRPr="006448DF">
        <w:t>contribut</w:t>
      </w:r>
      <w:r w:rsidR="00362D76">
        <w:t>ed</w:t>
      </w:r>
      <w:r w:rsidRPr="006448DF">
        <w:t xml:space="preserve"> to more needs being met</w:t>
      </w:r>
      <w:r w:rsidR="00362D76">
        <w:t>, leading</w:t>
      </w:r>
      <w:r w:rsidRPr="006448DF">
        <w:t xml:space="preserve"> to </w:t>
      </w:r>
      <w:r w:rsidR="00362D76">
        <w:t>increased</w:t>
      </w:r>
      <w:r w:rsidRPr="006448DF">
        <w:t xml:space="preserve"> diversity of local unmet needs </w:t>
      </w:r>
      <w:r w:rsidR="00362D76">
        <w:t>due to</w:t>
      </w:r>
      <w:r w:rsidRPr="006448DF">
        <w:t xml:space="preserve"> regional differences in demographics, workforce availability, culturally specific service gaps and the fragmentation of existing services. </w:t>
      </w:r>
    </w:p>
    <w:p w14:paraId="04F3AB2C" w14:textId="5C26C474" w:rsidR="00A57B47" w:rsidRPr="00ED11FC" w:rsidRDefault="00A57B47" w:rsidP="00A57B47">
      <w:r w:rsidRPr="00E90DC6">
        <w:rPr>
          <w:b/>
          <w:bCs/>
        </w:rPr>
        <w:t>The</w:t>
      </w:r>
      <w:r w:rsidRPr="00E90DC6">
        <w:rPr>
          <w:b/>
        </w:rPr>
        <w:t xml:space="preserve"> Needs Assessment process is viewed as a</w:t>
      </w:r>
      <w:r w:rsidR="00685938">
        <w:rPr>
          <w:b/>
        </w:rPr>
        <w:t xml:space="preserve">n effective </w:t>
      </w:r>
      <w:r w:rsidRPr="00E90DC6">
        <w:rPr>
          <w:b/>
        </w:rPr>
        <w:t xml:space="preserve">tool to identify local needs, </w:t>
      </w:r>
      <w:r w:rsidR="00685938">
        <w:rPr>
          <w:b/>
        </w:rPr>
        <w:t>however</w:t>
      </w:r>
      <w:r w:rsidR="00685938" w:rsidRPr="00E90DC6">
        <w:rPr>
          <w:b/>
        </w:rPr>
        <w:t xml:space="preserve"> </w:t>
      </w:r>
      <w:r w:rsidRPr="00E90DC6">
        <w:rPr>
          <w:b/>
        </w:rPr>
        <w:t xml:space="preserve">many PHNs report that </w:t>
      </w:r>
      <w:r w:rsidR="00685938">
        <w:rPr>
          <w:b/>
        </w:rPr>
        <w:t>the</w:t>
      </w:r>
      <w:r w:rsidR="00685938" w:rsidRPr="00E90DC6">
        <w:rPr>
          <w:b/>
        </w:rPr>
        <w:t xml:space="preserve"> </w:t>
      </w:r>
      <w:r w:rsidRPr="00E90DC6">
        <w:rPr>
          <w:b/>
        </w:rPr>
        <w:t xml:space="preserve">MH FFS funding and guidance processes </w:t>
      </w:r>
      <w:r>
        <w:rPr>
          <w:b/>
        </w:rPr>
        <w:t xml:space="preserve">and tools </w:t>
      </w:r>
      <w:r w:rsidRPr="00E90DC6">
        <w:rPr>
          <w:b/>
        </w:rPr>
        <w:t xml:space="preserve">do not allow them to respond flexibly to the </w:t>
      </w:r>
      <w:r w:rsidR="002368EB" w:rsidRPr="00E90DC6">
        <w:rPr>
          <w:b/>
        </w:rPr>
        <w:t xml:space="preserve">identified </w:t>
      </w:r>
      <w:r w:rsidRPr="00E90DC6">
        <w:rPr>
          <w:b/>
        </w:rPr>
        <w:t>needs</w:t>
      </w:r>
      <w:r>
        <w:rPr>
          <w:b/>
          <w:bCs/>
        </w:rPr>
        <w:t>.</w:t>
      </w:r>
      <w:r w:rsidR="00877B72">
        <w:rPr>
          <w:b/>
          <w:bCs/>
        </w:rPr>
        <w:t xml:space="preserve"> </w:t>
      </w:r>
      <w:r w:rsidR="00153796">
        <w:t xml:space="preserve">Stakeholders </w:t>
      </w:r>
      <w:r w:rsidR="00FE10BD">
        <w:t>generally</w:t>
      </w:r>
      <w:r w:rsidR="00153796">
        <w:t xml:space="preserve"> view the </w:t>
      </w:r>
      <w:r w:rsidR="005D357E">
        <w:t>N</w:t>
      </w:r>
      <w:r w:rsidR="00153796">
        <w:t xml:space="preserve">eeds </w:t>
      </w:r>
      <w:r w:rsidR="005D357E">
        <w:t>A</w:t>
      </w:r>
      <w:r w:rsidR="00153796">
        <w:t xml:space="preserve">ssessments </w:t>
      </w:r>
      <w:r w:rsidR="00FE10BD">
        <w:t xml:space="preserve">process </w:t>
      </w:r>
      <w:r w:rsidR="00153796">
        <w:t>as an effective way of identifying local needs.</w:t>
      </w:r>
      <w:r w:rsidR="00F21F40">
        <w:t xml:space="preserve"> </w:t>
      </w:r>
      <w:bookmarkStart w:id="12" w:name="OLE_LINK3"/>
      <w:r w:rsidR="00153796">
        <w:t>However</w:t>
      </w:r>
      <w:r w:rsidR="00FD3853">
        <w:t>,</w:t>
      </w:r>
      <w:r w:rsidR="00153796">
        <w:t xml:space="preserve"> t</w:t>
      </w:r>
      <w:r w:rsidR="00877B72" w:rsidRPr="00BE125D">
        <w:t xml:space="preserve">he combination of </w:t>
      </w:r>
      <w:r w:rsidR="000872E4">
        <w:t xml:space="preserve">MH FFS </w:t>
      </w:r>
      <w:r w:rsidR="00877B72" w:rsidRPr="00BE125D">
        <w:t>funding streams, priorities, guidance documents, historical direction</w:t>
      </w:r>
      <w:r w:rsidR="00877B72">
        <w:t>s</w:t>
      </w:r>
      <w:r w:rsidR="00877B72" w:rsidRPr="00BE125D">
        <w:t xml:space="preserve"> from </w:t>
      </w:r>
      <w:r w:rsidR="00B50709">
        <w:t>t</w:t>
      </w:r>
      <w:r w:rsidR="00877B72" w:rsidRPr="00BE125D">
        <w:t>he Department and prescriptive schedules means that</w:t>
      </w:r>
      <w:r w:rsidR="002A50D9">
        <w:t>,</w:t>
      </w:r>
      <w:r w:rsidR="00877B72" w:rsidRPr="00BE125D">
        <w:t xml:space="preserve"> </w:t>
      </w:r>
      <w:r w:rsidR="002A50D9">
        <w:t xml:space="preserve">in the </w:t>
      </w:r>
      <w:r w:rsidR="00877B72" w:rsidRPr="00C6447E">
        <w:t>PHNs</w:t>
      </w:r>
      <w:r w:rsidR="002A50D9">
        <w:t>’</w:t>
      </w:r>
      <w:r w:rsidR="00877B72" w:rsidRPr="00C6447E">
        <w:t xml:space="preserve"> </w:t>
      </w:r>
      <w:r w:rsidR="002A50D9">
        <w:t xml:space="preserve">experience, </w:t>
      </w:r>
      <w:r w:rsidR="00877B72" w:rsidRPr="00C6447E">
        <w:t>the MH FFS is not able to be applied flexibly</w:t>
      </w:r>
      <w:r w:rsidR="00153796" w:rsidRPr="00C6447E">
        <w:t xml:space="preserve"> to meet the needs identified in their </w:t>
      </w:r>
      <w:r w:rsidR="002A50D9">
        <w:t>Needs A</w:t>
      </w:r>
      <w:r w:rsidR="00153796" w:rsidRPr="00C6447E">
        <w:t>ssessments</w:t>
      </w:r>
      <w:r w:rsidR="00877B72" w:rsidRPr="00C6447E">
        <w:t>.</w:t>
      </w:r>
      <w:r w:rsidRPr="00C6447E">
        <w:rPr>
          <w:b/>
        </w:rPr>
        <w:t xml:space="preserve"> </w:t>
      </w:r>
      <w:bookmarkEnd w:id="12"/>
      <w:r w:rsidRPr="006448DF">
        <w:t>PHNs</w:t>
      </w:r>
      <w:r w:rsidR="0039111C" w:rsidRPr="006448DF">
        <w:t xml:space="preserve"> also</w:t>
      </w:r>
      <w:r w:rsidRPr="006448DF">
        <w:t xml:space="preserve"> reported that the MH FFS is overly focused on commissioning new services, when the best solutions to address unmet needs may involve coordination of existing services and capacity building across the workforce</w:t>
      </w:r>
      <w:r w:rsidRPr="00C6447E">
        <w:t xml:space="preserve">. In addition, under the current activity work planning and data capture approach, policy owners </w:t>
      </w:r>
      <w:r w:rsidRPr="00C6447E">
        <w:lastRenderedPageBreak/>
        <w:t>are not able to demonstrate the outputs</w:t>
      </w:r>
      <w:r w:rsidRPr="7CDB1E7E">
        <w:t xml:space="preserve"> produced for the significant investment in MH FFS</w:t>
      </w:r>
      <w:r>
        <w:t>,</w:t>
      </w:r>
      <w:r w:rsidRPr="7CDB1E7E">
        <w:t xml:space="preserve"> despite significant data being collected via the Minimum Data Set.  </w:t>
      </w:r>
    </w:p>
    <w:p w14:paraId="4CDFE77E" w14:textId="6782E4C2" w:rsidR="00CC4E92" w:rsidRPr="006448DF" w:rsidRDefault="00A57B47" w:rsidP="00A57B47">
      <w:pPr>
        <w:spacing w:after="120"/>
      </w:pPr>
      <w:r w:rsidRPr="006448DF">
        <w:rPr>
          <w:b/>
        </w:rPr>
        <w:t xml:space="preserve">To address program-specific tensions in the MH FFS, the review proposes a set of reforms to streamline funding, align program logic with </w:t>
      </w:r>
      <w:r w:rsidR="00131471" w:rsidRPr="006448DF">
        <w:rPr>
          <w:b/>
        </w:rPr>
        <w:t>‘</w:t>
      </w:r>
      <w:r w:rsidRPr="006448DF">
        <w:rPr>
          <w:b/>
        </w:rPr>
        <w:t>the 3Cs</w:t>
      </w:r>
      <w:r w:rsidR="00131471" w:rsidRPr="006448DF">
        <w:rPr>
          <w:b/>
        </w:rPr>
        <w:t>’</w:t>
      </w:r>
      <w:r w:rsidR="00350D25" w:rsidRPr="006448DF">
        <w:rPr>
          <w:b/>
        </w:rPr>
        <w:t>,</w:t>
      </w:r>
      <w:r w:rsidRPr="006448DF">
        <w:rPr>
          <w:b/>
        </w:rPr>
        <w:t xml:space="preserve"> and enhance planning and reporting. </w:t>
      </w:r>
      <w:r w:rsidRPr="006448DF">
        <w:t xml:space="preserve">These reforms would be implemented at the same time as the two immediate reform streams relating to the PHN Business Model. </w:t>
      </w:r>
    </w:p>
    <w:tbl>
      <w:tblPr>
        <w:tblStyle w:val="TableGrid"/>
        <w:tblW w:w="5000" w:type="pct"/>
        <w:tblCellMar>
          <w:top w:w="113" w:type="dxa"/>
        </w:tblCellMar>
        <w:tblLook w:val="04A0" w:firstRow="1" w:lastRow="0" w:firstColumn="1" w:lastColumn="0" w:noHBand="0" w:noVBand="1"/>
      </w:tblPr>
      <w:tblGrid>
        <w:gridCol w:w="9060"/>
      </w:tblGrid>
      <w:tr w:rsidR="00F45525" w:rsidRPr="00076428" w14:paraId="6AEEEDCB" w14:textId="77777777" w:rsidTr="00945D7B">
        <w:trPr>
          <w:trHeight w:val="577"/>
        </w:trPr>
        <w:tc>
          <w:tcPr>
            <w:tcW w:w="5000" w:type="pct"/>
            <w:shd w:val="clear" w:color="auto" w:fill="005EB8"/>
          </w:tcPr>
          <w:p w14:paraId="530B1344" w14:textId="77777777" w:rsidR="00F45525" w:rsidRPr="006448DF" w:rsidRDefault="00F45525">
            <w:pPr>
              <w:spacing w:before="20" w:after="20"/>
              <w:rPr>
                <w:rFonts w:cs="Arial"/>
                <w:color w:val="auto"/>
                <w:sz w:val="21"/>
                <w:szCs w:val="21"/>
              </w:rPr>
            </w:pPr>
            <w:r w:rsidRPr="006448DF">
              <w:rPr>
                <w:rFonts w:cs="Arial"/>
                <w:b/>
                <w:color w:val="FFFFFF" w:themeColor="background1"/>
                <w:sz w:val="21"/>
                <w:szCs w:val="21"/>
              </w:rPr>
              <w:t>MH FFS Reform Stream – Streamline MH FFS funding</w:t>
            </w:r>
            <w:r w:rsidRPr="006448DF">
              <w:rPr>
                <w:rFonts w:cs="Arial"/>
                <w:color w:val="FFFFFF" w:themeColor="background1"/>
                <w:sz w:val="21"/>
                <w:szCs w:val="21"/>
              </w:rPr>
              <w:t xml:space="preserve"> </w:t>
            </w:r>
          </w:p>
        </w:tc>
      </w:tr>
      <w:tr w:rsidR="00F45525" w:rsidRPr="00076428" w14:paraId="17B8237B" w14:textId="77777777" w:rsidTr="00F45525">
        <w:trPr>
          <w:trHeight w:val="557"/>
        </w:trPr>
        <w:tc>
          <w:tcPr>
            <w:tcW w:w="4951" w:type="pct"/>
          </w:tcPr>
          <w:p w14:paraId="6B2579A2" w14:textId="77777777" w:rsidR="00F45525" w:rsidRPr="006448DF" w:rsidDel="000276D1" w:rsidRDefault="00F45525">
            <w:pPr>
              <w:spacing w:before="0" w:after="0"/>
              <w:rPr>
                <w:rFonts w:cs="Arial"/>
                <w:sz w:val="21"/>
                <w:szCs w:val="21"/>
              </w:rPr>
            </w:pPr>
            <w:r w:rsidRPr="006448DF">
              <w:rPr>
                <w:b/>
                <w:sz w:val="21"/>
                <w:szCs w:val="21"/>
              </w:rPr>
              <w:t>MH FFS 1:</w:t>
            </w:r>
            <w:r w:rsidRPr="006448DF">
              <w:rPr>
                <w:sz w:val="21"/>
                <w:szCs w:val="21"/>
              </w:rPr>
              <w:t xml:space="preserve"> </w:t>
            </w:r>
            <w:r w:rsidRPr="00A72BBF">
              <w:rPr>
                <w:sz w:val="21"/>
                <w:szCs w:val="21"/>
              </w:rPr>
              <w:t>Consolidate MH FFS funding into a single stream</w:t>
            </w:r>
          </w:p>
        </w:tc>
      </w:tr>
      <w:tr w:rsidR="00F45525" w:rsidRPr="00076428" w14:paraId="440F3D99" w14:textId="77777777" w:rsidTr="00F45525">
        <w:trPr>
          <w:trHeight w:val="834"/>
        </w:trPr>
        <w:tc>
          <w:tcPr>
            <w:tcW w:w="4951" w:type="pct"/>
          </w:tcPr>
          <w:p w14:paraId="0E35E141" w14:textId="3A6C5FDC" w:rsidR="00F45525" w:rsidRPr="00E01E72" w:rsidRDefault="00F45525">
            <w:pPr>
              <w:spacing w:before="20" w:after="0"/>
              <w:rPr>
                <w:bCs/>
                <w:sz w:val="21"/>
                <w:szCs w:val="21"/>
              </w:rPr>
            </w:pPr>
            <w:r w:rsidRPr="006448DF">
              <w:rPr>
                <w:b/>
                <w:sz w:val="21"/>
                <w:szCs w:val="21"/>
              </w:rPr>
              <w:t xml:space="preserve">MH FFS 2: </w:t>
            </w:r>
            <w:r w:rsidRPr="00ED343E">
              <w:rPr>
                <w:bCs/>
                <w:sz w:val="21"/>
                <w:szCs w:val="21"/>
              </w:rPr>
              <w:t>Empower PHNs to spend MH FFS across all aspects of</w:t>
            </w:r>
            <w:r w:rsidR="00E01E72">
              <w:rPr>
                <w:bCs/>
                <w:sz w:val="21"/>
                <w:szCs w:val="21"/>
              </w:rPr>
              <w:t xml:space="preserve"> ‘the 3 Cs’:</w:t>
            </w:r>
            <w:r w:rsidRPr="00ED343E">
              <w:rPr>
                <w:bCs/>
                <w:sz w:val="21"/>
                <w:szCs w:val="21"/>
              </w:rPr>
              <w:t xml:space="preserve"> commissioning, coordination and capacity building</w:t>
            </w:r>
            <w:r>
              <w:rPr>
                <w:b/>
                <w:sz w:val="21"/>
                <w:szCs w:val="21"/>
              </w:rPr>
              <w:t xml:space="preserve"> </w:t>
            </w:r>
          </w:p>
        </w:tc>
      </w:tr>
      <w:tr w:rsidR="00F45525" w:rsidRPr="00076428" w14:paraId="7BDF574C" w14:textId="77777777" w:rsidTr="00F45525">
        <w:trPr>
          <w:trHeight w:val="680"/>
        </w:trPr>
        <w:tc>
          <w:tcPr>
            <w:tcW w:w="4951" w:type="pct"/>
          </w:tcPr>
          <w:p w14:paraId="17BAFF42" w14:textId="0CCD0EEC" w:rsidR="00F45525" w:rsidRPr="006448DF" w:rsidRDefault="00F45525">
            <w:pPr>
              <w:rPr>
                <w:sz w:val="21"/>
                <w:szCs w:val="21"/>
              </w:rPr>
            </w:pPr>
            <w:r>
              <w:br w:type="page"/>
            </w:r>
            <w:r w:rsidRPr="006448DF">
              <w:rPr>
                <w:b/>
                <w:sz w:val="21"/>
                <w:szCs w:val="21"/>
              </w:rPr>
              <w:t>MH FFS 3:</w:t>
            </w:r>
            <w:r w:rsidRPr="006448DF">
              <w:rPr>
                <w:sz w:val="21"/>
                <w:szCs w:val="21"/>
              </w:rPr>
              <w:t xml:space="preserve"> </w:t>
            </w:r>
            <w:r w:rsidR="008C0CAE" w:rsidRPr="000C0CF1">
              <w:rPr>
                <w:sz w:val="21"/>
                <w:szCs w:val="21"/>
              </w:rPr>
              <w:t xml:space="preserve">Require PHNs to </w:t>
            </w:r>
            <w:r w:rsidR="008C0CAE">
              <w:rPr>
                <w:sz w:val="21"/>
                <w:szCs w:val="21"/>
              </w:rPr>
              <w:t>align</w:t>
            </w:r>
            <w:r w:rsidR="008C0CAE" w:rsidRPr="000C0CF1">
              <w:rPr>
                <w:sz w:val="21"/>
                <w:szCs w:val="21"/>
              </w:rPr>
              <w:t xml:space="preserve"> their annual activity planning against their local Needs Assessment, Joint Regional Planning with LHNs/States</w:t>
            </w:r>
            <w:r w:rsidR="008C0CAE">
              <w:rPr>
                <w:sz w:val="21"/>
                <w:szCs w:val="21"/>
              </w:rPr>
              <w:t xml:space="preserve"> and annual best practice guidance shared by The Department. Activity plans should include clear intended quantitative output or activity to enable the policy team to show what will be delivered for the MH FFS investment.</w:t>
            </w:r>
          </w:p>
        </w:tc>
      </w:tr>
    </w:tbl>
    <w:p w14:paraId="3A8FA2F8" w14:textId="77777777" w:rsidR="00455E12" w:rsidRPr="006448DF" w:rsidRDefault="00455E12" w:rsidP="00ED11FC">
      <w:pPr>
        <w:spacing w:after="0"/>
      </w:pPr>
    </w:p>
    <w:p w14:paraId="4B846660" w14:textId="31C23500" w:rsidR="00A57B47" w:rsidRPr="006448DF" w:rsidRDefault="007435A4" w:rsidP="00A57B47">
      <w:r>
        <w:rPr>
          <w:b/>
        </w:rPr>
        <w:t>These r</w:t>
      </w:r>
      <w:r w:rsidR="00A57B47" w:rsidRPr="006448DF">
        <w:rPr>
          <w:b/>
        </w:rPr>
        <w:t xml:space="preserve">eforms to the MH FFS </w:t>
      </w:r>
      <w:r w:rsidR="00A57B47" w:rsidRPr="006448DF" w:rsidDel="00737959">
        <w:rPr>
          <w:b/>
        </w:rPr>
        <w:t>would</w:t>
      </w:r>
      <w:r w:rsidR="00A57B47" w:rsidRPr="006448DF">
        <w:rPr>
          <w:b/>
        </w:rPr>
        <w:t xml:space="preserve"> give PHNs greater flexibility to tailor services, reduce fragmentation across the care continuum, and improve the clarity and responsiveness of funding allocations</w:t>
      </w:r>
      <w:r w:rsidR="00A57B47" w:rsidRPr="006448DF">
        <w:t xml:space="preserve">. PHNs would be able to tailor services to meet their local needs more closely, as funds would not be apportioned to separate streams. Services across the stepped care continuum would be more coordinated and less fragmented as PHNs improve commissioning and </w:t>
      </w:r>
      <w:r w:rsidR="00CC5378" w:rsidRPr="006448DF">
        <w:t xml:space="preserve">capacity </w:t>
      </w:r>
      <w:r w:rsidR="00A57B47" w:rsidRPr="006448DF">
        <w:t xml:space="preserve">building. </w:t>
      </w:r>
    </w:p>
    <w:p w14:paraId="24E98988" w14:textId="77777777" w:rsidR="008471CD" w:rsidRDefault="008471CD">
      <w:pPr>
        <w:spacing w:before="0" w:after="0" w:line="240" w:lineRule="auto"/>
        <w:rPr>
          <w:rFonts w:cs="Arial"/>
          <w:b/>
          <w:bCs/>
          <w:color w:val="3F4A75"/>
          <w:kern w:val="28"/>
          <w:sz w:val="36"/>
          <w:szCs w:val="36"/>
        </w:rPr>
      </w:pPr>
      <w:bookmarkStart w:id="13" w:name="_Toc199762552"/>
      <w:r>
        <w:br w:type="page"/>
      </w:r>
    </w:p>
    <w:p w14:paraId="51AE34A9" w14:textId="18F25D14" w:rsidR="00F448E7" w:rsidRPr="00ED11FC" w:rsidRDefault="00F448E7" w:rsidP="001E39A0">
      <w:pPr>
        <w:pStyle w:val="Heading1"/>
        <w:spacing w:line="276" w:lineRule="auto"/>
      </w:pPr>
      <w:bookmarkStart w:id="14" w:name="_Toc199782142"/>
      <w:r w:rsidRPr="00ED11FC">
        <w:lastRenderedPageBreak/>
        <w:t>Review of the PHN Business Model and MHFFS</w:t>
      </w:r>
      <w:bookmarkEnd w:id="13"/>
      <w:bookmarkEnd w:id="14"/>
    </w:p>
    <w:p w14:paraId="23457F82" w14:textId="1F77CADD" w:rsidR="00A57B47" w:rsidRPr="006448DF" w:rsidRDefault="00A57B47" w:rsidP="001E39A0">
      <w:pPr>
        <w:pStyle w:val="Heading1"/>
        <w:spacing w:line="276" w:lineRule="auto"/>
      </w:pPr>
      <w:bookmarkStart w:id="15" w:name="_Toc199782143"/>
      <w:r w:rsidRPr="006448DF">
        <w:t>Background</w:t>
      </w:r>
      <w:bookmarkEnd w:id="15"/>
    </w:p>
    <w:p w14:paraId="3C396303" w14:textId="0277FC7F" w:rsidR="00A57B47" w:rsidRPr="006448DF" w:rsidRDefault="00A57B47" w:rsidP="00A57B47">
      <w:r w:rsidRPr="006448DF">
        <w:t xml:space="preserve">The </w:t>
      </w:r>
      <w:r w:rsidRPr="006448DF">
        <w:rPr>
          <w:rFonts w:eastAsia="Arial"/>
        </w:rPr>
        <w:t>Primary Health Networks (</w:t>
      </w:r>
      <w:r w:rsidRPr="006448DF">
        <w:t>PHN) business model comprises 29 not-for-profit organisations appointed as PHN Operators, funded by federal government grants to deliver a range of locally responsive government programs that address local community health needs.</w:t>
      </w:r>
      <w:r w:rsidRPr="006448DF">
        <w:rPr>
          <w:b/>
        </w:rPr>
        <w:t xml:space="preserve"> </w:t>
      </w:r>
      <w:r w:rsidRPr="006448DF">
        <w:t xml:space="preserve"> PHNs were established by the Australian Government in 2015 in response to recommendations of the 2014 Review of Medicare Locals when the Government appointed 29 regional not-for-profit organisations as PHN Operators across 31 regions Australia-wide.</w:t>
      </w:r>
      <w:r w:rsidRPr="006448DF">
        <w:rPr>
          <w:rStyle w:val="FootnoteReference"/>
        </w:rPr>
        <w:footnoteReference w:id="6"/>
      </w:r>
      <w:r w:rsidRPr="006448DF">
        <w:t xml:space="preserve"> The PHN model replaced Medicare Locals (established in 2011, with 61 regions) which replaced Divisions of General Practice (established in 1992, with 120 divisions). PHNs are responsible for driving local innovation to meet specific local health needs and supporting the consistent local delivery of national and co-commissioned programs and services. PHNs are funded by the </w:t>
      </w:r>
      <w:r w:rsidRPr="006448DF">
        <w:rPr>
          <w:rFonts w:eastAsia="Arial" w:cs="Arial"/>
        </w:rPr>
        <w:t xml:space="preserve">Department of Health, Disability and Ageing (the Department) </w:t>
      </w:r>
      <w:r w:rsidRPr="006448DF">
        <w:t>to commission services from local providers and practitioners to meet the health needs of their regions.</w:t>
      </w:r>
    </w:p>
    <w:p w14:paraId="00983A31" w14:textId="6B521AFB" w:rsidR="00A57B47" w:rsidRPr="006448DF" w:rsidRDefault="00A57B47" w:rsidP="00A57B47">
      <w:pPr>
        <w:spacing w:after="0"/>
      </w:pPr>
      <w:r w:rsidRPr="006448DF">
        <w:t xml:space="preserve">PHNs assess local community health needs and commission health services to meet those needs in line with government priorities. The current priorities comprise mental health, Aboriginal and Torres Strait Islander health, population health, health workforce, digital health, aged care, and alcohol and other drugs. PHNs deliver three core functions – known as </w:t>
      </w:r>
      <w:r w:rsidR="00131471" w:rsidRPr="006448DF">
        <w:t>‘</w:t>
      </w:r>
      <w:r w:rsidRPr="006448DF">
        <w:t>the 3Cs</w:t>
      </w:r>
      <w:r w:rsidR="00131471" w:rsidRPr="006448DF">
        <w:t>’</w:t>
      </w:r>
      <w:r w:rsidRPr="006448DF">
        <w:t xml:space="preserve">: </w:t>
      </w:r>
    </w:p>
    <w:p w14:paraId="6AFD23F1" w14:textId="47E2081F" w:rsidR="00A57B47" w:rsidRPr="006448DF" w:rsidRDefault="00A57B47" w:rsidP="00A57B47">
      <w:pPr>
        <w:pStyle w:val="ListParagraph"/>
        <w:numPr>
          <w:ilvl w:val="0"/>
          <w:numId w:val="52"/>
        </w:numPr>
      </w:pPr>
      <w:r w:rsidRPr="006448DF">
        <w:rPr>
          <w:b/>
        </w:rPr>
        <w:t>Coordinate</w:t>
      </w:r>
      <w:r w:rsidRPr="006448DF">
        <w:t xml:space="preserve"> and integrate local health care services in collaboration with Local Hospital Networks (LHN) to improve quality of care, people's experience and efficient use of resources</w:t>
      </w:r>
    </w:p>
    <w:p w14:paraId="0C58D2F6" w14:textId="504D31A3" w:rsidR="00A57B47" w:rsidRPr="006448DF" w:rsidRDefault="00A57B47" w:rsidP="00A57B47">
      <w:pPr>
        <w:pStyle w:val="ListParagraph"/>
        <w:numPr>
          <w:ilvl w:val="0"/>
          <w:numId w:val="52"/>
        </w:numPr>
      </w:pPr>
      <w:r w:rsidRPr="006448DF">
        <w:rPr>
          <w:b/>
        </w:rPr>
        <w:t>Commission</w:t>
      </w:r>
      <w:r w:rsidRPr="006448DF">
        <w:t xml:space="preserve"> primary care and mental health services to address population health needs and gaps in service delivery and to improve access and equity</w:t>
      </w:r>
    </w:p>
    <w:p w14:paraId="46A1D05A" w14:textId="5FD45A00" w:rsidR="00A57B47" w:rsidRPr="006448DF" w:rsidRDefault="00A57B47" w:rsidP="00A57B47">
      <w:pPr>
        <w:pStyle w:val="ListParagraph"/>
        <w:numPr>
          <w:ilvl w:val="0"/>
          <w:numId w:val="52"/>
        </w:numPr>
      </w:pPr>
      <w:r w:rsidRPr="006448DF">
        <w:rPr>
          <w:b/>
        </w:rPr>
        <w:t>Capacity</w:t>
      </w:r>
      <w:r w:rsidR="00312539" w:rsidRPr="006448DF">
        <w:rPr>
          <w:b/>
        </w:rPr>
        <w:t xml:space="preserve"> </w:t>
      </w:r>
      <w:r w:rsidRPr="006448DF">
        <w:rPr>
          <w:b/>
        </w:rPr>
        <w:t>build</w:t>
      </w:r>
      <w:r w:rsidRPr="006448DF">
        <w:t xml:space="preserve"> and provide practice support to primary care and mental health providers to support quality care delivery.</w:t>
      </w:r>
      <w:r w:rsidRPr="006448DF">
        <w:rPr>
          <w:rStyle w:val="FootnoteReference"/>
        </w:rPr>
        <w:footnoteReference w:id="7"/>
      </w:r>
      <w:r w:rsidRPr="006448DF">
        <w:t xml:space="preserve"> PHNs currently deliver over 2,700 activities on behalf of the Department.  </w:t>
      </w:r>
    </w:p>
    <w:p w14:paraId="7A20EFC6" w14:textId="480FA039" w:rsidR="00A57B47" w:rsidRPr="001E39A0" w:rsidRDefault="00A57B47" w:rsidP="001E39A0">
      <w:r w:rsidRPr="006448DF" w:rsidDel="003E7E79">
        <w:t xml:space="preserve">To determine </w:t>
      </w:r>
      <w:r w:rsidRPr="006448DF">
        <w:t xml:space="preserve">which activities to conduct and </w:t>
      </w:r>
      <w:r w:rsidRPr="006448DF" w:rsidDel="003E7E79">
        <w:t xml:space="preserve">which services to commission, PHNs conduct </w:t>
      </w:r>
      <w:r w:rsidR="00A7748A" w:rsidRPr="006448DF">
        <w:t>periodic</w:t>
      </w:r>
      <w:r w:rsidRPr="006448DF" w:rsidDel="003E7E79">
        <w:t xml:space="preserve"> Needs Assessments, informed by data and consultation with local health professionals, Local Health Networks (LHNs), clinical councils, community advisory committees, consumers and other relevant stakeholders.</w:t>
      </w:r>
      <w:r w:rsidRPr="006448DF">
        <w:t xml:space="preserve"> The Department is responsible for the governance of the overall PHN Program and performance management of each PHN. Individual PHNs are operated as not-for-profit organisations, each with its own internal governance processes and overseen by the ACNC. </w:t>
      </w:r>
    </w:p>
    <w:p w14:paraId="5C9B656E" w14:textId="77777777" w:rsidR="00A57B47" w:rsidRPr="006448DF" w:rsidRDefault="00A57B47" w:rsidP="00A57B47">
      <w:pPr>
        <w:pStyle w:val="Heading1"/>
      </w:pPr>
      <w:bookmarkStart w:id="16" w:name="_Toc199782144"/>
      <w:r w:rsidRPr="006448DF">
        <w:lastRenderedPageBreak/>
        <w:t>Review approach</w:t>
      </w:r>
      <w:bookmarkEnd w:id="16"/>
      <w:r w:rsidRPr="006448DF">
        <w:t xml:space="preserve"> </w:t>
      </w:r>
    </w:p>
    <w:p w14:paraId="508F1962" w14:textId="10B0C860" w:rsidR="00A57B47" w:rsidRPr="006448DF" w:rsidRDefault="00A57B47" w:rsidP="00A57B47">
      <w:pPr>
        <w:rPr>
          <w:rFonts w:eastAsia="Arial" w:cs="Arial"/>
        </w:rPr>
      </w:pPr>
      <w:r w:rsidRPr="006448DF">
        <w:t xml:space="preserve">Since PHNs were established in 2015, Australia’s primary care sector has evolved significantly but the PHN Business Model has remained largely the same. In this context, </w:t>
      </w:r>
      <w:r w:rsidRPr="006448DF">
        <w:rPr>
          <w:rFonts w:eastAsia="Arial" w:cs="Arial"/>
        </w:rPr>
        <w:t xml:space="preserve">the Department engaged Boston Consulting Group to provide </w:t>
      </w:r>
      <w:r w:rsidRPr="006448DF">
        <w:rPr>
          <w:rFonts w:eastAsia="Arial"/>
        </w:rPr>
        <w:t xml:space="preserve">recommendations on the future of the </w:t>
      </w:r>
      <w:r w:rsidRPr="006448DF">
        <w:rPr>
          <w:rFonts w:eastAsia="Arial" w:cs="Arial"/>
        </w:rPr>
        <w:t>Primary Health Networks (</w:t>
      </w:r>
      <w:r w:rsidRPr="006448DF">
        <w:rPr>
          <w:rFonts w:eastAsia="Arial"/>
        </w:rPr>
        <w:t>PHN) Business Model</w:t>
      </w:r>
      <w:r w:rsidRPr="006448DF">
        <w:rPr>
          <w:rFonts w:eastAsia="Arial" w:cs="Arial"/>
        </w:rPr>
        <w:t xml:space="preserve">. In developing these recommendations, the review was required to examine the PHN Program in the context of the changing operating environment in both primary and mental health care, and to ensure the Program is structured to meet Government objectives. </w:t>
      </w:r>
    </w:p>
    <w:p w14:paraId="1CCD9813" w14:textId="77777777" w:rsidR="00A57B47" w:rsidRPr="0005487B" w:rsidRDefault="00A57B47" w:rsidP="00A57B47">
      <w:pPr>
        <w:rPr>
          <w:rFonts w:eastAsia="Arial" w:cs="Arial"/>
        </w:rPr>
      </w:pPr>
      <w:r w:rsidRPr="006448DF">
        <w:rPr>
          <w:rFonts w:eastAsia="Arial" w:cs="Arial"/>
        </w:rPr>
        <w:t>The scope of the review</w:t>
      </w:r>
      <w:r w:rsidRPr="0005487B">
        <w:rPr>
          <w:rFonts w:eastAsia="Arial" w:cs="Arial"/>
        </w:rPr>
        <w:t xml:space="preserve"> </w:t>
      </w:r>
      <w:r>
        <w:rPr>
          <w:rFonts w:eastAsia="Arial" w:cs="Arial"/>
        </w:rPr>
        <w:t>was guided by</w:t>
      </w:r>
      <w:r w:rsidRPr="006448DF">
        <w:rPr>
          <w:rFonts w:eastAsia="Arial" w:cs="Arial"/>
        </w:rPr>
        <w:t xml:space="preserve"> six key questions determined by the Department</w:t>
      </w:r>
      <w:r w:rsidRPr="0005487B">
        <w:rPr>
          <w:rFonts w:eastAsia="Arial" w:cs="Arial"/>
        </w:rPr>
        <w:t>:</w:t>
      </w:r>
    </w:p>
    <w:p w14:paraId="164FD1B8" w14:textId="77777777" w:rsidR="00A57B47" w:rsidRPr="0005487B" w:rsidRDefault="00A57B47" w:rsidP="00A57B47">
      <w:pPr>
        <w:numPr>
          <w:ilvl w:val="0"/>
          <w:numId w:val="41"/>
        </w:numPr>
        <w:spacing w:after="0"/>
        <w:rPr>
          <w:rFonts w:eastAsia="Arial" w:cs="Arial"/>
        </w:rPr>
      </w:pPr>
      <w:r w:rsidRPr="0005487B">
        <w:rPr>
          <w:rFonts w:eastAsia="Arial" w:cs="Arial"/>
        </w:rPr>
        <w:t>Are the roles of PHNs clear and understood by stakeholders? How will the relative importance of the different roles need to evolve to meet broader changes in health policy and delivery</w:t>
      </w:r>
    </w:p>
    <w:p w14:paraId="0F2D37E5" w14:textId="77777777" w:rsidR="00A57B47" w:rsidRPr="0005487B" w:rsidRDefault="00A57B47" w:rsidP="00A57B47">
      <w:pPr>
        <w:numPr>
          <w:ilvl w:val="0"/>
          <w:numId w:val="41"/>
        </w:numPr>
        <w:spacing w:after="0"/>
        <w:rPr>
          <w:rFonts w:eastAsia="Arial" w:cs="Arial"/>
        </w:rPr>
      </w:pPr>
      <w:r w:rsidRPr="0005487B">
        <w:rPr>
          <w:rFonts w:eastAsia="Arial" w:cs="Arial"/>
        </w:rPr>
        <w:t>Is the governance of PHNs and the broader PHN Program appropriate, efficient and effective?</w:t>
      </w:r>
    </w:p>
    <w:p w14:paraId="54C5FA92" w14:textId="77777777" w:rsidR="00A57B47" w:rsidRPr="0005487B" w:rsidRDefault="00A57B47" w:rsidP="00A57B47">
      <w:pPr>
        <w:numPr>
          <w:ilvl w:val="0"/>
          <w:numId w:val="41"/>
        </w:numPr>
        <w:spacing w:after="0"/>
        <w:rPr>
          <w:rFonts w:eastAsia="Arial" w:cs="Arial"/>
        </w:rPr>
      </w:pPr>
      <w:r w:rsidRPr="0005487B">
        <w:rPr>
          <w:rFonts w:eastAsia="Arial" w:cs="Arial"/>
        </w:rPr>
        <w:t>Does the PHN Program support regional planning, capacity building, effective communication and engagement between relevant stakeholders?</w:t>
      </w:r>
    </w:p>
    <w:p w14:paraId="4A2A9D96" w14:textId="77777777" w:rsidR="00A57B47" w:rsidRPr="0005487B" w:rsidRDefault="00A57B47" w:rsidP="00A57B47">
      <w:pPr>
        <w:numPr>
          <w:ilvl w:val="0"/>
          <w:numId w:val="41"/>
        </w:numPr>
        <w:spacing w:after="0"/>
        <w:rPr>
          <w:rFonts w:eastAsia="Arial" w:cs="Arial"/>
        </w:rPr>
      </w:pPr>
      <w:r w:rsidRPr="0005487B">
        <w:rPr>
          <w:rFonts w:eastAsia="Arial" w:cs="Arial"/>
        </w:rPr>
        <w:t>Do the current PHN Program funding arrangements support effective delivery of the objectives?</w:t>
      </w:r>
    </w:p>
    <w:p w14:paraId="5FEC6892" w14:textId="77777777" w:rsidR="00A57B47" w:rsidRPr="0005487B" w:rsidRDefault="00A57B47" w:rsidP="00A57B47">
      <w:pPr>
        <w:numPr>
          <w:ilvl w:val="0"/>
          <w:numId w:val="41"/>
        </w:numPr>
        <w:spacing w:after="0"/>
        <w:rPr>
          <w:rFonts w:eastAsia="Arial" w:cs="Arial"/>
        </w:rPr>
      </w:pPr>
      <w:r w:rsidRPr="0005487B">
        <w:rPr>
          <w:rFonts w:eastAsia="Arial" w:cs="Arial"/>
        </w:rPr>
        <w:t>What is the role of PHNs in commissioning services through the Mental Health Flexible Funding Stream within the mental health and suicide prevention system, and how effective has it been? How could that role evolve to be more efficient and effective?</w:t>
      </w:r>
    </w:p>
    <w:p w14:paraId="0B748428" w14:textId="77777777" w:rsidR="00A57B47" w:rsidRPr="00E90DC6" w:rsidRDefault="00A57B47" w:rsidP="00A57B47">
      <w:pPr>
        <w:numPr>
          <w:ilvl w:val="0"/>
          <w:numId w:val="41"/>
        </w:numPr>
        <w:rPr>
          <w:rFonts w:eastAsia="Arial" w:cs="Arial"/>
        </w:rPr>
      </w:pPr>
      <w:r w:rsidRPr="0005487B">
        <w:rPr>
          <w:rFonts w:eastAsia="Arial" w:cs="Arial"/>
        </w:rPr>
        <w:t>How can the Mental Health Flexible Funding Stream funding model be updated to meet the evolving role?</w:t>
      </w:r>
    </w:p>
    <w:p w14:paraId="0FFEA137" w14:textId="77777777" w:rsidR="00A57B47" w:rsidRPr="006448DF" w:rsidRDefault="00A57B47" w:rsidP="00A57B47">
      <w:pPr>
        <w:pStyle w:val="Body"/>
        <w:rPr>
          <w:rFonts w:eastAsia="Arial" w:cs="Arial"/>
        </w:rPr>
      </w:pPr>
      <w:r w:rsidRPr="006448DF">
        <w:t xml:space="preserve">To address the key questions, </w:t>
      </w:r>
      <w:r w:rsidRPr="006448DF" w:rsidDel="00C8021B">
        <w:rPr>
          <w:rFonts w:eastAsia="Arial" w:cs="Arial"/>
        </w:rPr>
        <w:t>the</w:t>
      </w:r>
      <w:r w:rsidRPr="006448DF">
        <w:rPr>
          <w:rFonts w:eastAsia="Arial" w:cs="Arial"/>
        </w:rPr>
        <w:t xml:space="preserve"> review engaged a wide range of stakeholders – including </w:t>
      </w:r>
      <w:r w:rsidRPr="006448DF">
        <w:rPr>
          <w:color w:val="auto"/>
        </w:rPr>
        <w:t>PHNs, states, peak bodies and service providers –</w:t>
      </w:r>
      <w:r w:rsidRPr="006448DF" w:rsidDel="00E33850">
        <w:rPr>
          <w:rFonts w:eastAsia="Arial" w:cs="Arial"/>
        </w:rPr>
        <w:t xml:space="preserve"> </w:t>
      </w:r>
      <w:r w:rsidRPr="006448DF">
        <w:rPr>
          <w:rFonts w:eastAsia="Arial" w:cs="Arial"/>
        </w:rPr>
        <w:t xml:space="preserve">to identify tensions within the current model and make recommendations on the business model. </w:t>
      </w:r>
    </w:p>
    <w:p w14:paraId="367B74AD" w14:textId="77777777" w:rsidR="00A57B47" w:rsidRPr="006448DF" w:rsidRDefault="00A57B47" w:rsidP="00A57B47">
      <w:pPr>
        <w:pStyle w:val="Body"/>
        <w:rPr>
          <w:rFonts w:eastAsia="Arial" w:cs="Arial"/>
        </w:rPr>
      </w:pPr>
      <w:r w:rsidRPr="006448DF">
        <w:rPr>
          <w:rFonts w:eastAsia="Arial" w:cs="Arial"/>
        </w:rPr>
        <w:t xml:space="preserve">The consultation and analysis were completed over </w:t>
      </w:r>
      <w:r w:rsidRPr="006448DF">
        <w:rPr>
          <w:color w:val="auto"/>
        </w:rPr>
        <w:t xml:space="preserve">a six-month </w:t>
      </w:r>
      <w:r w:rsidRPr="006448DF">
        <w:rPr>
          <w:rFonts w:eastAsia="Arial" w:cs="Arial"/>
        </w:rPr>
        <w:t>period and in five phases:</w:t>
      </w:r>
    </w:p>
    <w:p w14:paraId="3937E571" w14:textId="77777777" w:rsidR="00A57B47" w:rsidRPr="006448DF" w:rsidRDefault="00A57B47" w:rsidP="001E39A0">
      <w:pPr>
        <w:pStyle w:val="Bullet1"/>
        <w:spacing w:line="276" w:lineRule="auto"/>
        <w:rPr>
          <w:rFonts w:eastAsia="Arial"/>
        </w:rPr>
      </w:pPr>
      <w:r w:rsidRPr="006448DF">
        <w:rPr>
          <w:rFonts w:eastAsia="Arial"/>
        </w:rPr>
        <w:t>Phase 1 (4 November to 29 November): Develop framework for the review and a baseline view of the PHN Business Model using desktop analysis.</w:t>
      </w:r>
    </w:p>
    <w:p w14:paraId="3069FCAA" w14:textId="77777777" w:rsidR="00A57B47" w:rsidRPr="006448DF" w:rsidRDefault="00A57B47" w:rsidP="001E39A0">
      <w:pPr>
        <w:pStyle w:val="Bullet1"/>
        <w:spacing w:line="276" w:lineRule="auto"/>
        <w:rPr>
          <w:rFonts w:eastAsia="Arial"/>
        </w:rPr>
      </w:pPr>
      <w:r w:rsidRPr="006448DF">
        <w:rPr>
          <w:rFonts w:eastAsia="Arial"/>
        </w:rPr>
        <w:t>Phase 2 (2 December to 24 January): Gather stakeholder input to identify key issues and potential reforms, including 150 interviewees, 130 written submissions and 1,500 survey responses.</w:t>
      </w:r>
    </w:p>
    <w:p w14:paraId="6D0ECCB6" w14:textId="77777777" w:rsidR="00A57B47" w:rsidRPr="006448DF" w:rsidRDefault="00A57B47" w:rsidP="001E39A0">
      <w:pPr>
        <w:pStyle w:val="Bullet1"/>
        <w:spacing w:line="276" w:lineRule="auto"/>
        <w:rPr>
          <w:rFonts w:eastAsia="Arial"/>
        </w:rPr>
      </w:pPr>
      <w:r w:rsidRPr="006448DF">
        <w:rPr>
          <w:rFonts w:eastAsia="Arial"/>
        </w:rPr>
        <w:t>Phase 3 (27 January to 21 February): Use stakeholder input and desktop analysis to develop findings and reform options.</w:t>
      </w:r>
    </w:p>
    <w:p w14:paraId="6BD062D7" w14:textId="77777777" w:rsidR="00A57B47" w:rsidRPr="00E90DC6" w:rsidRDefault="00A57B47" w:rsidP="001E39A0">
      <w:pPr>
        <w:pStyle w:val="Bullet1"/>
        <w:spacing w:line="276" w:lineRule="auto"/>
        <w:rPr>
          <w:rFonts w:eastAsia="Arial"/>
        </w:rPr>
      </w:pPr>
      <w:r w:rsidRPr="006448DF">
        <w:rPr>
          <w:rFonts w:eastAsia="Arial"/>
        </w:rPr>
        <w:t xml:space="preserve">Phases 4 and 5 (24 February to 30 May): </w:t>
      </w:r>
      <w:r w:rsidRPr="00E90DC6">
        <w:rPr>
          <w:rFonts w:eastAsia="Arial"/>
        </w:rPr>
        <w:t xml:space="preserve">Targeted stakeholder engagement to </w:t>
      </w:r>
      <w:r w:rsidRPr="006448DF">
        <w:rPr>
          <w:rFonts w:eastAsia="Arial"/>
        </w:rPr>
        <w:t>refine design details and transition considerations.</w:t>
      </w:r>
    </w:p>
    <w:p w14:paraId="346CD48F" w14:textId="77777777" w:rsidR="00A57B47" w:rsidRPr="006448DF" w:rsidRDefault="00A57B47" w:rsidP="00A57B47">
      <w:pPr>
        <w:rPr>
          <w:rFonts w:eastAsia="Arial" w:cs="Arial"/>
        </w:rPr>
      </w:pPr>
      <w:r w:rsidRPr="006448DF">
        <w:rPr>
          <w:color w:val="auto"/>
        </w:rPr>
        <w:t>The following findings are based on extensive research and consultation,</w:t>
      </w:r>
      <w:r w:rsidRPr="006448DF">
        <w:rPr>
          <w:rFonts w:eastAsia="Arial" w:cs="Arial"/>
        </w:rPr>
        <w:t xml:space="preserve"> including 150 stakeholder interviews, 130 written submissions, 1,500 survey responses and extensive desktop research.</w:t>
      </w:r>
    </w:p>
    <w:p w14:paraId="4E232E91" w14:textId="6903C158" w:rsidR="00A57B47" w:rsidRPr="006448DF" w:rsidRDefault="00A57B47" w:rsidP="00A57B47">
      <w:pPr>
        <w:pStyle w:val="Heading1"/>
      </w:pPr>
      <w:bookmarkStart w:id="17" w:name="_Toc199782145"/>
      <w:r w:rsidRPr="006448DF">
        <w:lastRenderedPageBreak/>
        <w:t>Findings</w:t>
      </w:r>
      <w:bookmarkEnd w:id="17"/>
    </w:p>
    <w:p w14:paraId="36BE487E" w14:textId="77777777" w:rsidR="00A57B47" w:rsidRPr="006448DF" w:rsidRDefault="00A57B47" w:rsidP="00A57B47">
      <w:pPr>
        <w:pStyle w:val="Heading2"/>
        <w:rPr>
          <w:lang w:val="en-AU"/>
        </w:rPr>
      </w:pPr>
      <w:bookmarkStart w:id="18" w:name="_Toc199782146"/>
      <w:r w:rsidRPr="006448DF">
        <w:rPr>
          <w:lang w:val="en-AU"/>
        </w:rPr>
        <w:t>PHN Business Model</w:t>
      </w:r>
      <w:bookmarkEnd w:id="18"/>
    </w:p>
    <w:p w14:paraId="3CEFDF1E" w14:textId="501E5027" w:rsidR="00A57B47" w:rsidRPr="006448DF" w:rsidRDefault="00A57B47" w:rsidP="00A57B47">
      <w:r w:rsidRPr="006448DF">
        <w:t xml:space="preserve">The review found strong and widespread support for the PHN Business Model, along with several valid concerns. Stakeholders recognised PHNs as critical enablers of locally responsive care, valued for their commissioning capabilities, provider engagement and local knowledge – particularly in regions with complex needs. Many stakeholders pointed to strong examples of positive local impact, and to PHNs’ significant role in delivering critical national programs such as Urgent Care </w:t>
      </w:r>
      <w:r w:rsidR="00E45917">
        <w:rPr>
          <w:lang w:val="en-US"/>
        </w:rPr>
        <w:t>Clinics</w:t>
      </w:r>
      <w:r w:rsidRPr="006448DF">
        <w:t xml:space="preserve">. At the same time, the views of many stakeholders could be summarised as a belief that the PHN Program’s full potential remains unrealised. </w:t>
      </w:r>
      <w:proofErr w:type="gramStart"/>
      <w:r w:rsidRPr="006448DF">
        <w:t>In particular, capa</w:t>
      </w:r>
      <w:r w:rsidR="00DF16D9" w:rsidRPr="006448DF">
        <w:t>city</w:t>
      </w:r>
      <w:proofErr w:type="gramEnd"/>
      <w:r w:rsidRPr="006448DF">
        <w:t xml:space="preserve"> and performance are seen to vary significantly across PHNs, data on outcomes is limited making it hard to assess Program performance, and some stakeholders raised specific concerns regarding trust and engagement.</w:t>
      </w:r>
    </w:p>
    <w:p w14:paraId="53DB5AB4" w14:textId="15753FC2" w:rsidR="00A57B47" w:rsidRPr="006448DF" w:rsidRDefault="00A57B47" w:rsidP="00ED11FC">
      <w:r w:rsidRPr="006448DF">
        <w:t xml:space="preserve">The review identified </w:t>
      </w:r>
      <w:r w:rsidR="006F5D40" w:rsidRPr="006448DF">
        <w:rPr>
          <w:color w:val="auto"/>
        </w:rPr>
        <w:t>a negative feedback loop in which inherent tensions in the PHN model undermine stakeholder confidence, which contributes to an unwieldy and burdensome funding process that restricts the ability of PHNs to respond flexibly to local needs, which further undermines stakeholder trust and confidence</w:t>
      </w:r>
      <w:r w:rsidR="006F5D40" w:rsidRPr="006448DF">
        <w:rPr>
          <w:b/>
          <w:color w:val="auto"/>
        </w:rPr>
        <w:t xml:space="preserve"> </w:t>
      </w:r>
      <w:r w:rsidRPr="006448DF">
        <w:t xml:space="preserve">(see Exhibit 2). </w:t>
      </w:r>
    </w:p>
    <w:p w14:paraId="512ED2BC" w14:textId="77777777" w:rsidR="00A57B47" w:rsidRDefault="00A57B47" w:rsidP="003425B3">
      <w:pPr>
        <w:pStyle w:val="Exhibit"/>
      </w:pPr>
      <w:r w:rsidRPr="00A61566">
        <w:t>Exhibit 2. Tensions in the PHN model drive a negative loop</w:t>
      </w:r>
      <w:r w:rsidRPr="00A61566" w:rsidDel="00517ABC">
        <w:t xml:space="preserve"> </w:t>
      </w:r>
    </w:p>
    <w:p w14:paraId="3AED26EF" w14:textId="5A556C6D" w:rsidR="00B4455E" w:rsidRPr="00A61566" w:rsidRDefault="00B4455E" w:rsidP="003425B3">
      <w:pPr>
        <w:pStyle w:val="Exhibit"/>
      </w:pPr>
      <w:r w:rsidRPr="006448DF">
        <w:rPr>
          <w:noProof/>
        </w:rPr>
        <w:drawing>
          <wp:inline distT="0" distB="0" distL="0" distR="0" wp14:anchorId="1A2D8849" wp14:editId="335B3D8D">
            <wp:extent cx="5759450" cy="2785110"/>
            <wp:effectExtent l="0" t="0" r="6350" b="0"/>
            <wp:docPr id="563475471" name="Picture 1" descr="Flowchart showing how tensions in the PHN business model, such as unclear accountability, short-term grants, and limited local flexibility, undermine stakeholder trust and reduce program effectiveness through a reinforcing negativ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75471" name="Picture 1" descr="Flowchart showing how tensions in the PHN business model, such as unclear accountability, short-term grants, and limited local flexibility, undermine stakeholder trust and reduce program effectiveness through a reinforcing negative cycle."/>
                    <pic:cNvPicPr/>
                  </pic:nvPicPr>
                  <pic:blipFill>
                    <a:blip r:embed="rId18"/>
                    <a:stretch>
                      <a:fillRect/>
                    </a:stretch>
                  </pic:blipFill>
                  <pic:spPr>
                    <a:xfrm>
                      <a:off x="0" y="0"/>
                      <a:ext cx="5759450" cy="2785110"/>
                    </a:xfrm>
                    <a:prstGeom prst="rect">
                      <a:avLst/>
                    </a:prstGeom>
                  </pic:spPr>
                </pic:pic>
              </a:graphicData>
            </a:graphic>
          </wp:inline>
        </w:drawing>
      </w:r>
    </w:p>
    <w:p w14:paraId="0C574AF8" w14:textId="4C394AAC" w:rsidR="00A57B47" w:rsidRPr="006448DF" w:rsidRDefault="00A57B47" w:rsidP="00A57B47">
      <w:pPr>
        <w:jc w:val="center"/>
        <w:rPr>
          <w:color w:val="auto"/>
        </w:rPr>
      </w:pPr>
    </w:p>
    <w:p w14:paraId="0BE3C950" w14:textId="32AC8325" w:rsidR="00A57B47" w:rsidRPr="006448DF" w:rsidRDefault="00A57B47" w:rsidP="001E39A0">
      <w:pPr>
        <w:pStyle w:val="Heading3"/>
        <w:spacing w:line="276" w:lineRule="auto"/>
        <w:rPr>
          <w:color w:val="000000" w:themeColor="text1"/>
          <w:lang w:val="en-AU"/>
        </w:rPr>
      </w:pPr>
      <w:r w:rsidRPr="006448DF">
        <w:rPr>
          <w:lang w:val="en-AU"/>
        </w:rPr>
        <w:t xml:space="preserve">1. Key tensions in the PHN </w:t>
      </w:r>
      <w:r w:rsidR="00913605" w:rsidRPr="006448DF">
        <w:rPr>
          <w:lang w:val="en-AU"/>
        </w:rPr>
        <w:t xml:space="preserve">business </w:t>
      </w:r>
      <w:r w:rsidRPr="006448DF">
        <w:rPr>
          <w:lang w:val="en-AU"/>
        </w:rPr>
        <w:t xml:space="preserve">model undermine stakeholder trust and confidence </w:t>
      </w:r>
    </w:p>
    <w:p w14:paraId="3CAEC4E6" w14:textId="3D06934E" w:rsidR="00A57B47" w:rsidRPr="006448DF" w:rsidRDefault="00A57B47" w:rsidP="001E39A0">
      <w:pPr>
        <w:pStyle w:val="Heading4"/>
        <w:spacing w:line="276" w:lineRule="auto"/>
        <w:rPr>
          <w:lang w:val="en-AU"/>
        </w:rPr>
      </w:pPr>
      <w:r w:rsidRPr="006448DF">
        <w:rPr>
          <w:lang w:val="en-AU"/>
        </w:rPr>
        <w:t>1.1 Confused primary accountability</w:t>
      </w:r>
    </w:p>
    <w:p w14:paraId="17C4864C" w14:textId="0E221103" w:rsidR="00A57B47" w:rsidRPr="006448DF" w:rsidRDefault="00A57B47" w:rsidP="00A57B47">
      <w:r w:rsidRPr="006448DF">
        <w:rPr>
          <w:color w:val="auto"/>
        </w:rPr>
        <w:t xml:space="preserve">Stakeholders were broadly aligned that the aims of the PHN Program are to increase the efficiency and effectiveness of primary care services, particularly for people at risk of poor health outcomes, and improve the coordination of health care so that people receive the right care, in the right place, at the right time. Stakeholders were also aligned on the activities that PHNs undertake to achieve these objectives, namely coordinating care, commissioning </w:t>
      </w:r>
      <w:r w:rsidRPr="006448DF">
        <w:rPr>
          <w:color w:val="auto"/>
        </w:rPr>
        <w:lastRenderedPageBreak/>
        <w:t>services and building capacity in primary care (</w:t>
      </w:r>
      <w:r w:rsidR="00131471" w:rsidRPr="006448DF">
        <w:rPr>
          <w:color w:val="auto"/>
        </w:rPr>
        <w:t>‘</w:t>
      </w:r>
      <w:r w:rsidRPr="006448DF">
        <w:rPr>
          <w:color w:val="auto"/>
        </w:rPr>
        <w:t>the 3Cs</w:t>
      </w:r>
      <w:r w:rsidR="00131471" w:rsidRPr="006448DF">
        <w:rPr>
          <w:color w:val="auto"/>
        </w:rPr>
        <w:t>’</w:t>
      </w:r>
      <w:r w:rsidRPr="006448DF">
        <w:rPr>
          <w:color w:val="auto"/>
        </w:rPr>
        <w:t>) ​as set out in the PHN Strategy 2023</w:t>
      </w:r>
      <w:r w:rsidRPr="006448DF">
        <w:rPr>
          <w:rFonts w:cs="Arial"/>
          <w:color w:val="auto"/>
        </w:rPr>
        <w:t>–</w:t>
      </w:r>
      <w:r w:rsidRPr="006448DF">
        <w:rPr>
          <w:color w:val="auto"/>
        </w:rPr>
        <w:t>24.</w:t>
      </w:r>
      <w:r w:rsidR="00131471" w:rsidRPr="006448DF">
        <w:rPr>
          <w:color w:val="auto"/>
        </w:rPr>
        <w:t xml:space="preserve"> </w:t>
      </w:r>
      <w:r w:rsidRPr="006448DF">
        <w:t>However, there was misalignment among stakeholders</w:t>
      </w:r>
      <w:r w:rsidRPr="006448DF" w:rsidDel="003059A6">
        <w:t xml:space="preserve"> </w:t>
      </w:r>
      <w:r w:rsidRPr="006448DF">
        <w:t xml:space="preserve">about the primary accountability of PHNs </w:t>
      </w:r>
      <w:r w:rsidRPr="006448DF">
        <w:rPr>
          <w:rFonts w:cs="Arial"/>
        </w:rPr>
        <w:t>–</w:t>
      </w:r>
      <w:r w:rsidRPr="006448DF">
        <w:t xml:space="preserve"> whether PHNs are primarily accountable to general practices, to the Commonwealth, or whether they should operate as self-governing entities and be primarily accountable to themselves.</w:t>
      </w:r>
    </w:p>
    <w:p w14:paraId="6960C3CF" w14:textId="77777777" w:rsidR="00A57B47" w:rsidRPr="006448DF" w:rsidRDefault="00A57B47" w:rsidP="00457793">
      <w:pPr>
        <w:pStyle w:val="Body"/>
      </w:pPr>
      <w:r w:rsidRPr="006448DF">
        <w:t>Primarily accountable to general practice</w:t>
      </w:r>
    </w:p>
    <w:p w14:paraId="2DA55C4C" w14:textId="77A2BDCC" w:rsidR="00A57B47" w:rsidRPr="006448DF" w:rsidRDefault="00A57B47" w:rsidP="00A57B47">
      <w:pPr>
        <w:pStyle w:val="Body"/>
        <w:rPr>
          <w:color w:val="auto"/>
        </w:rPr>
      </w:pPr>
      <w:r w:rsidRPr="006448DF">
        <w:rPr>
          <w:color w:val="auto"/>
        </w:rPr>
        <w:t xml:space="preserve">Some stakeholders </w:t>
      </w:r>
      <w:r w:rsidR="00B2582B">
        <w:rPr>
          <w:color w:val="auto"/>
        </w:rPr>
        <w:t>appeared to work under an assumption that</w:t>
      </w:r>
      <w:r w:rsidR="00B2582B" w:rsidRPr="006448DF">
        <w:rPr>
          <w:color w:val="auto"/>
        </w:rPr>
        <w:t xml:space="preserve"> </w:t>
      </w:r>
      <w:r w:rsidRPr="006448DF">
        <w:rPr>
          <w:color w:val="auto"/>
        </w:rPr>
        <w:t xml:space="preserve">PHNs were established to improve the primary health care system </w:t>
      </w:r>
      <w:r w:rsidR="00B2582B">
        <w:rPr>
          <w:color w:val="auto"/>
        </w:rPr>
        <w:t xml:space="preserve">by supporting </w:t>
      </w:r>
      <w:r w:rsidRPr="006448DF">
        <w:rPr>
          <w:color w:val="auto"/>
        </w:rPr>
        <w:t xml:space="preserve">general practice as the cornerstone of primary care. </w:t>
      </w:r>
      <w:r w:rsidR="00771319">
        <w:rPr>
          <w:color w:val="auto"/>
        </w:rPr>
        <w:t xml:space="preserve">Consequently, they believed that </w:t>
      </w:r>
      <w:r w:rsidR="008B095B">
        <w:rPr>
          <w:color w:val="auto"/>
        </w:rPr>
        <w:t>accountability</w:t>
      </w:r>
      <w:r w:rsidR="00B2582B">
        <w:rPr>
          <w:color w:val="auto"/>
        </w:rPr>
        <w:t xml:space="preserve"> </w:t>
      </w:r>
      <w:r w:rsidR="00522986">
        <w:rPr>
          <w:color w:val="auto"/>
        </w:rPr>
        <w:t xml:space="preserve">should be </w:t>
      </w:r>
      <w:r w:rsidR="00267D92">
        <w:rPr>
          <w:color w:val="auto"/>
        </w:rPr>
        <w:t xml:space="preserve">more </w:t>
      </w:r>
      <w:r w:rsidR="00522986">
        <w:rPr>
          <w:color w:val="auto"/>
        </w:rPr>
        <w:t xml:space="preserve">strongly </w:t>
      </w:r>
      <w:r w:rsidR="00267D92">
        <w:rPr>
          <w:color w:val="auto"/>
        </w:rPr>
        <w:t xml:space="preserve">aligned to </w:t>
      </w:r>
      <w:r w:rsidR="00D4248D">
        <w:rPr>
          <w:color w:val="auto"/>
        </w:rPr>
        <w:t>general practices</w:t>
      </w:r>
      <w:r w:rsidR="00081AD3">
        <w:rPr>
          <w:color w:val="auto"/>
        </w:rPr>
        <w:t>.</w:t>
      </w:r>
      <w:r w:rsidR="00522986">
        <w:rPr>
          <w:color w:val="auto"/>
        </w:rPr>
        <w:t xml:space="preserve"> </w:t>
      </w:r>
      <w:r w:rsidRPr="006448DF">
        <w:rPr>
          <w:color w:val="auto"/>
        </w:rPr>
        <w:t>This view was expressed by GPs</w:t>
      </w:r>
      <w:r w:rsidR="00081AD3">
        <w:rPr>
          <w:color w:val="auto"/>
        </w:rPr>
        <w:t xml:space="preserve">, </w:t>
      </w:r>
      <w:r w:rsidRPr="006448DF">
        <w:rPr>
          <w:color w:val="auto"/>
        </w:rPr>
        <w:t>general practices</w:t>
      </w:r>
      <w:r w:rsidR="00081AD3">
        <w:rPr>
          <w:color w:val="auto"/>
        </w:rPr>
        <w:t xml:space="preserve"> and their representatives</w:t>
      </w:r>
      <w:r w:rsidRPr="006448DF">
        <w:rPr>
          <w:color w:val="auto"/>
        </w:rPr>
        <w:t xml:space="preserve">. Some stakeholders suggested significant, minimum GP representation on boards (e.g. 50% was quoted by some stakeholders) and that PHNs should not commission services that “compete” with </w:t>
      </w:r>
      <w:r w:rsidR="007600A3">
        <w:rPr>
          <w:color w:val="auto"/>
        </w:rPr>
        <w:t>existing</w:t>
      </w:r>
      <w:r w:rsidR="00D23DCB">
        <w:rPr>
          <w:color w:val="auto"/>
        </w:rPr>
        <w:t>, local</w:t>
      </w:r>
      <w:r w:rsidR="007600A3">
        <w:rPr>
          <w:color w:val="auto"/>
        </w:rPr>
        <w:t xml:space="preserve"> </w:t>
      </w:r>
      <w:r w:rsidRPr="006448DF">
        <w:rPr>
          <w:color w:val="auto"/>
        </w:rPr>
        <w:t xml:space="preserve">general practices. </w:t>
      </w:r>
    </w:p>
    <w:p w14:paraId="2B0D8102" w14:textId="77777777" w:rsidR="00A57B47" w:rsidRPr="006448DF" w:rsidRDefault="00A57B47" w:rsidP="001E39A0">
      <w:pPr>
        <w:spacing w:before="0" w:after="0"/>
        <w:rPr>
          <w:color w:val="3F4A75" w:themeColor="text2"/>
        </w:rPr>
      </w:pPr>
      <w:r w:rsidRPr="006448DF">
        <w:rPr>
          <w:color w:val="3F4A75" w:themeColor="text2"/>
        </w:rPr>
        <w:t>Primarily accountable to the Commonwealth</w:t>
      </w:r>
    </w:p>
    <w:p w14:paraId="3BD29239" w14:textId="050B6A4D" w:rsidR="00A57B47" w:rsidRPr="006448DF" w:rsidRDefault="00A57B47" w:rsidP="00A57B47">
      <w:pPr>
        <w:pStyle w:val="Body"/>
        <w:rPr>
          <w:color w:val="auto"/>
        </w:rPr>
      </w:pPr>
      <w:r w:rsidRPr="006448DF">
        <w:rPr>
          <w:color w:val="auto"/>
        </w:rPr>
        <w:t>Some stakeholders</w:t>
      </w:r>
      <w:r w:rsidRPr="006448DF" w:rsidDel="004807AE">
        <w:rPr>
          <w:color w:val="auto"/>
        </w:rPr>
        <w:t xml:space="preserve"> </w:t>
      </w:r>
      <w:r w:rsidR="004807AE">
        <w:rPr>
          <w:color w:val="auto"/>
        </w:rPr>
        <w:t>made clear</w:t>
      </w:r>
      <w:r w:rsidRPr="006448DF">
        <w:rPr>
          <w:color w:val="auto"/>
        </w:rPr>
        <w:t xml:space="preserve"> that PHNs should be primarily accountable to the Commonwealth as their majority funder. They believed PHNs were established to optimise Commonwealth programs and primary care investments, including by providing a locally based implementation and support service that balances national priorities. This view rests strongly on the observation that funding and direction comes overwhelmingly from the Commonwealth and was often expressed by state governments and stakeholders in the Department, as well as some PHNs. These stakeholders </w:t>
      </w:r>
      <w:r w:rsidR="004807AE">
        <w:rPr>
          <w:color w:val="auto"/>
        </w:rPr>
        <w:t>also</w:t>
      </w:r>
      <w:r w:rsidRPr="006448DF">
        <w:rPr>
          <w:color w:val="auto"/>
        </w:rPr>
        <w:t xml:space="preserve"> raised concerns about PHNs potentially being distracted by diversifying into other operations or lines of business.</w:t>
      </w:r>
    </w:p>
    <w:p w14:paraId="64B2C262" w14:textId="77777777" w:rsidR="00A57B47" w:rsidRPr="006448DF" w:rsidRDefault="00A57B47" w:rsidP="001E39A0">
      <w:pPr>
        <w:spacing w:before="0" w:after="0"/>
        <w:rPr>
          <w:color w:val="3F4A75" w:themeColor="text2"/>
        </w:rPr>
      </w:pPr>
      <w:r w:rsidRPr="006448DF">
        <w:rPr>
          <w:color w:val="3F4A75" w:themeColor="text2"/>
        </w:rPr>
        <w:t>Primarily accountable to themselves as self-governing entities</w:t>
      </w:r>
    </w:p>
    <w:p w14:paraId="38D820F7" w14:textId="1E64D448" w:rsidR="00A57B47" w:rsidRPr="006448DF" w:rsidRDefault="00A57B47" w:rsidP="00A57B47">
      <w:pPr>
        <w:pStyle w:val="Body"/>
        <w:rPr>
          <w:color w:val="auto"/>
        </w:rPr>
      </w:pPr>
      <w:r w:rsidRPr="006448DF">
        <w:rPr>
          <w:color w:val="auto"/>
        </w:rPr>
        <w:t xml:space="preserve">Some stakeholders </w:t>
      </w:r>
      <w:r w:rsidR="004807AE">
        <w:rPr>
          <w:color w:val="auto"/>
        </w:rPr>
        <w:t>indicated that</w:t>
      </w:r>
      <w:r w:rsidRPr="006448DF">
        <w:rPr>
          <w:color w:val="auto"/>
        </w:rPr>
        <w:t xml:space="preserve"> PHNs should act as independent agents with primary accountability to themselves. In doing so, they </w:t>
      </w:r>
      <w:r w:rsidR="00AE4BD6">
        <w:rPr>
          <w:color w:val="auto"/>
        </w:rPr>
        <w:t>w</w:t>
      </w:r>
      <w:r w:rsidRPr="006448DF">
        <w:rPr>
          <w:color w:val="auto"/>
        </w:rPr>
        <w:t xml:space="preserve">ould access diverse funding sources to broker, commission or advocate for solutions​ as they see appropriate for their local community. This view was put forward by </w:t>
      </w:r>
      <w:r w:rsidR="00546997">
        <w:rPr>
          <w:color w:val="auto"/>
        </w:rPr>
        <w:t xml:space="preserve">multiple </w:t>
      </w:r>
      <w:r w:rsidRPr="006448DF">
        <w:rPr>
          <w:color w:val="auto"/>
        </w:rPr>
        <w:t xml:space="preserve">PHNs, arguing that by design they were established as self-governing entities independent of Government. In this view, the Commonwealth is one stakeholder among several that PHNs manage. </w:t>
      </w:r>
    </w:p>
    <w:p w14:paraId="18405A8B" w14:textId="77777777" w:rsidR="00A57B47" w:rsidRPr="006448DF" w:rsidRDefault="00A57B47" w:rsidP="00A57B47">
      <w:pPr>
        <w:pStyle w:val="Body"/>
        <w:rPr>
          <w:color w:val="auto"/>
        </w:rPr>
      </w:pPr>
      <w:r w:rsidRPr="006448DF">
        <w:rPr>
          <w:color w:val="auto"/>
        </w:rPr>
        <w:t xml:space="preserve">In interviews and written submissions, some stakeholders also sought greater clarity on the activities that PHNs should and should not undertake. Some also requested greater promotion of a consistent role and purpose of PHNs to governments and peak bodies. Clarifying the accountability of PHNs will help the PHN Program align the expectations of stakeholders across the health care system. This clarity will also be instrumental in resolving tensions across governance, engagement and funding.​ </w:t>
      </w:r>
    </w:p>
    <w:p w14:paraId="70A7A684" w14:textId="77777777" w:rsidR="00A57B47" w:rsidRPr="006448DF" w:rsidRDefault="00A57B47" w:rsidP="001E39A0">
      <w:pPr>
        <w:pStyle w:val="Heading4"/>
        <w:spacing w:line="276" w:lineRule="auto"/>
        <w:rPr>
          <w:lang w:val="en-AU"/>
        </w:rPr>
      </w:pPr>
      <w:r w:rsidRPr="006448DF">
        <w:rPr>
          <w:lang w:val="en-AU"/>
        </w:rPr>
        <w:t>1.2 Variable PHN governance and engagement</w:t>
      </w:r>
    </w:p>
    <w:p w14:paraId="6AAC04B2" w14:textId="4BF36B2B" w:rsidR="00A57B47" w:rsidRPr="006448DF" w:rsidRDefault="00A57B47" w:rsidP="001E39A0">
      <w:pPr>
        <w:spacing w:before="0" w:after="0"/>
        <w:rPr>
          <w:color w:val="3F4A75" w:themeColor="text2"/>
        </w:rPr>
      </w:pPr>
      <w:r w:rsidRPr="006448DF">
        <w:rPr>
          <w:color w:val="3F4A75" w:themeColor="text2"/>
        </w:rPr>
        <w:t xml:space="preserve">Governance </w:t>
      </w:r>
      <w:r w:rsidR="0090656A" w:rsidRPr="006448DF">
        <w:rPr>
          <w:color w:val="3F4A75" w:themeColor="text2"/>
        </w:rPr>
        <w:t>t</w:t>
      </w:r>
      <w:r w:rsidRPr="006448DF">
        <w:rPr>
          <w:color w:val="3F4A75" w:themeColor="text2"/>
        </w:rPr>
        <w:t>ensions</w:t>
      </w:r>
    </w:p>
    <w:p w14:paraId="643D0C56" w14:textId="1D308D9F" w:rsidR="00A57B47" w:rsidRPr="006448DF" w:rsidRDefault="00A57B47" w:rsidP="00A57B47">
      <w:pPr>
        <w:pStyle w:val="Body"/>
        <w:rPr>
          <w:color w:val="auto"/>
        </w:rPr>
      </w:pPr>
      <w:r w:rsidRPr="006448DF">
        <w:rPr>
          <w:color w:val="auto"/>
        </w:rPr>
        <w:t xml:space="preserve">When the Australian Government selected 29 PHN Operators in a competitive process in 2015 to operate 31 PHNs, each PHN Operator was required to be established as a not-for-profit (NFP) organisation. As self-governing NFP organisations, PHNs must meet the </w:t>
      </w:r>
      <w:r w:rsidRPr="006448DF">
        <w:rPr>
          <w:color w:val="auto"/>
        </w:rPr>
        <w:lastRenderedPageBreak/>
        <w:t>governance standards set by the ACNC.</w:t>
      </w:r>
      <w:r w:rsidR="0090656A" w:rsidRPr="006448DF">
        <w:rPr>
          <w:color w:val="auto"/>
        </w:rPr>
        <w:t xml:space="preserve"> </w:t>
      </w:r>
      <w:r w:rsidRPr="006448DF">
        <w:rPr>
          <w:color w:val="auto"/>
        </w:rPr>
        <w:t>Given the flexibility of these standards, governance practices vary significantly across the 29 PHN Operators, with differences in board composition, selection processes, membership structures, Conflict of Interest (</w:t>
      </w:r>
      <w:proofErr w:type="spellStart"/>
      <w:r w:rsidRPr="006448DF">
        <w:rPr>
          <w:color w:val="auto"/>
        </w:rPr>
        <w:t>CoI</w:t>
      </w:r>
      <w:proofErr w:type="spellEnd"/>
      <w:r w:rsidRPr="006448DF">
        <w:rPr>
          <w:color w:val="auto"/>
        </w:rPr>
        <w:t xml:space="preserve">) practices and transparency with local stakeholders. </w:t>
      </w:r>
    </w:p>
    <w:p w14:paraId="150F19C2" w14:textId="0045164A" w:rsidR="00A57B47" w:rsidRPr="006448DF" w:rsidRDefault="00A57B47" w:rsidP="00A57B47">
      <w:pPr>
        <w:pStyle w:val="Body"/>
        <w:numPr>
          <w:ilvl w:val="0"/>
          <w:numId w:val="53"/>
        </w:numPr>
        <w:rPr>
          <w:color w:val="auto"/>
        </w:rPr>
      </w:pPr>
      <w:r w:rsidRPr="006448DF">
        <w:rPr>
          <w:b/>
          <w:color w:val="auto"/>
        </w:rPr>
        <w:t>Board membership, selection and membership</w:t>
      </w:r>
      <w:r w:rsidRPr="006448DF">
        <w:rPr>
          <w:color w:val="auto"/>
        </w:rPr>
        <w:t xml:space="preserve">: There are no common standards for Board membership, tenure limits or broader membership structures. For example, across PHN Operators, health care practitioners comprise between 20% to 80% of board members, and GPs between 0% and 44%. The average tenure of PHN board members varies from 2.2 to 7.7 years, with 45% of Boards having members with tenure over nine years. PHNs also had differing specifications on whether members must be organisations or individuals, with membership numbers ranging from three to 1,800. </w:t>
      </w:r>
    </w:p>
    <w:p w14:paraId="04587862" w14:textId="219FDBF4" w:rsidR="00A57B47" w:rsidRPr="00E90DC6" w:rsidRDefault="00A57B47" w:rsidP="00ED11FC">
      <w:pPr>
        <w:pStyle w:val="Exhibit"/>
      </w:pPr>
      <w:r>
        <w:t xml:space="preserve">Exhibit </w:t>
      </w:r>
      <w:r w:rsidR="005B1842">
        <w:t>3</w:t>
      </w:r>
      <w:r>
        <w:t xml:space="preserve">: </w:t>
      </w:r>
      <w:r w:rsidRPr="00E90DC6">
        <w:t>45% of PHN Boards have members with over 9 years' tenure​</w:t>
      </w:r>
    </w:p>
    <w:p w14:paraId="510EF2D6" w14:textId="77777777" w:rsidR="00A57B47" w:rsidRPr="006448DF" w:rsidRDefault="00A57B47" w:rsidP="00A57B47">
      <w:pPr>
        <w:pStyle w:val="Body"/>
        <w:jc w:val="center"/>
        <w:rPr>
          <w:color w:val="auto"/>
        </w:rPr>
      </w:pPr>
      <w:r w:rsidRPr="006448DF">
        <w:rPr>
          <w:noProof/>
          <w:color w:val="auto"/>
        </w:rPr>
        <w:drawing>
          <wp:inline distT="0" distB="0" distL="0" distR="0" wp14:anchorId="4A1C30DD" wp14:editId="01EE79C3">
            <wp:extent cx="5069554" cy="2070165"/>
            <wp:effectExtent l="0" t="0" r="0" b="0"/>
            <wp:docPr id="1354958417" name="Picture 1" descr="Bar chart showing board member tenure across 31 PHNs. Bars are color-coded by tenure length: &lt;3, 3–5, 6–9, &gt;9 years, and uncategorized. Average tenure per PHN is labeled above each bar. Tenure ranges from 2.2 to 7.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58417" name="Picture 1" descr="Bar chart showing board member tenure across 31 PHNs. Bars are color-coded by tenure length: &lt;3, 3–5, 6–9, &gt;9 years, and uncategorized. Average tenure per PHN is labeled above each bar. Tenure ranges from 2.2 to 7.7 years."/>
                    <pic:cNvPicPr/>
                  </pic:nvPicPr>
                  <pic:blipFill rotWithShape="1">
                    <a:blip r:embed="rId19"/>
                    <a:srcRect b="9643"/>
                    <a:stretch>
                      <a:fillRect/>
                    </a:stretch>
                  </pic:blipFill>
                  <pic:spPr bwMode="auto">
                    <a:xfrm>
                      <a:off x="0" y="0"/>
                      <a:ext cx="5148128" cy="2102251"/>
                    </a:xfrm>
                    <a:prstGeom prst="rect">
                      <a:avLst/>
                    </a:prstGeom>
                    <a:ln>
                      <a:noFill/>
                    </a:ln>
                    <a:extLst>
                      <a:ext uri="{53640926-AAD7-44D8-BBD7-CCE9431645EC}">
                        <a14:shadowObscured xmlns:a14="http://schemas.microsoft.com/office/drawing/2010/main"/>
                      </a:ext>
                    </a:extLst>
                  </pic:spPr>
                </pic:pic>
              </a:graphicData>
            </a:graphic>
          </wp:inline>
        </w:drawing>
      </w:r>
    </w:p>
    <w:p w14:paraId="4586CE2A" w14:textId="77777777" w:rsidR="00A57B47" w:rsidRPr="006448DF" w:rsidRDefault="00A57B47" w:rsidP="00A57B47">
      <w:pPr>
        <w:pStyle w:val="Quote"/>
        <w:rPr>
          <w:lang w:val="en-AU"/>
        </w:rPr>
      </w:pPr>
      <w:r w:rsidRPr="006448DF">
        <w:rPr>
          <w:lang w:val="en-AU"/>
        </w:rPr>
        <w:t xml:space="preserve">Source: Public websites of PHNs; LinkedIn; Data accurate as </w:t>
      </w:r>
      <w:proofErr w:type="gramStart"/>
      <w:r w:rsidRPr="006448DF">
        <w:rPr>
          <w:lang w:val="en-AU"/>
        </w:rPr>
        <w:t>at</w:t>
      </w:r>
      <w:proofErr w:type="gramEnd"/>
      <w:r w:rsidRPr="006448DF">
        <w:rPr>
          <w:lang w:val="en-AU"/>
        </w:rPr>
        <w:t xml:space="preserve"> November 2024</w:t>
      </w:r>
    </w:p>
    <w:p w14:paraId="4BCC3188" w14:textId="0CC5F54A" w:rsidR="00A54276" w:rsidRPr="00A54276" w:rsidRDefault="00EE1D1E" w:rsidP="00ED11FC">
      <w:pPr>
        <w:pStyle w:val="Exhibit"/>
      </w:pPr>
      <w:r>
        <w:br/>
      </w:r>
      <w:r w:rsidR="00A57B47">
        <w:t xml:space="preserve">Exhibit </w:t>
      </w:r>
      <w:r w:rsidR="005B1842">
        <w:t>4</w:t>
      </w:r>
      <w:r w:rsidR="00A57B47">
        <w:t xml:space="preserve">: </w:t>
      </w:r>
      <w:r w:rsidR="00A57B47" w:rsidRPr="00B60B0D">
        <w:t>PHN membership models vary significantly across different PHNs, with membership numbers varying between 3 and 1,800+</w:t>
      </w:r>
    </w:p>
    <w:p w14:paraId="48753A1F" w14:textId="6AB5E0D4" w:rsidR="00A54276" w:rsidRPr="006448DF" w:rsidRDefault="00A57B47" w:rsidP="001E662D">
      <w:pPr>
        <w:pStyle w:val="Quote"/>
        <w:jc w:val="center"/>
        <w:rPr>
          <w:lang w:val="en-AU"/>
        </w:rPr>
      </w:pPr>
      <w:r w:rsidRPr="006448DF">
        <w:rPr>
          <w:noProof/>
          <w:lang w:val="en-AU"/>
        </w:rPr>
        <w:drawing>
          <wp:inline distT="0" distB="0" distL="0" distR="0" wp14:anchorId="1D9C3FFF" wp14:editId="0E7422BC">
            <wp:extent cx="2830286" cy="2161629"/>
            <wp:effectExtent l="0" t="0" r="1905" b="0"/>
            <wp:docPr id="1138310355" name="Picture 1" descr="Chart titled &quot;Openness of PHN membership&quot; comparing five PHNs. Membership ranges from 3 to ~1,800 members. PHNs 1–2 are highly restrictive; PHNs 4–5 are open to broader participation, with PHN 5 open to anyone in primary health care in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10355" name="Picture 1" descr="Chart titled &quot;Openness of PHN membership&quot; comparing five PHNs. Membership ranges from 3 to ~1,800 members. PHNs 1–2 are highly restrictive; PHNs 4–5 are open to broader participation, with PHN 5 open to anyone in primary health care in the region."/>
                    <pic:cNvPicPr/>
                  </pic:nvPicPr>
                  <pic:blipFill rotWithShape="1">
                    <a:blip r:embed="rId20" cstate="print">
                      <a:extLst>
                        <a:ext uri="{28A0092B-C50C-407E-A947-70E740481C1C}">
                          <a14:useLocalDpi xmlns:a14="http://schemas.microsoft.com/office/drawing/2010/main" val="0"/>
                        </a:ext>
                      </a:extLst>
                    </a:blip>
                    <a:srcRect b="3574"/>
                    <a:stretch>
                      <a:fillRect/>
                    </a:stretch>
                  </pic:blipFill>
                  <pic:spPr bwMode="auto">
                    <a:xfrm>
                      <a:off x="0" y="0"/>
                      <a:ext cx="2853660" cy="2179481"/>
                    </a:xfrm>
                    <a:prstGeom prst="rect">
                      <a:avLst/>
                    </a:prstGeom>
                    <a:ln>
                      <a:noFill/>
                    </a:ln>
                    <a:extLst>
                      <a:ext uri="{53640926-AAD7-44D8-BBD7-CCE9431645EC}">
                        <a14:shadowObscured xmlns:a14="http://schemas.microsoft.com/office/drawing/2010/main"/>
                      </a:ext>
                    </a:extLst>
                  </pic:spPr>
                </pic:pic>
              </a:graphicData>
            </a:graphic>
          </wp:inline>
        </w:drawing>
      </w:r>
    </w:p>
    <w:p w14:paraId="46C83F77" w14:textId="77777777" w:rsidR="0040701D" w:rsidRPr="006448DF" w:rsidRDefault="00A57B47" w:rsidP="00F04091">
      <w:pPr>
        <w:pStyle w:val="Quote"/>
        <w:rPr>
          <w:lang w:val="en-AU"/>
        </w:rPr>
      </w:pPr>
      <w:r w:rsidRPr="006448DF">
        <w:rPr>
          <w:lang w:val="en-AU"/>
        </w:rPr>
        <w:t>Source: PHN websites, stakeholder interviews</w:t>
      </w:r>
    </w:p>
    <w:p w14:paraId="0ED6BF91" w14:textId="77777777" w:rsidR="00A54276" w:rsidRPr="006448DF" w:rsidRDefault="00A54276" w:rsidP="00ED11FC">
      <w:pPr>
        <w:pStyle w:val="Quote"/>
        <w:rPr>
          <w:lang w:val="en-AU"/>
        </w:rPr>
      </w:pPr>
    </w:p>
    <w:p w14:paraId="084456D1" w14:textId="7A3C2C7A" w:rsidR="00A57B47" w:rsidRPr="006448DF" w:rsidRDefault="00A57B47" w:rsidP="00A57B47">
      <w:pPr>
        <w:pStyle w:val="Body"/>
        <w:numPr>
          <w:ilvl w:val="0"/>
          <w:numId w:val="53"/>
        </w:numPr>
        <w:rPr>
          <w:rFonts w:eastAsiaTheme="minorEastAsia"/>
        </w:rPr>
      </w:pPr>
      <w:r w:rsidRPr="006448DF">
        <w:rPr>
          <w:b/>
        </w:rPr>
        <w:lastRenderedPageBreak/>
        <w:t>Conflict</w:t>
      </w:r>
      <w:r w:rsidR="0090656A" w:rsidRPr="006448DF">
        <w:rPr>
          <w:b/>
        </w:rPr>
        <w:t>s</w:t>
      </w:r>
      <w:r w:rsidRPr="006448DF">
        <w:rPr>
          <w:b/>
        </w:rPr>
        <w:t xml:space="preserve"> of Interest</w:t>
      </w:r>
      <w:r w:rsidRPr="006448DF">
        <w:t xml:space="preserve">: </w:t>
      </w:r>
      <w:r w:rsidR="0090656A" w:rsidRPr="006448DF">
        <w:t>COIs</w:t>
      </w:r>
      <w:r w:rsidRPr="006448DF">
        <w:t xml:space="preserve"> were raised by many service providers</w:t>
      </w:r>
      <w:r w:rsidRPr="006448DF" w:rsidDel="008A06FC">
        <w:t xml:space="preserve"> who </w:t>
      </w:r>
      <w:r w:rsidRPr="006448DF">
        <w:t>perceived either risk or occurrences of conflicts, especially as many PHN Board members work locally in primary health care. Rece</w:t>
      </w:r>
      <w:r w:rsidR="00A54276" w:rsidRPr="006448DF">
        <w:t>n</w:t>
      </w:r>
      <w:r w:rsidRPr="006448DF">
        <w:t>t independent audits of 9 PHNs</w:t>
      </w:r>
      <w:r w:rsidR="007D0F94" w:rsidRPr="006448DF">
        <w:rPr>
          <w:rStyle w:val="FootnoteReference"/>
        </w:rPr>
        <w:footnoteReference w:id="8"/>
      </w:r>
      <w:r w:rsidRPr="006448DF">
        <w:t xml:space="preserve"> recommended stronger COI training, reinforced timelines for notifying the Department of COIs, and consistent use of COI tools such as registers for PHNs.</w:t>
      </w:r>
    </w:p>
    <w:p w14:paraId="40C33C35" w14:textId="007CC104" w:rsidR="00A57B47" w:rsidRPr="006448DF" w:rsidRDefault="00A57B47" w:rsidP="00A57B47">
      <w:pPr>
        <w:pStyle w:val="Body"/>
        <w:numPr>
          <w:ilvl w:val="0"/>
          <w:numId w:val="53"/>
        </w:numPr>
        <w:rPr>
          <w:color w:val="358189" w:themeColor="accent2"/>
        </w:rPr>
      </w:pPr>
      <w:r w:rsidRPr="006448DF">
        <w:rPr>
          <w:b/>
          <w:color w:val="auto"/>
        </w:rPr>
        <w:t>Transparency</w:t>
      </w:r>
      <w:r w:rsidRPr="006448DF">
        <w:rPr>
          <w:color w:val="auto"/>
        </w:rPr>
        <w:t>: Many stakeholders raised concerns regarding transparency of PHN decision-making especially funding outcomes, with many stakeholders commenting that contract awards are not consistently published.</w:t>
      </w:r>
    </w:p>
    <w:p w14:paraId="1CE9A482" w14:textId="77777777" w:rsidR="00A57B47" w:rsidRPr="006448DF" w:rsidRDefault="00A57B47" w:rsidP="00A57B47">
      <w:pPr>
        <w:pStyle w:val="Body"/>
        <w:rPr>
          <w:color w:val="auto"/>
        </w:rPr>
      </w:pPr>
      <w:r w:rsidRPr="006448DF">
        <w:rPr>
          <w:color w:val="auto"/>
        </w:rPr>
        <w:t>Stakeholder feedback highlights a clear tension between the model of self-governing PHN Operators, and stakeholder expectations for consistently high governance within organisations that manage significant public funds. Resolving this tension will be important to maintain trust among stakeholders and support the effective delivery of PHN activity.</w:t>
      </w:r>
    </w:p>
    <w:p w14:paraId="4A58CE3E" w14:textId="71832FB1" w:rsidR="00A57B47" w:rsidRPr="006448DF" w:rsidRDefault="00A57B47" w:rsidP="001E39A0">
      <w:pPr>
        <w:spacing w:before="0" w:after="0"/>
        <w:rPr>
          <w:color w:val="3F4A75" w:themeColor="text2"/>
        </w:rPr>
      </w:pPr>
      <w:r w:rsidRPr="006448DF">
        <w:rPr>
          <w:color w:val="3F4A75" w:themeColor="text2"/>
        </w:rPr>
        <w:t xml:space="preserve">Engagement </w:t>
      </w:r>
      <w:r w:rsidR="0090656A" w:rsidRPr="006448DF">
        <w:rPr>
          <w:color w:val="3F4A75" w:themeColor="text2"/>
        </w:rPr>
        <w:t>t</w:t>
      </w:r>
      <w:r w:rsidRPr="006448DF">
        <w:rPr>
          <w:color w:val="3F4A75" w:themeColor="text2"/>
        </w:rPr>
        <w:t>ensions</w:t>
      </w:r>
    </w:p>
    <w:p w14:paraId="4BECF125" w14:textId="63B7E164" w:rsidR="00A57B47" w:rsidRPr="006448DF" w:rsidRDefault="00A57B47" w:rsidP="00A57B47">
      <w:pPr>
        <w:pStyle w:val="Body"/>
        <w:rPr>
          <w:rFonts w:eastAsiaTheme="minorEastAsia"/>
          <w:color w:val="auto"/>
        </w:rPr>
      </w:pPr>
      <w:r w:rsidRPr="006448DF">
        <w:rPr>
          <w:rFonts w:eastAsiaTheme="minorEastAsia"/>
          <w:color w:val="auto"/>
        </w:rPr>
        <w:t xml:space="preserve">PHNs engage with a broad range of stakeholders – including local GPs and general practices, LHNs, ACCHOs and other local providers – to understand local needs, design and commission local solutions, improve connections and build capacity. </w:t>
      </w:r>
    </w:p>
    <w:p w14:paraId="5BEC035D" w14:textId="7ABD378C" w:rsidR="00A57B47" w:rsidRPr="006448DF" w:rsidRDefault="00A57B47" w:rsidP="00A57B47">
      <w:pPr>
        <w:pStyle w:val="Body"/>
        <w:rPr>
          <w:rFonts w:eastAsiaTheme="minorEastAsia"/>
          <w:color w:val="auto"/>
        </w:rPr>
      </w:pPr>
      <w:r w:rsidRPr="006448DF">
        <w:rPr>
          <w:rFonts w:eastAsiaTheme="minorEastAsia"/>
          <w:color w:val="auto"/>
        </w:rPr>
        <w:t xml:space="preserve">Engaging a broad range of stakeholders can be challenging. For many stakeholders, PHN programs represent only a small share of their activity and focus, creating </w:t>
      </w:r>
      <w:r w:rsidR="00522475">
        <w:rPr>
          <w:rFonts w:eastAsiaTheme="minorEastAsia"/>
          <w:color w:val="auto"/>
        </w:rPr>
        <w:t xml:space="preserve">engagement </w:t>
      </w:r>
      <w:r w:rsidRPr="006448DF">
        <w:rPr>
          <w:rFonts w:eastAsiaTheme="minorEastAsia"/>
          <w:color w:val="auto"/>
        </w:rPr>
        <w:t xml:space="preserve">challenges for stakeholders and the PHNs alike. PHNs use a range of formal and informal approaches for engagement, including locally tailored channels. Many PHNs reported that their engagement with LHNs was effective. PHNs also reported challenges </w:t>
      </w:r>
      <w:r w:rsidR="00E04257">
        <w:rPr>
          <w:rFonts w:eastAsiaTheme="minorEastAsia"/>
          <w:color w:val="auto"/>
        </w:rPr>
        <w:t>engaging with</w:t>
      </w:r>
      <w:r w:rsidRPr="006448DF">
        <w:rPr>
          <w:rFonts w:eastAsiaTheme="minorEastAsia"/>
          <w:color w:val="auto"/>
        </w:rPr>
        <w:t xml:space="preserve"> local general practices and g</w:t>
      </w:r>
      <w:r w:rsidRPr="006448DF" w:rsidDel="008A5B4B">
        <w:rPr>
          <w:rFonts w:eastAsiaTheme="minorEastAsia"/>
          <w:color w:val="auto"/>
        </w:rPr>
        <w:t>eneral</w:t>
      </w:r>
      <w:r w:rsidRPr="006448DF">
        <w:rPr>
          <w:rFonts w:eastAsiaTheme="minorEastAsia"/>
          <w:color w:val="auto"/>
        </w:rPr>
        <w:t xml:space="preserve"> practitioners, especially non-practice owning GPs. </w:t>
      </w:r>
    </w:p>
    <w:p w14:paraId="77DE450F" w14:textId="77777777" w:rsidR="00A57B47" w:rsidRPr="006448DF" w:rsidRDefault="00A57B47" w:rsidP="00A57B47">
      <w:pPr>
        <w:pStyle w:val="Body"/>
        <w:rPr>
          <w:rFonts w:eastAsiaTheme="minorEastAsia"/>
          <w:color w:val="auto"/>
        </w:rPr>
      </w:pPr>
      <w:r w:rsidRPr="006448DF">
        <w:rPr>
          <w:rFonts w:eastAsiaTheme="minorEastAsia"/>
          <w:color w:val="auto"/>
        </w:rPr>
        <w:t>Stakeholders broadly agreed that many aspects of local engagement work well, such as PHN advisory committees, LHN engagement and service delivery boundary alignment. However, some stakeholders were concerned about the effectiveness of this engagement. Some expected engagement to translate to more accountability to local stakeholders, especially to general practices. Some stakeholders, especially those who engage with more than one PHN, were concerned by the variation in how PHNs engage with stakeholders and the implications this has for effective and scalable engagement. These concerns were consistent with the divergent perspectives stakeholders raised on the primary accountability of PHNs. In particular:</w:t>
      </w:r>
    </w:p>
    <w:p w14:paraId="250C43FE" w14:textId="25AC74AF" w:rsidR="00A57B47" w:rsidRPr="006448DF" w:rsidRDefault="00A57B47" w:rsidP="001E39A0">
      <w:pPr>
        <w:pStyle w:val="Bullet1"/>
        <w:spacing w:line="276" w:lineRule="auto"/>
        <w:rPr>
          <w:rFonts w:eastAsiaTheme="minorEastAsia"/>
        </w:rPr>
      </w:pPr>
      <w:r w:rsidRPr="006448DF">
        <w:rPr>
          <w:rFonts w:eastAsiaTheme="minorEastAsia"/>
        </w:rPr>
        <w:t xml:space="preserve">GPs reported highly variable experiences when engaging with PHNs. Half of GPs reported low effectiveness of engagement in the review survey. For many GPs, </w:t>
      </w:r>
      <w:r w:rsidR="00A71F50">
        <w:rPr>
          <w:rFonts w:eastAsiaTheme="minorEastAsia"/>
        </w:rPr>
        <w:t xml:space="preserve">the underlying </w:t>
      </w:r>
      <w:r w:rsidRPr="006448DF">
        <w:rPr>
          <w:rFonts w:eastAsiaTheme="minorEastAsia"/>
        </w:rPr>
        <w:t>drivers reflected factors in the design of the PHN Program, such as short funding cycles and inflexibility of PHN funding. GPs also noted practices of the Department and PHNs that had an impact on trust, such as transparency on decision-</w:t>
      </w:r>
      <w:r w:rsidRPr="006448DF">
        <w:rPr>
          <w:rFonts w:eastAsiaTheme="minorEastAsia"/>
        </w:rPr>
        <w:lastRenderedPageBreak/>
        <w:t>making and COI practices. PHNs</w:t>
      </w:r>
      <w:r w:rsidR="00A71F50">
        <w:rPr>
          <w:rFonts w:eastAsiaTheme="minorEastAsia"/>
        </w:rPr>
        <w:t xml:space="preserve"> however reported that</w:t>
      </w:r>
      <w:r w:rsidR="006538BE">
        <w:rPr>
          <w:rFonts w:eastAsiaTheme="minorEastAsia"/>
        </w:rPr>
        <w:t xml:space="preserve"> at the same time,</w:t>
      </w:r>
      <w:r w:rsidR="00A71F50">
        <w:rPr>
          <w:rFonts w:eastAsiaTheme="minorEastAsia"/>
        </w:rPr>
        <w:t xml:space="preserve"> they often </w:t>
      </w:r>
      <w:r w:rsidR="006E5049">
        <w:rPr>
          <w:rFonts w:eastAsiaTheme="minorEastAsia"/>
        </w:rPr>
        <w:t>have low responsiveness from GPs when conducting outreach efforts and</w:t>
      </w:r>
      <w:r w:rsidRPr="006448DF" w:rsidDel="006E5049">
        <w:rPr>
          <w:rFonts w:eastAsiaTheme="minorEastAsia"/>
        </w:rPr>
        <w:t xml:space="preserve"> </w:t>
      </w:r>
      <w:r w:rsidRPr="006448DF">
        <w:rPr>
          <w:rFonts w:eastAsiaTheme="minorEastAsia"/>
        </w:rPr>
        <w:t xml:space="preserve">that they often had better engagement with GP practice </w:t>
      </w:r>
      <w:r w:rsidR="006E5049">
        <w:rPr>
          <w:rFonts w:eastAsiaTheme="minorEastAsia"/>
        </w:rPr>
        <w:t>owners</w:t>
      </w:r>
      <w:r w:rsidR="006E5049" w:rsidRPr="006448DF">
        <w:rPr>
          <w:rFonts w:eastAsiaTheme="minorEastAsia"/>
        </w:rPr>
        <w:t xml:space="preserve"> </w:t>
      </w:r>
      <w:r w:rsidR="006E5049">
        <w:rPr>
          <w:rFonts w:eastAsiaTheme="minorEastAsia"/>
        </w:rPr>
        <w:t xml:space="preserve">and </w:t>
      </w:r>
      <w:r w:rsidRPr="006448DF">
        <w:rPr>
          <w:rFonts w:eastAsiaTheme="minorEastAsia"/>
        </w:rPr>
        <w:t>managers</w:t>
      </w:r>
      <w:r w:rsidR="006538BE">
        <w:rPr>
          <w:rFonts w:eastAsiaTheme="minorEastAsia"/>
        </w:rPr>
        <w:t xml:space="preserve">, but </w:t>
      </w:r>
      <w:r w:rsidR="00F43AB0" w:rsidRPr="006448DF">
        <w:rPr>
          <w:rFonts w:eastAsiaTheme="minorEastAsia"/>
        </w:rPr>
        <w:t xml:space="preserve">non-practice owning </w:t>
      </w:r>
      <w:r w:rsidR="006538BE">
        <w:rPr>
          <w:rFonts w:eastAsiaTheme="minorEastAsia"/>
        </w:rPr>
        <w:t>GPs were hard to engage.</w:t>
      </w:r>
      <w:r w:rsidRPr="006448DF" w:rsidDel="006538BE">
        <w:rPr>
          <w:rFonts w:eastAsiaTheme="minorEastAsia"/>
        </w:rPr>
        <w:t xml:space="preserve"> </w:t>
      </w:r>
    </w:p>
    <w:p w14:paraId="7860A53C" w14:textId="77777777" w:rsidR="00A57B47" w:rsidRPr="006448DF" w:rsidRDefault="00A57B47" w:rsidP="001E39A0">
      <w:pPr>
        <w:pStyle w:val="Bullet1"/>
        <w:spacing w:line="276" w:lineRule="auto"/>
        <w:rPr>
          <w:rFonts w:eastAsiaTheme="minorEastAsia"/>
        </w:rPr>
      </w:pPr>
      <w:r w:rsidRPr="006448DF">
        <w:rPr>
          <w:rFonts w:eastAsiaTheme="minorEastAsia"/>
        </w:rPr>
        <w:t xml:space="preserve">State stakeholders reported that engaging with PHNs is critical for delivering local health </w:t>
      </w:r>
      <w:proofErr w:type="gramStart"/>
      <w:r w:rsidRPr="006448DF">
        <w:rPr>
          <w:rFonts w:eastAsiaTheme="minorEastAsia"/>
        </w:rPr>
        <w:t>services</w:t>
      </w:r>
      <w:proofErr w:type="gramEnd"/>
      <w:r w:rsidRPr="006448DF">
        <w:rPr>
          <w:rFonts w:eastAsiaTheme="minorEastAsia"/>
        </w:rPr>
        <w:t xml:space="preserve"> but it can be challenging when different PHNs within the same state use very different governance mechanisms and consultation practices. Stakeholders noted that this makes it difficult to coordinate state-wide priorities with PHNs.</w:t>
      </w:r>
    </w:p>
    <w:p w14:paraId="62991E58" w14:textId="77777777" w:rsidR="00A57B47" w:rsidRPr="006448DF" w:rsidRDefault="00A57B47" w:rsidP="001E39A0">
      <w:pPr>
        <w:pStyle w:val="Bullet1"/>
        <w:spacing w:line="276" w:lineRule="auto"/>
        <w:rPr>
          <w:rFonts w:eastAsiaTheme="minorEastAsia"/>
        </w:rPr>
      </w:pPr>
      <w:r w:rsidRPr="006448DF">
        <w:rPr>
          <w:rFonts w:eastAsiaTheme="minorEastAsia"/>
        </w:rPr>
        <w:t>National providers, especially those operating in the mental health system, reported significant variation in the commissioning and reporting requirements when working with different PHNs, and the large work effort that this generates when bidding for and providing services across multiple PHNs.</w:t>
      </w:r>
    </w:p>
    <w:p w14:paraId="2CBBB868" w14:textId="03497D88" w:rsidR="00A57B47" w:rsidRPr="006448DF" w:rsidRDefault="00A57B47" w:rsidP="001E39A0">
      <w:pPr>
        <w:pStyle w:val="Bullet1"/>
        <w:spacing w:line="276" w:lineRule="auto"/>
        <w:rPr>
          <w:rFonts w:eastAsiaTheme="minorEastAsia"/>
        </w:rPr>
      </w:pPr>
      <w:r w:rsidRPr="006448DF">
        <w:rPr>
          <w:rFonts w:eastAsiaTheme="minorEastAsia"/>
        </w:rPr>
        <w:t>Some ACCHOs reported positive relationships with their PHN; however, many reported concerns that communication and engagement with ACCHOs is not done in a culturally safe and responsive manner and is not genuinely collaborative.</w:t>
      </w:r>
      <w:r w:rsidR="00815111" w:rsidRPr="006448DF">
        <w:rPr>
          <w:rFonts w:eastAsiaTheme="minorEastAsia"/>
        </w:rPr>
        <w:br/>
      </w:r>
    </w:p>
    <w:p w14:paraId="284BB1AC" w14:textId="77777777" w:rsidR="00A57B47" w:rsidRPr="006448DF" w:rsidRDefault="00A57B47" w:rsidP="001E39A0">
      <w:pPr>
        <w:pStyle w:val="Heading4"/>
        <w:spacing w:line="276" w:lineRule="auto"/>
        <w:rPr>
          <w:lang w:val="en-AU"/>
        </w:rPr>
      </w:pPr>
      <w:r w:rsidRPr="006448DF">
        <w:rPr>
          <w:lang w:val="en-AU"/>
        </w:rPr>
        <w:t>1.3</w:t>
      </w:r>
      <w:r w:rsidRPr="006448DF" w:rsidDel="0049557A">
        <w:rPr>
          <w:lang w:val="en-AU"/>
        </w:rPr>
        <w:t xml:space="preserve"> </w:t>
      </w:r>
      <w:r w:rsidRPr="006448DF">
        <w:rPr>
          <w:lang w:val="en-AU"/>
        </w:rPr>
        <w:t>Ineffective performance measurement and management (program governance)</w:t>
      </w:r>
    </w:p>
    <w:p w14:paraId="272E0337" w14:textId="79B9A752" w:rsidR="00A57B47" w:rsidRPr="006448DF" w:rsidRDefault="00A57B47" w:rsidP="00A57B47">
      <w:pPr>
        <w:pStyle w:val="Body"/>
        <w:rPr>
          <w:color w:val="auto"/>
        </w:rPr>
      </w:pPr>
      <w:r w:rsidRPr="006448DF">
        <w:rPr>
          <w:color w:val="auto"/>
        </w:rPr>
        <w:t xml:space="preserve">The overall governance of the PHN Program remains the same as when it was set up in 2015. The </w:t>
      </w:r>
      <w:r w:rsidR="008C2971">
        <w:rPr>
          <w:color w:val="auto"/>
        </w:rPr>
        <w:t>PHN Branch</w:t>
      </w:r>
      <w:r w:rsidRPr="006448DF">
        <w:rPr>
          <w:color w:val="auto"/>
        </w:rPr>
        <w:t xml:space="preserve"> is responsible for overall program governance</w:t>
      </w:r>
      <w:r w:rsidR="00911E1A">
        <w:rPr>
          <w:color w:val="auto"/>
        </w:rPr>
        <w:t>,</w:t>
      </w:r>
      <w:r w:rsidRPr="006448DF">
        <w:rPr>
          <w:color w:val="auto"/>
        </w:rPr>
        <w:t xml:space="preserve"> performance management of each PHN </w:t>
      </w:r>
      <w:r w:rsidR="00921ADA">
        <w:rPr>
          <w:color w:val="auto"/>
        </w:rPr>
        <w:t>and</w:t>
      </w:r>
      <w:r w:rsidR="00CC19CC" w:rsidRPr="006448DF">
        <w:rPr>
          <w:color w:val="auto"/>
        </w:rPr>
        <w:t xml:space="preserve"> </w:t>
      </w:r>
      <w:r w:rsidR="009249DB">
        <w:rPr>
          <w:color w:val="auto"/>
        </w:rPr>
        <w:t>administration</w:t>
      </w:r>
      <w:r w:rsidRPr="006448DF">
        <w:rPr>
          <w:color w:val="auto"/>
        </w:rPr>
        <w:t xml:space="preserve"> </w:t>
      </w:r>
      <w:r w:rsidRPr="006448DF" w:rsidDel="009249DB">
        <w:rPr>
          <w:color w:val="auto"/>
        </w:rPr>
        <w:t xml:space="preserve">of </w:t>
      </w:r>
      <w:r w:rsidR="009249DB">
        <w:rPr>
          <w:color w:val="auto"/>
        </w:rPr>
        <w:t>all</w:t>
      </w:r>
      <w:r w:rsidR="009249DB" w:rsidRPr="006448DF">
        <w:rPr>
          <w:color w:val="auto"/>
        </w:rPr>
        <w:t xml:space="preserve"> </w:t>
      </w:r>
      <w:r w:rsidRPr="006448DF">
        <w:rPr>
          <w:color w:val="auto"/>
        </w:rPr>
        <w:t xml:space="preserve">programs </w:t>
      </w:r>
      <w:r w:rsidR="009249DB">
        <w:rPr>
          <w:color w:val="auto"/>
        </w:rPr>
        <w:t>delivered through</w:t>
      </w:r>
      <w:r w:rsidRPr="006448DF">
        <w:rPr>
          <w:color w:val="auto"/>
        </w:rPr>
        <w:t xml:space="preserve"> PHN</w:t>
      </w:r>
      <w:r w:rsidR="008E19B1">
        <w:rPr>
          <w:color w:val="auto"/>
        </w:rPr>
        <w:t>s. However, in practice</w:t>
      </w:r>
      <w:r w:rsidR="007E160F" w:rsidRPr="007E160F">
        <w:rPr>
          <w:color w:val="auto"/>
        </w:rPr>
        <w:t xml:space="preserve"> many policy areas also </w:t>
      </w:r>
      <w:r w:rsidR="008E19B1">
        <w:rPr>
          <w:color w:val="auto"/>
        </w:rPr>
        <w:t xml:space="preserve">get </w:t>
      </w:r>
      <w:r w:rsidR="007E160F" w:rsidRPr="007E160F">
        <w:rPr>
          <w:color w:val="auto"/>
        </w:rPr>
        <w:t>involved in program delivery</w:t>
      </w:r>
      <w:r w:rsidRPr="006448DF">
        <w:rPr>
          <w:color w:val="auto"/>
        </w:rPr>
        <w:t xml:space="preserve"> </w:t>
      </w:r>
      <w:r w:rsidR="008E19B1">
        <w:rPr>
          <w:color w:val="auto"/>
        </w:rPr>
        <w:t>issues</w:t>
      </w:r>
      <w:r w:rsidRPr="006448DF">
        <w:rPr>
          <w:color w:val="auto"/>
        </w:rPr>
        <w:t xml:space="preserve"> with </w:t>
      </w:r>
      <w:r w:rsidR="008E19B1">
        <w:rPr>
          <w:color w:val="auto"/>
        </w:rPr>
        <w:t>many</w:t>
      </w:r>
      <w:r w:rsidRPr="006448DF">
        <w:rPr>
          <w:color w:val="auto"/>
        </w:rPr>
        <w:t xml:space="preserve"> policy areas interact</w:t>
      </w:r>
      <w:r w:rsidR="008E19B1">
        <w:rPr>
          <w:color w:val="auto"/>
        </w:rPr>
        <w:t>ing</w:t>
      </w:r>
      <w:r w:rsidRPr="006448DF">
        <w:rPr>
          <w:color w:val="auto"/>
        </w:rPr>
        <w:t xml:space="preserve"> directly with PHN Operators. Since the PHN Program was established, the number of policy areas in the Department that PHN Operators report to on program level performance has increased from four to 43. With this, tensions have emerged in relation to overall program governance.</w:t>
      </w:r>
    </w:p>
    <w:p w14:paraId="7598623B" w14:textId="77777777" w:rsidR="00CB03C3" w:rsidRDefault="00A57B47" w:rsidP="00407D7B">
      <w:pPr>
        <w:pStyle w:val="Exhibit"/>
      </w:pPr>
      <w:r>
        <w:t xml:space="preserve">Exhibit </w:t>
      </w:r>
      <w:r w:rsidR="005B1842">
        <w:t>5</w:t>
      </w:r>
      <w:r>
        <w:t xml:space="preserve">: </w:t>
      </w:r>
      <w:r w:rsidRPr="00AC2320">
        <w:t>Some PHNs reported that engaging with several policy areas of the Department requires significant resourcing</w:t>
      </w:r>
    </w:p>
    <w:p w14:paraId="0C458AC1" w14:textId="0D1EE8B7" w:rsidR="00A57B47" w:rsidRPr="00407D7B" w:rsidRDefault="00CB03C3" w:rsidP="00407D7B">
      <w:pPr>
        <w:pStyle w:val="Exhibit"/>
      </w:pPr>
      <w:r w:rsidRPr="006448DF">
        <w:rPr>
          <w:noProof/>
        </w:rPr>
        <w:drawing>
          <wp:inline distT="0" distB="0" distL="0" distR="0" wp14:anchorId="063EA539" wp14:editId="18E94B67">
            <wp:extent cx="5759450" cy="2409686"/>
            <wp:effectExtent l="0" t="0" r="0" b="3810"/>
            <wp:docPr id="780948439" name="Picture 1" descr="Image with six quotes from PHNs and the PHN Alliance highlighting challenges in engaging with the Department of Health and Aged Care. Themes include fragmented governance, unclear roles, limited coordination, tight timeframes, and excessive reporting bu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48439" name="Picture 1" descr="Image with six quotes from PHNs and the PHN Alliance highlighting challenges in engaging with the Department of Health and Aged Care. Themes include fragmented governance, unclear roles, limited coordination, tight timeframes, and excessive reporting burdens."/>
                    <pic:cNvPicPr/>
                  </pic:nvPicPr>
                  <pic:blipFill rotWithShape="1">
                    <a:blip r:embed="rId21"/>
                    <a:srcRect t="5249"/>
                    <a:stretch>
                      <a:fillRect/>
                    </a:stretch>
                  </pic:blipFill>
                  <pic:spPr bwMode="auto">
                    <a:xfrm>
                      <a:off x="0" y="0"/>
                      <a:ext cx="5759450" cy="2409686"/>
                    </a:xfrm>
                    <a:prstGeom prst="rect">
                      <a:avLst/>
                    </a:prstGeom>
                    <a:ln>
                      <a:noFill/>
                    </a:ln>
                    <a:extLst>
                      <a:ext uri="{53640926-AAD7-44D8-BBD7-CCE9431645EC}">
                        <a14:shadowObscured xmlns:a14="http://schemas.microsoft.com/office/drawing/2010/main"/>
                      </a:ext>
                    </a:extLst>
                  </pic:spPr>
                </pic:pic>
              </a:graphicData>
            </a:graphic>
          </wp:inline>
        </w:drawing>
      </w:r>
    </w:p>
    <w:p w14:paraId="62E8BC1E" w14:textId="77777777" w:rsidR="00A57B47" w:rsidRPr="006448DF" w:rsidRDefault="00A57B47" w:rsidP="00A57B47">
      <w:pPr>
        <w:pStyle w:val="Quote"/>
        <w:rPr>
          <w:lang w:val="en-AU"/>
        </w:rPr>
      </w:pPr>
      <w:r w:rsidRPr="006448DF">
        <w:rPr>
          <w:lang w:val="en-AU"/>
        </w:rPr>
        <w:t xml:space="preserve">Source: Stakeholder interviews and focus groups </w:t>
      </w:r>
    </w:p>
    <w:p w14:paraId="1585B8F9" w14:textId="6254FF2E" w:rsidR="00A57B47" w:rsidRPr="006448DF" w:rsidRDefault="00A57B47" w:rsidP="00A57B47">
      <w:pPr>
        <w:pStyle w:val="Body"/>
        <w:rPr>
          <w:color w:val="auto"/>
        </w:rPr>
      </w:pPr>
      <w:r w:rsidRPr="006448DF">
        <w:rPr>
          <w:color w:val="auto"/>
        </w:rPr>
        <w:t xml:space="preserve">Stakeholders broadly noted that reporting processes between PHNs and the Department are challenging and resource intensive, with 29 PHN Operators delivering activity on behalf of 43 </w:t>
      </w:r>
      <w:r w:rsidRPr="006448DF">
        <w:rPr>
          <w:color w:val="auto"/>
        </w:rPr>
        <w:lastRenderedPageBreak/>
        <w:t>policy areas in the Department, wh</w:t>
      </w:r>
      <w:r w:rsidR="001E263D">
        <w:rPr>
          <w:color w:val="auto"/>
        </w:rPr>
        <w:t>ich often</w:t>
      </w:r>
      <w:r w:rsidRPr="006448DF">
        <w:rPr>
          <w:color w:val="auto"/>
        </w:rPr>
        <w:t xml:space="preserve"> seek to engage with PHNs directly. PHNs</w:t>
      </w:r>
      <w:r w:rsidRPr="006448DF" w:rsidDel="00B80D9A">
        <w:rPr>
          <w:color w:val="auto"/>
        </w:rPr>
        <w:t xml:space="preserve"> </w:t>
      </w:r>
      <w:r w:rsidRPr="006448DF">
        <w:rPr>
          <w:color w:val="auto"/>
        </w:rPr>
        <w:t>reported experiencing frequent occurrences where multiple Department stakeholders sought engagement on the delivery of policy priorities, particularly during reporting periods, leading to duplication and inefficiency for both the Department and PHNs.</w:t>
      </w:r>
    </w:p>
    <w:p w14:paraId="642C7AB2" w14:textId="18558F4F" w:rsidR="00B34389" w:rsidRDefault="49A24DCA" w:rsidP="00A57B47">
      <w:pPr>
        <w:pStyle w:val="Body"/>
        <w:rPr>
          <w:color w:val="auto"/>
        </w:rPr>
      </w:pPr>
      <w:r w:rsidRPr="006448DF">
        <w:rPr>
          <w:color w:val="auto"/>
        </w:rPr>
        <w:t>Stakeholders have reported significant variation in performance and capa</w:t>
      </w:r>
      <w:r w:rsidR="00DF16D9" w:rsidRPr="006448DF">
        <w:rPr>
          <w:color w:val="auto"/>
        </w:rPr>
        <w:t>city</w:t>
      </w:r>
      <w:r w:rsidRPr="006448DF">
        <w:rPr>
          <w:color w:val="auto"/>
        </w:rPr>
        <w:t xml:space="preserve"> maturity among PHNs, but </w:t>
      </w:r>
      <w:r w:rsidR="00C3145B">
        <w:rPr>
          <w:color w:val="auto"/>
        </w:rPr>
        <w:t xml:space="preserve">acknowledge that limited </w:t>
      </w:r>
      <w:r w:rsidR="00341DD7">
        <w:rPr>
          <w:color w:val="auto"/>
        </w:rPr>
        <w:t xml:space="preserve">information is available </w:t>
      </w:r>
      <w:r w:rsidRPr="006448DF">
        <w:rPr>
          <w:color w:val="auto"/>
        </w:rPr>
        <w:t>to assess this</w:t>
      </w:r>
      <w:r w:rsidR="00341DD7">
        <w:rPr>
          <w:color w:val="auto"/>
        </w:rPr>
        <w:t xml:space="preserve"> </w:t>
      </w:r>
      <w:r w:rsidR="0058388B">
        <w:rPr>
          <w:color w:val="auto"/>
        </w:rPr>
        <w:t>objectively or comprehensively</w:t>
      </w:r>
      <w:r w:rsidRPr="006448DF">
        <w:rPr>
          <w:color w:val="auto"/>
        </w:rPr>
        <w:t xml:space="preserve">. Current annual individual performance assessments are overly focused on financial tracking, and performance indicators don’t give meaningful insights into volume or quality of outputs or outcomes. The ANAO 2024 audit found PHN reporting overly focused on compliance, with some metrics outside PHN control. </w:t>
      </w:r>
    </w:p>
    <w:p w14:paraId="4615D56A" w14:textId="0107F15F" w:rsidR="00A57B47" w:rsidRPr="006448DF" w:rsidRDefault="00DF3EAD" w:rsidP="00A57B47">
      <w:pPr>
        <w:pStyle w:val="Body"/>
        <w:rPr>
          <w:color w:val="auto"/>
        </w:rPr>
      </w:pPr>
      <w:r>
        <w:rPr>
          <w:color w:val="auto"/>
        </w:rPr>
        <w:t xml:space="preserve">While </w:t>
      </w:r>
      <w:r w:rsidR="0077336A">
        <w:rPr>
          <w:color w:val="auto"/>
        </w:rPr>
        <w:t xml:space="preserve">the Department </w:t>
      </w:r>
      <w:r w:rsidR="00566B6F">
        <w:rPr>
          <w:color w:val="auto"/>
        </w:rPr>
        <w:t>has significant powe</w:t>
      </w:r>
      <w:r w:rsidR="005B30AD">
        <w:rPr>
          <w:color w:val="auto"/>
        </w:rPr>
        <w:t xml:space="preserve">r </w:t>
      </w:r>
      <w:r w:rsidR="006D49D7">
        <w:rPr>
          <w:color w:val="auto"/>
        </w:rPr>
        <w:t xml:space="preserve">through the </w:t>
      </w:r>
      <w:r w:rsidR="00E5648A">
        <w:rPr>
          <w:color w:val="auto"/>
        </w:rPr>
        <w:t xml:space="preserve">existing </w:t>
      </w:r>
      <w:r w:rsidR="002669A4">
        <w:rPr>
          <w:color w:val="auto"/>
        </w:rPr>
        <w:t xml:space="preserve">grant arrangements to </w:t>
      </w:r>
      <w:r w:rsidR="00E8503B">
        <w:rPr>
          <w:color w:val="auto"/>
        </w:rPr>
        <w:t>respond to</w:t>
      </w:r>
      <w:r w:rsidR="002669A4">
        <w:rPr>
          <w:color w:val="auto"/>
        </w:rPr>
        <w:t xml:space="preserve"> PHN performance </w:t>
      </w:r>
      <w:r w:rsidR="00E8503B">
        <w:rPr>
          <w:color w:val="auto"/>
        </w:rPr>
        <w:t>concerns,</w:t>
      </w:r>
      <w:r w:rsidR="002669A4">
        <w:rPr>
          <w:color w:val="auto"/>
        </w:rPr>
        <w:t xml:space="preserve"> </w:t>
      </w:r>
      <w:r w:rsidR="00637059">
        <w:rPr>
          <w:color w:val="auto"/>
        </w:rPr>
        <w:t xml:space="preserve">no formal </w:t>
      </w:r>
      <w:r w:rsidR="006742AD">
        <w:rPr>
          <w:color w:val="auto"/>
        </w:rPr>
        <w:t xml:space="preserve">interventions </w:t>
      </w:r>
      <w:r w:rsidR="00972A84">
        <w:rPr>
          <w:color w:val="auto"/>
        </w:rPr>
        <w:t>have occurred through the life of the program</w:t>
      </w:r>
      <w:r w:rsidR="49A24DCA" w:rsidRPr="006448DF">
        <w:rPr>
          <w:color w:val="auto"/>
        </w:rPr>
        <w:t>. Stakeholders suggested that a more formalised intervention model would support the Department to identify and improve poor performance and build capa</w:t>
      </w:r>
      <w:r w:rsidR="00DF16D9" w:rsidRPr="006448DF">
        <w:rPr>
          <w:color w:val="auto"/>
        </w:rPr>
        <w:t>city</w:t>
      </w:r>
      <w:r w:rsidR="49A24DCA" w:rsidRPr="006448DF">
        <w:rPr>
          <w:color w:val="auto"/>
        </w:rPr>
        <w:t xml:space="preserve">, noting this </w:t>
      </w:r>
      <w:r w:rsidR="00467538">
        <w:rPr>
          <w:color w:val="auto"/>
        </w:rPr>
        <w:t>would be</w:t>
      </w:r>
      <w:r w:rsidR="00467538" w:rsidRPr="006448DF">
        <w:rPr>
          <w:color w:val="auto"/>
        </w:rPr>
        <w:t xml:space="preserve"> </w:t>
      </w:r>
      <w:r w:rsidR="49A24DCA" w:rsidRPr="006448DF">
        <w:rPr>
          <w:color w:val="auto"/>
        </w:rPr>
        <w:t xml:space="preserve">contingent on </w:t>
      </w:r>
      <w:r w:rsidR="00374535">
        <w:rPr>
          <w:color w:val="auto"/>
        </w:rPr>
        <w:t>the availability of</w:t>
      </w:r>
      <w:r w:rsidR="49A24DCA" w:rsidRPr="006448DF">
        <w:rPr>
          <w:color w:val="auto"/>
        </w:rPr>
        <w:t xml:space="preserve"> </w:t>
      </w:r>
      <w:r w:rsidR="00374535">
        <w:rPr>
          <w:color w:val="auto"/>
        </w:rPr>
        <w:t xml:space="preserve">better performance data </w:t>
      </w:r>
      <w:r w:rsidR="00467538">
        <w:rPr>
          <w:color w:val="auto"/>
        </w:rPr>
        <w:t>and a stronger capability to comprehensively assess operations and processes</w:t>
      </w:r>
      <w:r w:rsidR="49A24DCA" w:rsidRPr="006448DF">
        <w:rPr>
          <w:color w:val="auto"/>
        </w:rPr>
        <w:t xml:space="preserve">. </w:t>
      </w:r>
      <w:r w:rsidR="00467538">
        <w:rPr>
          <w:color w:val="auto"/>
        </w:rPr>
        <w:t xml:space="preserve">In addition, </w:t>
      </w:r>
      <w:r w:rsidR="00F86DE0">
        <w:rPr>
          <w:color w:val="auto"/>
        </w:rPr>
        <w:t xml:space="preserve">a clear escalation pathway with </w:t>
      </w:r>
      <w:r w:rsidR="00467538">
        <w:rPr>
          <w:color w:val="auto"/>
        </w:rPr>
        <w:t xml:space="preserve">voluntary, </w:t>
      </w:r>
      <w:r w:rsidR="00F86DE0">
        <w:rPr>
          <w:color w:val="auto"/>
        </w:rPr>
        <w:t xml:space="preserve">intermediate steps such as board observers or mandatory monthly reviews </w:t>
      </w:r>
      <w:r w:rsidR="005056D3">
        <w:rPr>
          <w:color w:val="auto"/>
        </w:rPr>
        <w:t xml:space="preserve">with the Department </w:t>
      </w:r>
      <w:r w:rsidR="00467538">
        <w:rPr>
          <w:color w:val="auto"/>
        </w:rPr>
        <w:t xml:space="preserve">would provide </w:t>
      </w:r>
      <w:r w:rsidR="005056D3">
        <w:rPr>
          <w:color w:val="auto"/>
        </w:rPr>
        <w:t>additional intervention options</w:t>
      </w:r>
      <w:r w:rsidR="00467538">
        <w:rPr>
          <w:color w:val="auto"/>
        </w:rPr>
        <w:t xml:space="preserve"> </w:t>
      </w:r>
      <w:r w:rsidR="00F86DE0">
        <w:rPr>
          <w:color w:val="auto"/>
        </w:rPr>
        <w:t xml:space="preserve">before progressing </w:t>
      </w:r>
      <w:r w:rsidR="005056D3">
        <w:rPr>
          <w:color w:val="auto"/>
        </w:rPr>
        <w:t xml:space="preserve">to </w:t>
      </w:r>
      <w:r w:rsidR="009638F9">
        <w:rPr>
          <w:color w:val="auto"/>
        </w:rPr>
        <w:t xml:space="preserve">stronger interventions </w:t>
      </w:r>
      <w:r w:rsidR="005056D3">
        <w:rPr>
          <w:color w:val="auto"/>
        </w:rPr>
        <w:t xml:space="preserve">such as </w:t>
      </w:r>
      <w:r w:rsidR="003B67AC">
        <w:rPr>
          <w:color w:val="auto"/>
        </w:rPr>
        <w:t>re-tendering</w:t>
      </w:r>
      <w:r w:rsidR="008C6AC9">
        <w:rPr>
          <w:color w:val="auto"/>
        </w:rPr>
        <w:t xml:space="preserve">. </w:t>
      </w:r>
    </w:p>
    <w:p w14:paraId="48C0B20A" w14:textId="26B9A973" w:rsidR="00A57B47" w:rsidRPr="002A10BB" w:rsidRDefault="00A57B47" w:rsidP="002A10BB">
      <w:pPr>
        <w:pStyle w:val="Exhibit"/>
      </w:pPr>
      <w:r>
        <w:t xml:space="preserve">Exhibit </w:t>
      </w:r>
      <w:r w:rsidR="005B1842" w:rsidRPr="00F04091">
        <w:t>6</w:t>
      </w:r>
      <w:r>
        <w:t xml:space="preserve">:  </w:t>
      </w:r>
      <w:r w:rsidRPr="00784629">
        <w:t>PHNs, peak bodies and service providers requested a more formal performance management and intervention model for PHNs</w:t>
      </w:r>
      <w:r w:rsidR="002A10BB" w:rsidRPr="006448DF">
        <w:rPr>
          <w:noProof/>
        </w:rPr>
        <w:drawing>
          <wp:inline distT="0" distB="0" distL="0" distR="0" wp14:anchorId="3DF7FB9F" wp14:editId="0C49F642">
            <wp:extent cx="5759450" cy="2529840"/>
            <wp:effectExtent l="0" t="0" r="6350" b="0"/>
            <wp:docPr id="288753031" name="Picture 8" descr="Image with quotes from PHNs, peak bodies, and service providers calling for a national, structured performance framework. Themes include the need for outcome-focused metrics, consistent benchmarks, improved accountability, and support for continuous impro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53031" name="Picture 8" descr="Image with quotes from PHNs, peak bodies, and service providers calling for a national, structured performance framework. Themes include the need for outcome-focused metrics, consistent benchmarks, improved accountability, and support for continuous improvement.&#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529840"/>
                    </a:xfrm>
                    <a:prstGeom prst="rect">
                      <a:avLst/>
                    </a:prstGeom>
                  </pic:spPr>
                </pic:pic>
              </a:graphicData>
            </a:graphic>
          </wp:inline>
        </w:drawing>
      </w:r>
    </w:p>
    <w:p w14:paraId="237AFDA1" w14:textId="77777777" w:rsidR="00A57B47" w:rsidRPr="006448DF" w:rsidRDefault="00A57B47" w:rsidP="00F04091">
      <w:pPr>
        <w:pStyle w:val="Quote"/>
        <w:rPr>
          <w:lang w:val="en-AU"/>
        </w:rPr>
      </w:pPr>
      <w:r w:rsidRPr="006448DF">
        <w:rPr>
          <w:lang w:val="en-AU"/>
        </w:rPr>
        <w:t xml:space="preserve">Source: Stakeholder interviews and focus groups </w:t>
      </w:r>
    </w:p>
    <w:p w14:paraId="5DCD5868" w14:textId="716E08AA" w:rsidR="00A57B47" w:rsidRPr="006448DF" w:rsidRDefault="00A57B47" w:rsidP="00320171">
      <w:pPr>
        <w:pStyle w:val="Heading3"/>
      </w:pPr>
      <w:r w:rsidRPr="006448DF">
        <w:t xml:space="preserve">2. </w:t>
      </w:r>
      <w:r w:rsidR="004A428C" w:rsidRPr="006448DF">
        <w:t xml:space="preserve">Stakeholder trust and confidence concerns contribute to </w:t>
      </w:r>
      <w:proofErr w:type="gramStart"/>
      <w:r w:rsidR="004A428C" w:rsidRPr="006448DF">
        <w:t>short term</w:t>
      </w:r>
      <w:proofErr w:type="gramEnd"/>
      <w:r w:rsidR="004A428C" w:rsidRPr="006448DF">
        <w:t xml:space="preserve">, highly prescriptive and slow funding approach that is unwieldy and burdensome. </w:t>
      </w:r>
      <w:r w:rsidRPr="006448DF">
        <w:t xml:space="preserve"> </w:t>
      </w:r>
    </w:p>
    <w:p w14:paraId="11590201" w14:textId="492C47D5" w:rsidR="00F4591E" w:rsidRPr="006448DF" w:rsidRDefault="49A24DCA" w:rsidP="00F4591E">
      <w:pPr>
        <w:pStyle w:val="Body"/>
        <w:rPr>
          <w:color w:val="auto"/>
        </w:rPr>
      </w:pPr>
      <w:r w:rsidRPr="006448DF">
        <w:rPr>
          <w:color w:val="auto"/>
        </w:rPr>
        <w:t>PHNs are funded by the Commonwealth using a grant-based model. PHNs pass about 90% of this grant income on to external service provider</w:t>
      </w:r>
      <w:r w:rsidR="002B7B96" w:rsidRPr="006448DF">
        <w:rPr>
          <w:color w:val="auto"/>
        </w:rPr>
        <w:t>s</w:t>
      </w:r>
      <w:r w:rsidRPr="006448DF">
        <w:rPr>
          <w:color w:val="auto"/>
        </w:rPr>
        <w:t xml:space="preserve">. </w:t>
      </w:r>
      <w:bookmarkStart w:id="19" w:name="OLE_LINK4"/>
      <w:r w:rsidRPr="006448DF">
        <w:rPr>
          <w:color w:val="auto"/>
        </w:rPr>
        <w:t>PHNs’ total funding has grown at 9% each year, while funding of core operations</w:t>
      </w:r>
      <w:r w:rsidR="00421752" w:rsidRPr="006448DF">
        <w:rPr>
          <w:color w:val="auto"/>
        </w:rPr>
        <w:t xml:space="preserve"> </w:t>
      </w:r>
      <w:r w:rsidRPr="006448DF">
        <w:rPr>
          <w:color w:val="auto"/>
        </w:rPr>
        <w:t>and health system improvement has grown at 2% each year. Grant funding to PHNs is governed by the Commonwealth Grant Rules and Principles, which are designed</w:t>
      </w:r>
      <w:r w:rsidR="550684A6" w:rsidRPr="006448DF">
        <w:rPr>
          <w:color w:val="auto"/>
        </w:rPr>
        <w:t xml:space="preserve"> primarily</w:t>
      </w:r>
      <w:r w:rsidRPr="006448DF">
        <w:rPr>
          <w:color w:val="auto"/>
        </w:rPr>
        <w:t xml:space="preserve"> for competitive tendering.</w:t>
      </w:r>
      <w:bookmarkEnd w:id="19"/>
      <w:r w:rsidRPr="006448DF">
        <w:rPr>
          <w:color w:val="auto"/>
        </w:rPr>
        <w:t xml:space="preserve"> </w:t>
      </w:r>
      <w:r w:rsidR="614F1F21" w:rsidRPr="006448DF">
        <w:rPr>
          <w:color w:val="auto"/>
        </w:rPr>
        <w:t>In practice</w:t>
      </w:r>
      <w:r w:rsidRPr="006448DF">
        <w:rPr>
          <w:color w:val="auto"/>
        </w:rPr>
        <w:t xml:space="preserve">, PHNs </w:t>
      </w:r>
      <w:r w:rsidR="22C2AE24" w:rsidRPr="48BB2C05">
        <w:rPr>
          <w:color w:val="auto"/>
        </w:rPr>
        <w:t xml:space="preserve">receive grants either as monopoly providers or through nominally competitive rounds. Both </w:t>
      </w:r>
      <w:r w:rsidR="22C2AE24" w:rsidRPr="48BB2C05">
        <w:rPr>
          <w:color w:val="auto"/>
        </w:rPr>
        <w:lastRenderedPageBreak/>
        <w:t xml:space="preserve">approaches involve highly prescriptive requirements, particularly in grant schedules, where policy areas specify detailed activities to be delivered. </w:t>
      </w:r>
      <w:r w:rsidR="22C2AE24" w:rsidRPr="006448DF">
        <w:rPr>
          <w:color w:val="auto"/>
        </w:rPr>
        <w:t xml:space="preserve">This creates administrative burden and delays. The grants process sits within a broader system that manages approximately 20,000 grants each year, contributing to systemic bottlenecks. These are often caused by multiple layers of central approval, including legal review (LSB), constitutional risk advice (AGS), policy clearance and Finance Minister approval. Stakeholders reported that disbursements can take between </w:t>
      </w:r>
      <w:r w:rsidR="00007C70" w:rsidRPr="006448DF">
        <w:rPr>
          <w:color w:val="auto"/>
        </w:rPr>
        <w:t>six</w:t>
      </w:r>
      <w:r w:rsidR="22C2AE24" w:rsidRPr="006448DF">
        <w:rPr>
          <w:color w:val="auto"/>
        </w:rPr>
        <w:t xml:space="preserve"> and 12 months after budget announcements.</w:t>
      </w:r>
    </w:p>
    <w:p w14:paraId="14C634B4" w14:textId="77777777" w:rsidR="00A57B47" w:rsidRPr="006448DF" w:rsidRDefault="00A57B47" w:rsidP="00A57B47">
      <w:pPr>
        <w:pStyle w:val="Body"/>
        <w:rPr>
          <w:color w:val="auto"/>
        </w:rPr>
      </w:pPr>
      <w:r w:rsidRPr="006448DF">
        <w:rPr>
          <w:rStyle w:val="Heading4Char"/>
          <w:lang w:val="en-AU"/>
        </w:rPr>
        <w:t>2.1 Short-term grants</w:t>
      </w:r>
      <w:r w:rsidRPr="006448DF">
        <w:rPr>
          <w:color w:val="auto"/>
        </w:rPr>
        <w:t xml:space="preserve"> </w:t>
      </w:r>
    </w:p>
    <w:p w14:paraId="2B3E2861" w14:textId="77777777" w:rsidR="00A57B47" w:rsidRPr="006448DF" w:rsidRDefault="00A57B47" w:rsidP="00A57B47">
      <w:pPr>
        <w:pStyle w:val="Body"/>
        <w:rPr>
          <w:color w:val="auto"/>
        </w:rPr>
      </w:pPr>
      <w:r w:rsidRPr="006448DF">
        <w:rPr>
          <w:color w:val="auto"/>
        </w:rPr>
        <w:t xml:space="preserve">Grant agreements for PHNs are often only for 1–3 years, even for long-running, successful programs. For example, the </w:t>
      </w:r>
      <w:proofErr w:type="gramStart"/>
      <w:r w:rsidRPr="006448DF">
        <w:rPr>
          <w:color w:val="auto"/>
        </w:rPr>
        <w:t>After Hours</w:t>
      </w:r>
      <w:proofErr w:type="gramEnd"/>
      <w:r w:rsidRPr="006448DF">
        <w:rPr>
          <w:color w:val="auto"/>
        </w:rPr>
        <w:t xml:space="preserve"> Program has received new 12-month allocations each year for the past seven years. Grant renewals are also often left till very late in the cycle, causing significant anxiety for providers and limiting ability for PHNs to plan for changes in service delivery. In the absence of strong performance measures, short-term grants have become a default control mechanism to manage perceived risk across the PHN Program.</w:t>
      </w:r>
    </w:p>
    <w:p w14:paraId="155B8D82" w14:textId="77777777" w:rsidR="00457793" w:rsidRDefault="00A57B47" w:rsidP="001E39A0">
      <w:pPr>
        <w:pStyle w:val="Heading4"/>
        <w:spacing w:line="276" w:lineRule="auto"/>
        <w:rPr>
          <w:rStyle w:val="Heading4Char"/>
          <w:b/>
          <w:lang w:val="en-AU"/>
        </w:rPr>
      </w:pPr>
      <w:r w:rsidRPr="006448DF">
        <w:rPr>
          <w:rStyle w:val="Heading4Char"/>
          <w:b/>
          <w:lang w:val="en-AU"/>
        </w:rPr>
        <w:t xml:space="preserve">2.2 Prescriptive schedules </w:t>
      </w:r>
    </w:p>
    <w:p w14:paraId="163F0924" w14:textId="15771B35" w:rsidR="00A57B47" w:rsidRPr="00457793" w:rsidRDefault="00A57B47" w:rsidP="00457793">
      <w:pPr>
        <w:pStyle w:val="Body"/>
      </w:pPr>
      <w:r w:rsidRPr="00457793">
        <w:t xml:space="preserve">Grant schedules are highly prescriptive and often focused on process compliance (even for ostensibly flexible funding streams), rather than outcomes. This puts a significant administrative burden on PHNs. PHNs </w:t>
      </w:r>
      <w:r w:rsidR="000628E7" w:rsidRPr="00457793">
        <w:t xml:space="preserve">each </w:t>
      </w:r>
      <w:r w:rsidRPr="00457793">
        <w:t>allocate between 17,750 and 20,000 staff hours per year to manage activity work plans, and financial and performance reporting across 73 fragmented funding streams, and produce up to 2,000 pages of documentation per PHN each year. Despite the sharp increase in scheduled activity and associated administrative workload, stakeholders noted that core funding has not increased in line with the expanding role of PHNs. Limited indexation has further reduced the value of core funding over time, making it increasingly difficult to deliver core functions effectively.</w:t>
      </w:r>
    </w:p>
    <w:p w14:paraId="0B4E5DA2" w14:textId="77777777" w:rsidR="00A57B47" w:rsidRPr="006448DF" w:rsidRDefault="00A57B47" w:rsidP="001E39A0">
      <w:pPr>
        <w:pStyle w:val="Heading4"/>
        <w:spacing w:line="276" w:lineRule="auto"/>
        <w:rPr>
          <w:lang w:val="en-AU"/>
        </w:rPr>
      </w:pPr>
      <w:r w:rsidRPr="006448DF">
        <w:rPr>
          <w:rStyle w:val="Heading4Char"/>
          <w:b/>
          <w:lang w:val="en-AU"/>
        </w:rPr>
        <w:t>2.3 Delayed disbursements</w:t>
      </w:r>
      <w:r w:rsidRPr="006448DF">
        <w:rPr>
          <w:color w:val="auto"/>
          <w:lang w:val="en-AU"/>
        </w:rPr>
        <w:t xml:space="preserve"> </w:t>
      </w:r>
    </w:p>
    <w:p w14:paraId="54B1F8B4" w14:textId="5DA772A8" w:rsidR="008366F5" w:rsidRPr="006448DF" w:rsidRDefault="6C1CB958" w:rsidP="00ED11FC">
      <w:pPr>
        <w:pStyle w:val="Body"/>
        <w:rPr>
          <w:color w:val="auto"/>
        </w:rPr>
      </w:pPr>
      <w:r w:rsidRPr="006448DF">
        <w:rPr>
          <w:color w:val="auto"/>
        </w:rPr>
        <w:t xml:space="preserve">Delays in funding disbursement are a persistent challenge that significantly constrain PHN delivery. Funding typically </w:t>
      </w:r>
      <w:r w:rsidR="2710E152" w:rsidRPr="006448DF">
        <w:rPr>
          <w:color w:val="auto"/>
        </w:rPr>
        <w:t>takes</w:t>
      </w:r>
      <w:r w:rsidRPr="006448DF">
        <w:rPr>
          <w:color w:val="auto"/>
        </w:rPr>
        <w:t xml:space="preserve"> six months</w:t>
      </w:r>
      <w:r w:rsidR="753E4062" w:rsidRPr="006448DF">
        <w:rPr>
          <w:color w:val="auto"/>
        </w:rPr>
        <w:t xml:space="preserve"> </w:t>
      </w:r>
      <w:r w:rsidR="2710E152" w:rsidRPr="006448DF">
        <w:rPr>
          <w:color w:val="auto"/>
        </w:rPr>
        <w:t>between being announced and being released to PHNs</w:t>
      </w:r>
      <w:r w:rsidRPr="006448DF">
        <w:rPr>
          <w:color w:val="auto"/>
        </w:rPr>
        <w:t xml:space="preserve">, </w:t>
      </w:r>
      <w:r w:rsidR="68DD074A" w:rsidRPr="006448DF">
        <w:rPr>
          <w:color w:val="auto"/>
        </w:rPr>
        <w:t>given the lengthy grants processes that need to be fulfilled.</w:t>
      </w:r>
      <w:r w:rsidRPr="006448DF">
        <w:rPr>
          <w:color w:val="auto"/>
        </w:rPr>
        <w:t xml:space="preserve"> </w:t>
      </w:r>
    </w:p>
    <w:p w14:paraId="536FC476" w14:textId="217F426B" w:rsidR="00613865" w:rsidRPr="00613865" w:rsidRDefault="00A57B47" w:rsidP="003B3340">
      <w:pPr>
        <w:pStyle w:val="Body"/>
        <w:rPr>
          <w:color w:val="auto"/>
        </w:rPr>
      </w:pPr>
      <w:r w:rsidRPr="006448DF">
        <w:rPr>
          <w:color w:val="auto"/>
        </w:rPr>
        <w:t>PHNs consistently described challenges in deploying funds due to delays between grant announcements and funds being made available, or carryover approval timelines, with 41% of PHNs reporting that these delays impacted their cash flow.</w:t>
      </w:r>
      <w:r w:rsidR="00613865" w:rsidRPr="006448DF">
        <w:rPr>
          <w:color w:val="auto"/>
        </w:rPr>
        <w:t xml:space="preserve"> These delays in</w:t>
      </w:r>
      <w:r w:rsidRPr="006448DF">
        <w:rPr>
          <w:color w:val="auto"/>
        </w:rPr>
        <w:t xml:space="preserve"> </w:t>
      </w:r>
      <w:r w:rsidR="00613865" w:rsidRPr="00613865">
        <w:rPr>
          <w:color w:val="auto"/>
        </w:rPr>
        <w:t xml:space="preserve">funding disbursement and short-term grants contribute to PHN underspend, with only </w:t>
      </w:r>
      <w:r w:rsidR="00E037D6">
        <w:rPr>
          <w:color w:val="auto"/>
        </w:rPr>
        <w:t>one</w:t>
      </w:r>
      <w:r w:rsidR="00613865" w:rsidRPr="00613865">
        <w:rPr>
          <w:color w:val="auto"/>
        </w:rPr>
        <w:t xml:space="preserve"> in </w:t>
      </w:r>
      <w:r w:rsidR="00E037D6">
        <w:rPr>
          <w:color w:val="auto"/>
        </w:rPr>
        <w:t>four</w:t>
      </w:r>
      <w:r w:rsidR="00613865" w:rsidRPr="00613865">
        <w:rPr>
          <w:color w:val="auto"/>
        </w:rPr>
        <w:t xml:space="preserve"> PHNs spending their full annual allocation</w:t>
      </w:r>
      <w:r w:rsidR="00613865">
        <w:rPr>
          <w:color w:val="auto"/>
        </w:rPr>
        <w:t xml:space="preserve"> in 2</w:t>
      </w:r>
      <w:r w:rsidR="00BD2DF5">
        <w:rPr>
          <w:color w:val="auto"/>
        </w:rPr>
        <w:t>0</w:t>
      </w:r>
      <w:r w:rsidR="00613865">
        <w:rPr>
          <w:color w:val="auto"/>
        </w:rPr>
        <w:t>2</w:t>
      </w:r>
      <w:r w:rsidR="00BD2DF5">
        <w:rPr>
          <w:color w:val="auto"/>
        </w:rPr>
        <w:t>2</w:t>
      </w:r>
      <w:r w:rsidR="008D23E5">
        <w:rPr>
          <w:color w:val="auto"/>
        </w:rPr>
        <w:t>–</w:t>
      </w:r>
      <w:r w:rsidR="00613865">
        <w:rPr>
          <w:color w:val="auto"/>
        </w:rPr>
        <w:t>23.</w:t>
      </w:r>
    </w:p>
    <w:p w14:paraId="0F224F94" w14:textId="28C382AF" w:rsidR="00A57B47" w:rsidRPr="006448DF" w:rsidRDefault="00A57B47" w:rsidP="00A57B47">
      <w:pPr>
        <w:pStyle w:val="Body"/>
        <w:rPr>
          <w:color w:val="auto"/>
        </w:rPr>
      </w:pPr>
      <w:r w:rsidRPr="006448DF">
        <w:rPr>
          <w:color w:val="auto"/>
        </w:rPr>
        <w:t xml:space="preserve">Stakeholders also raised concerns that </w:t>
      </w:r>
      <w:r w:rsidR="00853345" w:rsidRPr="006448DF">
        <w:rPr>
          <w:color w:val="auto"/>
        </w:rPr>
        <w:t>future planned</w:t>
      </w:r>
      <w:r w:rsidRPr="006448DF">
        <w:rPr>
          <w:color w:val="auto"/>
        </w:rPr>
        <w:t xml:space="preserve"> shift</w:t>
      </w:r>
      <w:r w:rsidR="00853345" w:rsidRPr="006448DF">
        <w:rPr>
          <w:color w:val="auto"/>
        </w:rPr>
        <w:t>s</w:t>
      </w:r>
      <w:r w:rsidRPr="006448DF">
        <w:rPr>
          <w:color w:val="auto"/>
        </w:rPr>
        <w:t xml:space="preserve"> </w:t>
      </w:r>
      <w:r w:rsidR="00853345" w:rsidRPr="006448DF">
        <w:rPr>
          <w:color w:val="auto"/>
        </w:rPr>
        <w:t>in the grants process</w:t>
      </w:r>
      <w:r w:rsidRPr="006448DF">
        <w:rPr>
          <w:color w:val="auto"/>
        </w:rPr>
        <w:t xml:space="preserve"> could create further delays, due to additional steps such as obtaining quotes, drafting online application forms and navigating layered approvals.</w:t>
      </w:r>
    </w:p>
    <w:p w14:paraId="30584B45" w14:textId="0013FB97" w:rsidR="00A57B47" w:rsidRPr="00A61566" w:rsidRDefault="00A57B47" w:rsidP="00ED11FC">
      <w:pPr>
        <w:pStyle w:val="Exhibit"/>
      </w:pPr>
      <w:r>
        <w:lastRenderedPageBreak/>
        <w:t xml:space="preserve">Exhibit </w:t>
      </w:r>
      <w:r w:rsidR="00C31666">
        <w:t>7</w:t>
      </w:r>
      <w:r>
        <w:t xml:space="preserve">: </w:t>
      </w:r>
      <w:r w:rsidRPr="00D31FAA">
        <w:t>71% of PHN CEOs and Board Chairs said the misalignment between funding release dates and program start dates has a sig</w:t>
      </w:r>
      <w:r>
        <w:t>nificant</w:t>
      </w:r>
      <w:r w:rsidRPr="00D31FAA">
        <w:t xml:space="preserve"> impact on program delivery; 41% said delays impact cash flow</w:t>
      </w:r>
    </w:p>
    <w:p w14:paraId="464C58FA" w14:textId="77777777" w:rsidR="00A57B47" w:rsidRPr="006448DF" w:rsidRDefault="00A57B47" w:rsidP="0052449A">
      <w:pPr>
        <w:pStyle w:val="Body"/>
        <w:jc w:val="center"/>
        <w:rPr>
          <w:color w:val="auto"/>
        </w:rPr>
      </w:pPr>
      <w:r w:rsidRPr="006448DF">
        <w:rPr>
          <w:noProof/>
          <w:color w:val="auto"/>
        </w:rPr>
        <w:drawing>
          <wp:inline distT="0" distB="0" distL="0" distR="0" wp14:anchorId="099585FD" wp14:editId="50CB961D">
            <wp:extent cx="5759450" cy="2265113"/>
            <wp:effectExtent l="0" t="0" r="0" b="0"/>
            <wp:docPr id="1758479455" name="Picture 1" descr="Bar chart showing PHN responses to two funding timing issues. Most report significant impact from misaligned funding and program start dates (71%) and from delays in fund disbursement (41%). Other responses range from moderate to minim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79455" name="Picture 1" descr="Bar chart showing PHN responses to two funding timing issues. Most report significant impact from misaligned funding and program start dates (71%) and from delays in fund disbursement (41%). Other responses range from moderate to minimal impact."/>
                    <pic:cNvPicPr/>
                  </pic:nvPicPr>
                  <pic:blipFill rotWithShape="1">
                    <a:blip r:embed="rId23"/>
                    <a:srcRect b="8301"/>
                    <a:stretch>
                      <a:fillRect/>
                    </a:stretch>
                  </pic:blipFill>
                  <pic:spPr bwMode="auto">
                    <a:xfrm>
                      <a:off x="0" y="0"/>
                      <a:ext cx="5759450" cy="2265113"/>
                    </a:xfrm>
                    <a:prstGeom prst="rect">
                      <a:avLst/>
                    </a:prstGeom>
                    <a:ln>
                      <a:noFill/>
                    </a:ln>
                    <a:extLst>
                      <a:ext uri="{53640926-AAD7-44D8-BBD7-CCE9431645EC}">
                        <a14:shadowObscured xmlns:a14="http://schemas.microsoft.com/office/drawing/2010/main"/>
                      </a:ext>
                    </a:extLst>
                  </pic:spPr>
                </pic:pic>
              </a:graphicData>
            </a:graphic>
          </wp:inline>
        </w:drawing>
      </w:r>
    </w:p>
    <w:p w14:paraId="79FE5086" w14:textId="77777777" w:rsidR="00A57B47" w:rsidRPr="006448DF" w:rsidRDefault="00A57B47" w:rsidP="00A57B47">
      <w:pPr>
        <w:pStyle w:val="Quote"/>
        <w:rPr>
          <w:lang w:val="en-AU"/>
        </w:rPr>
      </w:pPr>
      <w:r w:rsidRPr="006448DF">
        <w:rPr>
          <w:lang w:val="en-AU"/>
        </w:rPr>
        <w:t xml:space="preserve">Source: Survey conducted by review team to PHN CEO/Chairs and PHN Stakeholders </w:t>
      </w:r>
    </w:p>
    <w:p w14:paraId="2C641F7D" w14:textId="56F2AD0A" w:rsidR="00A57B47" w:rsidRPr="00E90DC6" w:rsidRDefault="00A57B47" w:rsidP="00ED11FC">
      <w:pPr>
        <w:pStyle w:val="Exhibit"/>
      </w:pPr>
      <w:r w:rsidRPr="00E90DC6">
        <w:t xml:space="preserve">Exhibit </w:t>
      </w:r>
      <w:r w:rsidR="00C31666">
        <w:t>8</w:t>
      </w:r>
      <w:r w:rsidRPr="00E90DC6">
        <w:t>:</w:t>
      </w:r>
      <w:r>
        <w:t xml:space="preserve"> </w:t>
      </w:r>
      <w:r w:rsidRPr="00380851">
        <w:t>PHNs and service providers noted that grant</w:t>
      </w:r>
      <w:r w:rsidR="00723DF9">
        <w:t xml:space="preserve"> delay</w:t>
      </w:r>
      <w:r w:rsidRPr="00380851">
        <w:t>s impact service delivery</w:t>
      </w:r>
    </w:p>
    <w:p w14:paraId="1818CD2A" w14:textId="77777777" w:rsidR="00A57B47" w:rsidRPr="006448DF" w:rsidRDefault="00A57B47" w:rsidP="00A57B47">
      <w:pPr>
        <w:pStyle w:val="Body"/>
        <w:jc w:val="center"/>
        <w:rPr>
          <w:color w:val="auto"/>
        </w:rPr>
      </w:pPr>
      <w:r w:rsidRPr="006448DF">
        <w:rPr>
          <w:noProof/>
          <w:color w:val="auto"/>
        </w:rPr>
        <w:drawing>
          <wp:inline distT="0" distB="0" distL="0" distR="0" wp14:anchorId="235D8968" wp14:editId="2649B041">
            <wp:extent cx="5759450" cy="2193290"/>
            <wp:effectExtent l="0" t="0" r="6350" b="3810"/>
            <wp:docPr id="1218319262" name="Picture 1" descr="mage with quotes from PHNs, service providers, and peak bodies highlighting issues with delayed funding approvals and contract renewals. Themes include underspend, rushed implementation, financial risk, cash flow pressure, and uncertainty for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19262" name="Picture 1" descr="mage with quotes from PHNs, service providers, and peak bodies highlighting issues with delayed funding approvals and contract renewals. Themes include underspend, rushed implementation, financial risk, cash flow pressure, and uncertainty for service providers."/>
                    <pic:cNvPicPr/>
                  </pic:nvPicPr>
                  <pic:blipFill>
                    <a:blip r:embed="rId24"/>
                    <a:stretch>
                      <a:fillRect/>
                    </a:stretch>
                  </pic:blipFill>
                  <pic:spPr>
                    <a:xfrm>
                      <a:off x="0" y="0"/>
                      <a:ext cx="5759450" cy="2193290"/>
                    </a:xfrm>
                    <a:prstGeom prst="rect">
                      <a:avLst/>
                    </a:prstGeom>
                  </pic:spPr>
                </pic:pic>
              </a:graphicData>
            </a:graphic>
          </wp:inline>
        </w:drawing>
      </w:r>
    </w:p>
    <w:p w14:paraId="0A837411" w14:textId="77777777" w:rsidR="00A57B47" w:rsidRDefault="00A57B47" w:rsidP="00F04091">
      <w:pPr>
        <w:pStyle w:val="Quote"/>
        <w:rPr>
          <w:lang w:val="en-AU"/>
        </w:rPr>
      </w:pPr>
      <w:r w:rsidRPr="006448DF">
        <w:rPr>
          <w:lang w:val="en-AU"/>
        </w:rPr>
        <w:t xml:space="preserve">Source: Stakeholder interviews and focus groups </w:t>
      </w:r>
    </w:p>
    <w:p w14:paraId="5547CB23" w14:textId="77777777" w:rsidR="001E39A0" w:rsidRDefault="001E39A0" w:rsidP="00AD367D"/>
    <w:p w14:paraId="70085F4E" w14:textId="7257255B" w:rsidR="00A57B47" w:rsidRPr="006448DF" w:rsidRDefault="00A57B47" w:rsidP="00320171">
      <w:pPr>
        <w:pStyle w:val="Heading3"/>
        <w:rPr>
          <w:lang w:val="en-AU"/>
        </w:rPr>
      </w:pPr>
      <w:r w:rsidRPr="006448DF">
        <w:rPr>
          <w:lang w:val="en-AU"/>
        </w:rPr>
        <w:t xml:space="preserve">3. </w:t>
      </w:r>
      <w:r w:rsidR="00AF1E3F" w:rsidRPr="006448DF">
        <w:rPr>
          <w:lang w:val="en-AU"/>
        </w:rPr>
        <w:t>Short term, prescriptive and delayed funding undermine PHNs</w:t>
      </w:r>
      <w:r w:rsidR="00855DC9" w:rsidRPr="006448DF">
        <w:rPr>
          <w:lang w:val="en-AU"/>
        </w:rPr>
        <w:t>’</w:t>
      </w:r>
      <w:r w:rsidR="00AF1E3F" w:rsidRPr="006448DF">
        <w:rPr>
          <w:lang w:val="en-AU"/>
        </w:rPr>
        <w:t xml:space="preserve"> ability to plan and deliver locally responsive services</w:t>
      </w:r>
    </w:p>
    <w:p w14:paraId="0C3D16D8" w14:textId="77777777" w:rsidR="00A57B47" w:rsidRPr="006448DF" w:rsidRDefault="00A57B47" w:rsidP="00320171">
      <w:pPr>
        <w:pStyle w:val="Heading4"/>
        <w:rPr>
          <w:color w:val="000000" w:themeColor="text1"/>
          <w:lang w:val="en-AU"/>
        </w:rPr>
      </w:pPr>
      <w:r w:rsidRPr="006448DF">
        <w:rPr>
          <w:lang w:val="en-AU"/>
        </w:rPr>
        <w:t>3.1 Short-term planning</w:t>
      </w:r>
    </w:p>
    <w:p w14:paraId="1EA21857" w14:textId="77777777" w:rsidR="00A57B47" w:rsidRPr="006448DF" w:rsidRDefault="00A57B47" w:rsidP="00A57B47">
      <w:pPr>
        <w:pStyle w:val="Body"/>
        <w:rPr>
          <w:color w:val="auto"/>
        </w:rPr>
      </w:pPr>
      <w:r w:rsidRPr="006448DF">
        <w:rPr>
          <w:color w:val="auto"/>
        </w:rPr>
        <w:t>Fragmented reporting, rigid activity definitions and short-term funding limit the ability of PHNs to plan for and respond to local priorities. These structural constraints reduce flexibility and make it harder to build stakeholder confidence in PHN effectiveness. Multiple PHNs and service providers noted that short-term grants disrupt local service delivery by affecting workforce stability and limiting the ability to attract experienced staff.</w:t>
      </w:r>
    </w:p>
    <w:p w14:paraId="4FB315FA" w14:textId="48615C93" w:rsidR="009D0A1B" w:rsidRPr="006448DF" w:rsidRDefault="009D0A1B" w:rsidP="00A57B47">
      <w:pPr>
        <w:pStyle w:val="Body"/>
        <w:rPr>
          <w:color w:val="auto"/>
        </w:rPr>
      </w:pPr>
      <w:r w:rsidRPr="006448DF">
        <w:rPr>
          <w:color w:val="auto"/>
        </w:rPr>
        <w:t>In surveys, 90% of PHN CEOs and Chairs and 55% of their stakeholders reported that short-term funding cycles, often 1</w:t>
      </w:r>
      <w:r w:rsidRPr="006448DF">
        <w:rPr>
          <w:rFonts w:cs="Arial"/>
          <w:color w:val="auto"/>
        </w:rPr>
        <w:t>–</w:t>
      </w:r>
      <w:r w:rsidRPr="006448DF">
        <w:rPr>
          <w:color w:val="auto"/>
        </w:rPr>
        <w:t xml:space="preserve">3 years, have a significant impact on the ability for PHNs to </w:t>
      </w:r>
      <w:r w:rsidRPr="006448DF">
        <w:rPr>
          <w:color w:val="auto"/>
        </w:rPr>
        <w:lastRenderedPageBreak/>
        <w:t xml:space="preserve">deliver program objectives. Funded service providers also highlighted risks of short-term funding to service continuity and attracting and retaining their workforces. They argued for </w:t>
      </w:r>
      <w:r w:rsidR="00347B98">
        <w:rPr>
          <w:color w:val="auto"/>
        </w:rPr>
        <w:t xml:space="preserve">more </w:t>
      </w:r>
      <w:r w:rsidRPr="006448DF">
        <w:rPr>
          <w:color w:val="auto"/>
        </w:rPr>
        <w:t>permanent funding for proven, successful services.</w:t>
      </w:r>
    </w:p>
    <w:p w14:paraId="3CF16E32" w14:textId="78EBEDBD" w:rsidR="00B47699" w:rsidRPr="00E90DC6" w:rsidRDefault="00B47699" w:rsidP="001E39A0">
      <w:pPr>
        <w:pStyle w:val="Exhibit"/>
        <w:spacing w:line="276" w:lineRule="auto"/>
      </w:pPr>
      <w:r>
        <w:t xml:space="preserve">Exhibit </w:t>
      </w:r>
      <w:r w:rsidR="00C31666">
        <w:t>9</w:t>
      </w:r>
      <w:r>
        <w:t xml:space="preserve">: </w:t>
      </w:r>
      <w:r w:rsidR="00C16634">
        <w:t>S</w:t>
      </w:r>
      <w:r w:rsidRPr="00236EDD">
        <w:t>hort-term funding cycles have a significant impact on the ability for PHNs to deliver program objectives​</w:t>
      </w:r>
    </w:p>
    <w:p w14:paraId="151D5A98" w14:textId="77777777" w:rsidR="00B47699" w:rsidRPr="006448DF" w:rsidRDefault="00B47699" w:rsidP="00ED11FC">
      <w:pPr>
        <w:pStyle w:val="Body"/>
        <w:spacing w:after="0"/>
        <w:jc w:val="center"/>
        <w:rPr>
          <w:color w:val="auto"/>
        </w:rPr>
      </w:pPr>
      <w:r w:rsidRPr="006448DF">
        <w:rPr>
          <w:noProof/>
          <w:color w:val="auto"/>
        </w:rPr>
        <w:drawing>
          <wp:inline distT="0" distB="0" distL="0" distR="0" wp14:anchorId="2333904B" wp14:editId="58AA67AF">
            <wp:extent cx="5868538" cy="2314405"/>
            <wp:effectExtent l="0" t="0" r="0" b="0"/>
            <wp:docPr id="1939382638" name="Picture 1" descr="Bar chart showing that 90% of PHN CEOs/Chairs and 55% of stakeholders report significant impact from short-term (1–3 year) funding cycles on program delivery. Other responses show varying but lower levels of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82638" name="Picture 1" descr="Bar chart showing that 90% of PHN CEOs/Chairs and 55% of stakeholders report significant impact from short-term (1–3 year) funding cycles on program delivery. Other responses show varying but lower levels of impact."/>
                    <pic:cNvPicPr/>
                  </pic:nvPicPr>
                  <pic:blipFill rotWithShape="1">
                    <a:blip r:embed="rId25"/>
                    <a:srcRect b="10508"/>
                    <a:stretch>
                      <a:fillRect/>
                    </a:stretch>
                  </pic:blipFill>
                  <pic:spPr bwMode="auto">
                    <a:xfrm>
                      <a:off x="0" y="0"/>
                      <a:ext cx="5969183" cy="2354097"/>
                    </a:xfrm>
                    <a:prstGeom prst="rect">
                      <a:avLst/>
                    </a:prstGeom>
                    <a:ln>
                      <a:noFill/>
                    </a:ln>
                    <a:extLst>
                      <a:ext uri="{53640926-AAD7-44D8-BBD7-CCE9431645EC}">
                        <a14:shadowObscured xmlns:a14="http://schemas.microsoft.com/office/drawing/2010/main"/>
                      </a:ext>
                    </a:extLst>
                  </pic:spPr>
                </pic:pic>
              </a:graphicData>
            </a:graphic>
          </wp:inline>
        </w:drawing>
      </w:r>
    </w:p>
    <w:p w14:paraId="2229384F" w14:textId="77777777" w:rsidR="00B47699" w:rsidRPr="006448DF" w:rsidRDefault="00B47699" w:rsidP="001E39A0">
      <w:pPr>
        <w:pStyle w:val="Quote"/>
        <w:spacing w:before="240" w:after="0" w:line="276" w:lineRule="auto"/>
        <w:rPr>
          <w:lang w:val="en-AU"/>
        </w:rPr>
      </w:pPr>
      <w:r w:rsidRPr="006448DF">
        <w:rPr>
          <w:lang w:val="en-AU"/>
        </w:rPr>
        <w:t xml:space="preserve">Source: Survey conducted by review team to PHN CEO/Chairs and PHN Stakeholders </w:t>
      </w:r>
    </w:p>
    <w:p w14:paraId="25982BB0" w14:textId="1275791F" w:rsidR="00B47699" w:rsidRPr="00F52042" w:rsidRDefault="00B47699" w:rsidP="001E39A0">
      <w:pPr>
        <w:pStyle w:val="Exhibit"/>
        <w:spacing w:line="276" w:lineRule="auto"/>
      </w:pPr>
      <w:r>
        <w:t xml:space="preserve">Exhibit </w:t>
      </w:r>
      <w:r w:rsidR="00C31666">
        <w:t>10</w:t>
      </w:r>
      <w:r>
        <w:t xml:space="preserve">: </w:t>
      </w:r>
      <w:r w:rsidRPr="00DF0A63">
        <w:t>PHNs and service providers reported challenges in funding approvals, with adverse implications for service delivery</w:t>
      </w:r>
      <w:r w:rsidR="00F52042" w:rsidRPr="006448DF">
        <w:rPr>
          <w:noProof/>
        </w:rPr>
        <w:drawing>
          <wp:inline distT="0" distB="0" distL="0" distR="0" wp14:anchorId="710ADE8B" wp14:editId="34EF6859">
            <wp:extent cx="5759450" cy="2366645"/>
            <wp:effectExtent l="0" t="0" r="6350" b="0"/>
            <wp:docPr id="1302826606" name="Picture 9" descr="Image with quotes from PHNs, service providers, and peak bodies highlighting the negative impact of short-term funding cycles. Common issues include instability, workforce retention challenges, limited program scope, and barriers to long-term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26606" name="Picture 9" descr="Image with quotes from PHNs, service providers, and peak bodies highlighting the negative impact of short-term funding cycles. Common issues include instability, workforce retention challenges, limited program scope, and barriers to long-term plann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366645"/>
                    </a:xfrm>
                    <a:prstGeom prst="rect">
                      <a:avLst/>
                    </a:prstGeom>
                  </pic:spPr>
                </pic:pic>
              </a:graphicData>
            </a:graphic>
          </wp:inline>
        </w:drawing>
      </w:r>
    </w:p>
    <w:p w14:paraId="087C6086" w14:textId="1FEE7C40" w:rsidR="00B47699" w:rsidRPr="006448DF" w:rsidRDefault="00B47699" w:rsidP="001E39A0">
      <w:pPr>
        <w:pStyle w:val="Quote"/>
        <w:spacing w:line="276" w:lineRule="auto"/>
        <w:rPr>
          <w:lang w:val="en-AU"/>
        </w:rPr>
      </w:pPr>
      <w:r w:rsidRPr="006448DF">
        <w:rPr>
          <w:lang w:val="en-AU"/>
        </w:rPr>
        <w:t xml:space="preserve">Source: Stakeholder interviews and focus groups </w:t>
      </w:r>
      <w:r w:rsidR="00EE1D1E" w:rsidRPr="006448DF">
        <w:rPr>
          <w:lang w:val="en-AU"/>
        </w:rPr>
        <w:br/>
      </w:r>
    </w:p>
    <w:p w14:paraId="4B8C7A1A" w14:textId="77777777" w:rsidR="00A57B47" w:rsidRPr="006448DF" w:rsidRDefault="00A57B47" w:rsidP="001E39A0">
      <w:pPr>
        <w:pStyle w:val="Heading4"/>
        <w:spacing w:line="276" w:lineRule="auto"/>
        <w:rPr>
          <w:lang w:val="en-AU"/>
        </w:rPr>
      </w:pPr>
      <w:r w:rsidRPr="006448DF">
        <w:rPr>
          <w:lang w:val="en-AU"/>
        </w:rPr>
        <w:t xml:space="preserve">3.2 </w:t>
      </w:r>
      <w:r w:rsidRPr="006448DF">
        <w:rPr>
          <w:rFonts w:eastAsiaTheme="minorEastAsia"/>
          <w:lang w:val="en-AU"/>
        </w:rPr>
        <w:t>Limited ability to tailor to local needs</w:t>
      </w:r>
    </w:p>
    <w:p w14:paraId="0A9FCB16" w14:textId="77777777" w:rsidR="00A57B47" w:rsidRPr="006448DF" w:rsidRDefault="00A57B47" w:rsidP="00ED11FC">
      <w:pPr>
        <w:pStyle w:val="Body"/>
        <w:rPr>
          <w:color w:val="auto"/>
        </w:rPr>
      </w:pPr>
      <w:r w:rsidRPr="006448DF">
        <w:rPr>
          <w:color w:val="auto"/>
        </w:rPr>
        <w:t>PHNs reported that prescriptive program rules (e.g. activities defined in Program schedules) prevent them from commissioning in line with Needs Assessments, despite strong intent to address local priorities. This limits implementation effectiveness in local communities. Nineteen of 29 PHNs stated that these constraints limit their ability to respond to identified gaps using non-clinical roles, digital tools or alternative models. Stakeholders also highlighted that rigid activity definitions are particularly misaligned with thin markets, where workforce limitations demand more flexible, place-based solutions.</w:t>
      </w:r>
    </w:p>
    <w:p w14:paraId="79A5B209" w14:textId="77777777" w:rsidR="00A57B47" w:rsidRPr="006448DF" w:rsidRDefault="00A57B47" w:rsidP="001E39A0">
      <w:pPr>
        <w:pStyle w:val="Heading4"/>
        <w:spacing w:line="276" w:lineRule="auto"/>
        <w:rPr>
          <w:lang w:val="en-AU"/>
        </w:rPr>
      </w:pPr>
      <w:r w:rsidRPr="006448DF">
        <w:rPr>
          <w:lang w:val="en-AU"/>
        </w:rPr>
        <w:lastRenderedPageBreak/>
        <w:t>3.3 Rushed commissioning</w:t>
      </w:r>
    </w:p>
    <w:p w14:paraId="540EC322" w14:textId="5AF49F89" w:rsidR="000C6C65" w:rsidRDefault="00A57B47" w:rsidP="00ED11FC">
      <w:pPr>
        <w:pStyle w:val="Body"/>
      </w:pPr>
      <w:r w:rsidRPr="006448DF">
        <w:rPr>
          <w:color w:val="auto"/>
        </w:rPr>
        <w:t>Many PHNs and service providers reported that delays in funding and service notifications negatively affected service delivery, with rushed commissioning cycles compressing the planning and scale-up of programs into unrealistic timeframes, and undermining service quality and workforce stability. 71% of PHNs reported that delays between the announcement and release of funding had significant impacts on their operations. In addition, 41% of PHNs reported that delays in funding availability directly affected their cash flow, constraining their ability to plan and commission effectively.</w:t>
      </w:r>
    </w:p>
    <w:p w14:paraId="3253B5A4" w14:textId="40E6190E" w:rsidR="00A57B47" w:rsidRPr="006448DF" w:rsidRDefault="00C16634" w:rsidP="007B60D8">
      <w:pPr>
        <w:pStyle w:val="Heading3"/>
      </w:pPr>
      <w:r w:rsidRPr="006448DF">
        <w:t xml:space="preserve">4. </w:t>
      </w:r>
      <w:r w:rsidR="00A57B47" w:rsidRPr="006448DF">
        <w:t>Other themes</w:t>
      </w:r>
      <w:r w:rsidR="00662252" w:rsidRPr="00662252">
        <w:rPr>
          <w:color w:val="000000" w:themeColor="text1"/>
        </w:rPr>
        <w:t xml:space="preserve"> </w:t>
      </w:r>
      <w:r w:rsidR="00662252" w:rsidRPr="00662252">
        <w:t>emerging from consultation with stakeholders.</w:t>
      </w:r>
    </w:p>
    <w:p w14:paraId="60493B89" w14:textId="51F5273A" w:rsidR="00A57B47" w:rsidRPr="006448DF" w:rsidRDefault="000C6C65" w:rsidP="001E39A0">
      <w:pPr>
        <w:pStyle w:val="Heading4"/>
        <w:spacing w:line="276" w:lineRule="auto"/>
        <w:rPr>
          <w:lang w:val="en-AU"/>
        </w:rPr>
      </w:pPr>
      <w:r w:rsidRPr="006448DF">
        <w:rPr>
          <w:lang w:val="en-AU"/>
        </w:rPr>
        <w:t xml:space="preserve">4.1 </w:t>
      </w:r>
      <w:r w:rsidR="00A57B47" w:rsidRPr="006448DF">
        <w:rPr>
          <w:lang w:val="en-AU"/>
        </w:rPr>
        <w:t>Many stakeholders recognised opportunities for greater collaboration across PHNs to deliver better outcomes, more efficiently</w:t>
      </w:r>
    </w:p>
    <w:p w14:paraId="2F3EC729" w14:textId="77A1F1BD" w:rsidR="00A57B47" w:rsidRPr="006448DF" w:rsidRDefault="00A57B47" w:rsidP="00A57B47">
      <w:pPr>
        <w:pStyle w:val="Body"/>
      </w:pPr>
      <w:r w:rsidRPr="006448DF">
        <w:t>PHNs and other stakeholders noted collaboration provides a means to avoid duplication of effort and reduce administrative burden, and to support innovation more systematically. For example, payroll, IT systems, HR and data engineering were cited as examples of back-office functions that could be shared. Some stakeholders also said collaboration was needed to share resources and knowledge, achieve consistent commissioning models and scale successful activities. Some stakeholders referenced the role that cooperative bodies</w:t>
      </w:r>
      <w:r w:rsidR="00883DF8">
        <w:rPr>
          <w:rStyle w:val="FootnoteReference"/>
        </w:rPr>
        <w:footnoteReference w:id="9"/>
      </w:r>
      <w:r w:rsidRPr="006448DF">
        <w:t xml:space="preserve"> have played in supporting consistency and collaboration across the 29 PHN Operators to date. Stakeholders also raised the concept of using meso-level (regional) structures or bodies to conduct activities at scale.</w:t>
      </w:r>
    </w:p>
    <w:p w14:paraId="1A681A75" w14:textId="560A9838" w:rsidR="00A57B47" w:rsidRPr="006448DF" w:rsidRDefault="000C6C65" w:rsidP="001E39A0">
      <w:pPr>
        <w:pStyle w:val="Heading4"/>
        <w:spacing w:line="276" w:lineRule="auto"/>
        <w:rPr>
          <w:lang w:val="en-AU"/>
        </w:rPr>
      </w:pPr>
      <w:r w:rsidRPr="006448DF">
        <w:rPr>
          <w:lang w:val="en-AU"/>
        </w:rPr>
        <w:t xml:space="preserve">4.2 </w:t>
      </w:r>
      <w:r w:rsidR="00A57B47" w:rsidRPr="006448DF">
        <w:rPr>
          <w:lang w:val="en-AU"/>
        </w:rPr>
        <w:t>Some stakeholders, especially those with regional and rural presence, noted that the PHN role and approach needs to be flexible in thin markets</w:t>
      </w:r>
    </w:p>
    <w:p w14:paraId="26CBBEC4" w14:textId="77777777" w:rsidR="00A57B47" w:rsidRPr="006448DF" w:rsidRDefault="00A57B47" w:rsidP="00A57B47">
      <w:pPr>
        <w:pStyle w:val="Body"/>
      </w:pPr>
      <w:r w:rsidRPr="006448DF">
        <w:t xml:space="preserve">Some stakeholders noted that the type of funding and the prescriptiveness of activity associated with PHN funding is not always equally appropriate across different types of markets. </w:t>
      </w:r>
      <w:proofErr w:type="gramStart"/>
      <w:r w:rsidRPr="006448DF">
        <w:t>In particular, stakeholders</w:t>
      </w:r>
      <w:proofErr w:type="gramEnd"/>
      <w:r w:rsidRPr="006448DF">
        <w:t xml:space="preserve"> referenced that different commissioning processes are needed in thin markets.  </w:t>
      </w:r>
    </w:p>
    <w:p w14:paraId="71622AE2" w14:textId="5FF8F814" w:rsidR="00A57B47" w:rsidRPr="006448DF" w:rsidRDefault="000C6C65" w:rsidP="00457793">
      <w:pPr>
        <w:pStyle w:val="Heading4"/>
      </w:pPr>
      <w:r w:rsidRPr="006448DF">
        <w:t xml:space="preserve">4.3 </w:t>
      </w:r>
      <w:r w:rsidR="00A57B47" w:rsidRPr="006448DF">
        <w:t>Many stakeholders identified data and analytics as an area for improvement across the PHN Program and primary care more broadly</w:t>
      </w:r>
    </w:p>
    <w:p w14:paraId="5E141D75" w14:textId="77777777" w:rsidR="00A57B47" w:rsidRPr="006448DF" w:rsidRDefault="00A57B47" w:rsidP="00A57B47">
      <w:pPr>
        <w:pStyle w:val="Body"/>
      </w:pPr>
      <w:r w:rsidRPr="006448DF">
        <w:t xml:space="preserve">Many stakeholders commented on the lack of access to quality data, and the opportunities across the primary care system to improve data-linkage and interoperability in ways that could benefit the planning and measurement of PHN outcomes. More broadly, stakeholders also noted this data could be used to better inform policy and for financial planning and allocations. </w:t>
      </w:r>
    </w:p>
    <w:p w14:paraId="39034A5F" w14:textId="2CDEE162" w:rsidR="007C743E" w:rsidRPr="00457793" w:rsidRDefault="007C743E" w:rsidP="00457793">
      <w:pPr>
        <w:pStyle w:val="Heading4"/>
      </w:pPr>
      <w:r w:rsidRPr="006448DF">
        <w:lastRenderedPageBreak/>
        <w:t>4.</w:t>
      </w:r>
      <w:r>
        <w:t>4</w:t>
      </w:r>
      <w:r w:rsidRPr="006448DF">
        <w:t xml:space="preserve"> </w:t>
      </w:r>
      <w:r w:rsidR="0042140B" w:rsidRPr="0042140B">
        <w:t xml:space="preserve">Some stakeholders raised concerns </w:t>
      </w:r>
      <w:r w:rsidR="00215490">
        <w:t>on allocation of</w:t>
      </w:r>
      <w:r w:rsidR="0042140B" w:rsidRPr="0042140B">
        <w:t xml:space="preserve"> First Nations health funding through PHNs </w:t>
      </w:r>
    </w:p>
    <w:p w14:paraId="7A0DA4E9" w14:textId="24A3E75D" w:rsidR="00967F83" w:rsidRPr="00967F83" w:rsidRDefault="00967F83" w:rsidP="00967F83">
      <w:pPr>
        <w:pStyle w:val="Body"/>
        <w:rPr>
          <w:color w:val="auto"/>
        </w:rPr>
      </w:pPr>
      <w:r w:rsidRPr="00967F83">
        <w:rPr>
          <w:color w:val="auto"/>
        </w:rPr>
        <w:t>PHNs and peak bodies noted that the current approach to funding First Nations health services, which channels funding through PHNs rather than directly to Aboriginal Community Controlled Organisations, may not align with the self-determination principles outlined in the Ninti One review. Stakeholders also expressed concern about the lack of clarity and delays in government decision-making on the review’s recommendations</w:t>
      </w:r>
      <w:r w:rsidR="00A00D46">
        <w:rPr>
          <w:color w:val="auto"/>
        </w:rPr>
        <w:t>.</w:t>
      </w:r>
    </w:p>
    <w:p w14:paraId="25F2EE88" w14:textId="77777777" w:rsidR="007C743E" w:rsidRPr="006448DF" w:rsidRDefault="007C743E" w:rsidP="001E39A0">
      <w:pPr>
        <w:pStyle w:val="Body"/>
      </w:pPr>
    </w:p>
    <w:p w14:paraId="44BAE6FF" w14:textId="77777777" w:rsidR="00A57B47" w:rsidRPr="006448DF" w:rsidRDefault="00A57B47" w:rsidP="001E39A0">
      <w:pPr>
        <w:pStyle w:val="Heading2"/>
        <w:spacing w:line="276" w:lineRule="auto"/>
        <w:rPr>
          <w:lang w:val="en-AU"/>
        </w:rPr>
      </w:pPr>
      <w:r w:rsidRPr="006448DF">
        <w:rPr>
          <w:lang w:val="en-AU"/>
        </w:rPr>
        <w:br w:type="page"/>
      </w:r>
      <w:bookmarkStart w:id="20" w:name="_Toc199782147"/>
      <w:r w:rsidRPr="006448DF">
        <w:rPr>
          <w:lang w:val="en-AU"/>
        </w:rPr>
        <w:lastRenderedPageBreak/>
        <w:t>Mental Health Flexible Funding Stream</w:t>
      </w:r>
      <w:bookmarkEnd w:id="20"/>
    </w:p>
    <w:p w14:paraId="513CA824" w14:textId="32F2E615" w:rsidR="00A57B47" w:rsidRPr="006448DF" w:rsidRDefault="00A57B47" w:rsidP="00A57B47">
      <w:pPr>
        <w:rPr>
          <w:b/>
        </w:rPr>
      </w:pPr>
      <w:r w:rsidRPr="009E65E1">
        <w:t>The Mental Health Flexible Funding Stream (MH FFS) delivers funding to support PHNs to commission place-based mental health care where existing services do not meet community needs</w:t>
      </w:r>
      <w:r w:rsidRPr="00E90DC6">
        <w:t>.</w:t>
      </w:r>
      <w:r w:rsidRPr="001A3AC3">
        <w:t xml:space="preserve"> </w:t>
      </w:r>
      <w:r w:rsidRPr="006D3FF3">
        <w:t xml:space="preserve">Introduced in 2016, </w:t>
      </w:r>
      <w:r>
        <w:t>the MH FFS</w:t>
      </w:r>
      <w:r w:rsidRPr="006D3FF3">
        <w:t xml:space="preserve"> responded to widespread service gaps by aiming to improve access and address local priorities. </w:t>
      </w:r>
      <w:r>
        <w:t>The stream</w:t>
      </w:r>
      <w:r w:rsidRPr="006D3FF3">
        <w:t xml:space="preserve"> provides</w:t>
      </w:r>
      <w:r w:rsidRPr="006D3FF3" w:rsidDel="000B5723">
        <w:t xml:space="preserve"> </w:t>
      </w:r>
      <w:r w:rsidRPr="006D3FF3">
        <w:t xml:space="preserve">short-term grant funding to support services that fall between </w:t>
      </w:r>
      <w:r w:rsidR="000B5723">
        <w:t>low intensity</w:t>
      </w:r>
      <w:r w:rsidRPr="006D3FF3">
        <w:t xml:space="preserve"> and </w:t>
      </w:r>
      <w:r w:rsidR="000B5723">
        <w:t>high intensity services</w:t>
      </w:r>
      <w:r w:rsidRPr="006D3FF3">
        <w:t>, with a focus on moderate-intensity support. It includes both specified and unspecified funding: specified funding supports national</w:t>
      </w:r>
      <w:r w:rsidR="000B5723">
        <w:t>ly consistent</w:t>
      </w:r>
      <w:r w:rsidRPr="006D3FF3">
        <w:t xml:space="preserve"> programs and is more prescriptive, while unspecified funding </w:t>
      </w:r>
      <w:r w:rsidR="00480BF2">
        <w:t xml:space="preserve">is intended to </w:t>
      </w:r>
      <w:r w:rsidRPr="006D3FF3">
        <w:t>give PHNs greater flexibility to respond to local needs.</w:t>
      </w:r>
    </w:p>
    <w:p w14:paraId="1F0B4F50" w14:textId="4E9F59B1" w:rsidR="00A57B47" w:rsidRPr="006448DF" w:rsidRDefault="00A57B47" w:rsidP="00A57B47">
      <w:r w:rsidRPr="009E65E1">
        <w:t>The MH FFS displays many of the same tensions identified within the PHN Business Model</w:t>
      </w:r>
      <w:r w:rsidRPr="006448DF">
        <w:t xml:space="preserve"> (see Exhibit </w:t>
      </w:r>
      <w:r w:rsidR="00AE0653" w:rsidRPr="006448DF">
        <w:t>1</w:t>
      </w:r>
      <w:r w:rsidR="00F52042" w:rsidRPr="006448DF">
        <w:t>1</w:t>
      </w:r>
      <w:r w:rsidRPr="006448DF">
        <w:t xml:space="preserve">). Stakeholders share similar concerns about governance, prescriptive schedules, short term funding, poor outcomes measurement. However, the broader funding and service context for mental health primary care has shifted, with increased investment, new national and state programs such as Headspace and Medicare </w:t>
      </w:r>
      <w:r w:rsidR="00D761F6" w:rsidRPr="006448DF">
        <w:t>M</w:t>
      </w:r>
      <w:r w:rsidRPr="006448DF">
        <w:t xml:space="preserve">ental </w:t>
      </w:r>
      <w:r w:rsidR="00D761F6" w:rsidRPr="006448DF">
        <w:t>H</w:t>
      </w:r>
      <w:r w:rsidRPr="006448DF">
        <w:t xml:space="preserve">ealth </w:t>
      </w:r>
      <w:proofErr w:type="spellStart"/>
      <w:r w:rsidR="00D761F6" w:rsidRPr="006448DF">
        <w:t>C</w:t>
      </w:r>
      <w:r w:rsidRPr="006448DF">
        <w:t>enters</w:t>
      </w:r>
      <w:proofErr w:type="spellEnd"/>
      <w:r w:rsidRPr="006448DF">
        <w:t xml:space="preserve">, and </w:t>
      </w:r>
      <w:r w:rsidR="00D761F6" w:rsidRPr="006448DF">
        <w:t>Commonwealth and state agreements including the National Mental Health and Suicide Prevention Agreement (2022-2026)</w:t>
      </w:r>
      <w:r w:rsidRPr="006448DF">
        <w:t xml:space="preserve">. While more needs are being met, the diversity of local unmet needs has increased, based on regional differences in demographics, workforce availability, culturally specific service gaps and the fragmentation of existing services. </w:t>
      </w:r>
    </w:p>
    <w:p w14:paraId="0FEE6890" w14:textId="6280F71F" w:rsidR="00A57B47" w:rsidRPr="00E90DC6" w:rsidRDefault="00A57B47" w:rsidP="00A57B47">
      <w:pPr>
        <w:pStyle w:val="Exhibit"/>
        <w:rPr>
          <w:rFonts w:eastAsiaTheme="minorEastAsia"/>
        </w:rPr>
      </w:pPr>
      <w:r w:rsidRPr="00E90DC6" w:rsidDel="00D11BD6">
        <w:rPr>
          <w:rFonts w:eastAsiaTheme="minorEastAsia"/>
        </w:rPr>
        <w:t xml:space="preserve">Exhibit </w:t>
      </w:r>
      <w:r w:rsidR="005B1842">
        <w:rPr>
          <w:rFonts w:eastAsiaTheme="minorEastAsia"/>
        </w:rPr>
        <w:t>1</w:t>
      </w:r>
      <w:r w:rsidR="00C31666">
        <w:rPr>
          <w:rFonts w:eastAsiaTheme="minorEastAsia"/>
        </w:rPr>
        <w:t>1</w:t>
      </w:r>
      <w:r w:rsidRPr="00E90DC6">
        <w:rPr>
          <w:rFonts w:eastAsiaTheme="minorEastAsia"/>
        </w:rPr>
        <w:t xml:space="preserve">: THE MH FFS is an example of broader PHN tensions that undermine trust, along with program-specific </w:t>
      </w:r>
      <w:r w:rsidRPr="00E90DC6" w:rsidDel="007B48F4">
        <w:rPr>
          <w:rFonts w:eastAsiaTheme="minorEastAsia"/>
        </w:rPr>
        <w:t>f</w:t>
      </w:r>
      <w:r w:rsidRPr="00E90DC6">
        <w:rPr>
          <w:rFonts w:eastAsiaTheme="minorEastAsia"/>
        </w:rPr>
        <w:t>unding challenges that require targeted reforms</w:t>
      </w:r>
    </w:p>
    <w:p w14:paraId="482E0E24" w14:textId="77777777" w:rsidR="00A57B47" w:rsidRPr="006448DF" w:rsidRDefault="00A57B47" w:rsidP="00A57B47">
      <w:pPr>
        <w:jc w:val="center"/>
        <w:rPr>
          <w:b/>
        </w:rPr>
      </w:pPr>
      <w:r w:rsidRPr="006448DF">
        <w:rPr>
          <w:b/>
          <w:noProof/>
        </w:rPr>
        <w:drawing>
          <wp:inline distT="0" distB="0" distL="0" distR="0" wp14:anchorId="352CB915" wp14:editId="09310089">
            <wp:extent cx="4751462" cy="2950740"/>
            <wp:effectExtent l="0" t="0" r="0" b="0"/>
            <wp:docPr id="1668438269" name="Picture 1" descr="Image summarising stakeholder concerns about the Mental Health FFS program. Key issues include lack of flexibility, misalignment with local needs, limited data transparency, and tensions in the PHN business model that undermine trust and program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38269" name="Picture 1" descr="Image summarising stakeholder concerns about the Mental Health FFS program. Key issues include lack of flexibility, misalignment with local needs, limited data transparency, and tensions in the PHN business model that undermine trust and program effectiveness."/>
                    <pic:cNvPicPr/>
                  </pic:nvPicPr>
                  <pic:blipFill rotWithShape="1">
                    <a:blip r:embed="rId27"/>
                    <a:srcRect l="4331" t="18391" r="28064" b="6973"/>
                    <a:stretch/>
                  </pic:blipFill>
                  <pic:spPr bwMode="auto">
                    <a:xfrm>
                      <a:off x="0" y="0"/>
                      <a:ext cx="4825502" cy="2996720"/>
                    </a:xfrm>
                    <a:prstGeom prst="rect">
                      <a:avLst/>
                    </a:prstGeom>
                    <a:ln>
                      <a:noFill/>
                    </a:ln>
                    <a:extLst>
                      <a:ext uri="{53640926-AAD7-44D8-BBD7-CCE9431645EC}">
                        <a14:shadowObscured xmlns:a14="http://schemas.microsoft.com/office/drawing/2010/main"/>
                      </a:ext>
                    </a:extLst>
                  </pic:spPr>
                </pic:pic>
              </a:graphicData>
            </a:graphic>
          </wp:inline>
        </w:drawing>
      </w:r>
    </w:p>
    <w:p w14:paraId="6E587615" w14:textId="12429B25" w:rsidR="00A57B47" w:rsidRPr="0028028E" w:rsidRDefault="00A57B47" w:rsidP="001A3AC3">
      <w:pPr>
        <w:pStyle w:val="Heading3"/>
        <w:spacing w:line="276" w:lineRule="auto"/>
      </w:pPr>
      <w:r w:rsidRPr="001A3AC3">
        <w:rPr>
          <w:b w:val="0"/>
          <w:color w:val="000000" w:themeColor="text1"/>
        </w:rPr>
        <w:t>The funding and service delivery context for mental health has changed significantly since the MH FFS was introduce in 2016</w:t>
      </w:r>
      <w:r w:rsidR="00D259B0" w:rsidRPr="001A3AC3">
        <w:rPr>
          <w:b w:val="0"/>
          <w:color w:val="000000" w:themeColor="text1"/>
        </w:rPr>
        <w:t xml:space="preserve">. </w:t>
      </w:r>
      <w:r w:rsidRPr="001A3AC3">
        <w:rPr>
          <w:b w:val="0"/>
          <w:color w:val="000000" w:themeColor="text1"/>
          <w:lang w:val="en-AU"/>
        </w:rPr>
        <w:t>When the MH FFS was introduced in 2016, all PHNs faced widespread unmet mental health needs</w:t>
      </w:r>
      <w:r w:rsidR="00D259B0" w:rsidRPr="00D259B0">
        <w:rPr>
          <w:b w:val="0"/>
          <w:bCs w:val="0"/>
          <w:color w:val="000000" w:themeColor="text1"/>
          <w:lang w:val="en-AU"/>
        </w:rPr>
        <w:t>. T</w:t>
      </w:r>
      <w:r w:rsidRPr="001A3AC3">
        <w:rPr>
          <w:b w:val="0"/>
          <w:color w:val="000000" w:themeColor="text1"/>
          <w:lang w:val="en-AU"/>
        </w:rPr>
        <w:t>he scheme was designed to ensure that a range of unmet needs were at least partially addressed.</w:t>
      </w:r>
      <w:r w:rsidR="00470176" w:rsidRPr="001A3AC3">
        <w:rPr>
          <w:b w:val="0"/>
          <w:color w:val="000000" w:themeColor="text1"/>
          <w:lang w:val="en-AU"/>
        </w:rPr>
        <w:t xml:space="preserve"> </w:t>
      </w:r>
      <w:r w:rsidRPr="001A3AC3">
        <w:rPr>
          <w:b w:val="0"/>
          <w:color w:val="000000" w:themeColor="text1"/>
          <w:lang w:val="en-AU"/>
        </w:rPr>
        <w:t xml:space="preserve">Since 2016, the funding and service delivery context for mental health has evolved significantly. Commonwealth and State funding has grown, with the introduction of National and State-based programs including Headspace, Medicare </w:t>
      </w:r>
      <w:r w:rsidR="00D450CB" w:rsidRPr="001A3AC3">
        <w:rPr>
          <w:b w:val="0"/>
          <w:color w:val="000000" w:themeColor="text1"/>
          <w:lang w:val="en-AU"/>
        </w:rPr>
        <w:t>M</w:t>
      </w:r>
      <w:r w:rsidRPr="001A3AC3">
        <w:rPr>
          <w:b w:val="0"/>
          <w:color w:val="000000" w:themeColor="text1"/>
          <w:lang w:val="en-AU"/>
        </w:rPr>
        <w:t xml:space="preserve">ental </w:t>
      </w:r>
      <w:r w:rsidR="00D450CB" w:rsidRPr="001A3AC3">
        <w:rPr>
          <w:b w:val="0"/>
          <w:color w:val="000000" w:themeColor="text1"/>
          <w:lang w:val="en-AU"/>
        </w:rPr>
        <w:t>H</w:t>
      </w:r>
      <w:r w:rsidRPr="001A3AC3">
        <w:rPr>
          <w:b w:val="0"/>
          <w:color w:val="000000" w:themeColor="text1"/>
          <w:lang w:val="en-AU"/>
        </w:rPr>
        <w:t xml:space="preserve">ealth </w:t>
      </w:r>
      <w:r w:rsidR="00D450CB" w:rsidRPr="001A3AC3">
        <w:rPr>
          <w:b w:val="0"/>
          <w:color w:val="000000" w:themeColor="text1"/>
          <w:lang w:val="en-AU"/>
        </w:rPr>
        <w:t>C</w:t>
      </w:r>
      <w:r w:rsidRPr="001A3AC3">
        <w:rPr>
          <w:b w:val="0"/>
          <w:color w:val="000000" w:themeColor="text1"/>
          <w:lang w:val="en-AU"/>
        </w:rPr>
        <w:t xml:space="preserve">entres and state-delivered community mental health </w:t>
      </w:r>
      <w:r w:rsidRPr="001A3AC3">
        <w:rPr>
          <w:b w:val="0"/>
          <w:color w:val="000000" w:themeColor="text1"/>
          <w:lang w:val="en-AU"/>
        </w:rPr>
        <w:lastRenderedPageBreak/>
        <w:t>programs. People also have access to services via new digital channels, including web-based, app-based and telehealth platforms. The total volume of MBS mental health services has increased by 3% per year, with the share of services delivered by psychologists rising from 44% to 48%. The size of the mental health workforce has also increased by 4% per year since 2016, with the number of psychologists growing around two times faster than GPs and psychiatrists.</w:t>
      </w:r>
    </w:p>
    <w:p w14:paraId="501B2B25" w14:textId="4FBC72FE" w:rsidR="00A57B47" w:rsidRPr="006448DF" w:rsidRDefault="00A57B47" w:rsidP="001A3AC3">
      <w:r w:rsidRPr="001A3AC3">
        <w:t>The significant unmet need for mental health in each PHN region has become highly regional</w:t>
      </w:r>
      <w:r w:rsidR="00C5687C" w:rsidRPr="001A3AC3">
        <w:t xml:space="preserve">ly </w:t>
      </w:r>
      <w:r w:rsidRPr="001A3AC3">
        <w:t>specific</w:t>
      </w:r>
      <w:r w:rsidR="00C5687C" w:rsidRPr="001A3AC3">
        <w:t>,</w:t>
      </w:r>
      <w:r w:rsidRPr="001A3AC3">
        <w:t xml:space="preserve"> with </w:t>
      </w:r>
      <w:r w:rsidR="00D259B0" w:rsidRPr="001A3AC3">
        <w:t xml:space="preserve">each </w:t>
      </w:r>
      <w:r w:rsidRPr="001A3AC3">
        <w:t xml:space="preserve">PHN </w:t>
      </w:r>
      <w:r w:rsidR="00D259B0" w:rsidRPr="001A3AC3">
        <w:t xml:space="preserve">experiencing </w:t>
      </w:r>
      <w:r w:rsidRPr="001A3AC3">
        <w:t xml:space="preserve">a unique </w:t>
      </w:r>
      <w:r w:rsidR="00D259B0" w:rsidRPr="001A3AC3">
        <w:t xml:space="preserve">combination </w:t>
      </w:r>
      <w:r w:rsidRPr="001A3AC3">
        <w:t>of commissioning, coordination and capacity gaps</w:t>
      </w:r>
      <w:r w:rsidR="00D259B0">
        <w:t xml:space="preserve">. </w:t>
      </w:r>
      <w:r w:rsidRPr="006448DF">
        <w:t>Unmet needs increasingly reflect localised factors, such as service fragmentation, culturally specific needs, thin markets and local workforce shortages. PHNs reported a range of high priority gaps to address:</w:t>
      </w:r>
    </w:p>
    <w:p w14:paraId="3D530F72" w14:textId="69817F15" w:rsidR="00A57B47" w:rsidRPr="006448DF" w:rsidRDefault="00A57B47" w:rsidP="001E39A0">
      <w:pPr>
        <w:pStyle w:val="Bullet1"/>
        <w:spacing w:line="276" w:lineRule="auto"/>
        <w:rPr>
          <w:rFonts w:eastAsiaTheme="minorEastAsia"/>
        </w:rPr>
      </w:pPr>
      <w:r w:rsidRPr="006448DF">
        <w:rPr>
          <w:rFonts w:eastAsiaTheme="minorEastAsia"/>
          <w:b/>
        </w:rPr>
        <w:t>Service gaps</w:t>
      </w:r>
      <w:r w:rsidRPr="006448DF">
        <w:rPr>
          <w:rFonts w:eastAsiaTheme="minorEastAsia"/>
        </w:rPr>
        <w:t>: There is a lack of services, with 35–82% of populations with a mental health condition not accessing mainstream (e.g. MBS) services</w:t>
      </w:r>
      <w:r w:rsidR="00131E60" w:rsidRPr="006448DF">
        <w:rPr>
          <w:rFonts w:eastAsiaTheme="minorEastAsia"/>
        </w:rPr>
        <w:t>.</w:t>
      </w:r>
    </w:p>
    <w:p w14:paraId="36845C8F" w14:textId="5C38B86D" w:rsidR="00A57B47" w:rsidRPr="006448DF" w:rsidRDefault="00A57B47" w:rsidP="001E39A0">
      <w:pPr>
        <w:pStyle w:val="Bullet1"/>
        <w:spacing w:line="276" w:lineRule="auto"/>
        <w:rPr>
          <w:rFonts w:eastAsiaTheme="minorEastAsia"/>
        </w:rPr>
      </w:pPr>
      <w:r w:rsidRPr="006448DF">
        <w:rPr>
          <w:rFonts w:eastAsiaTheme="minorEastAsia"/>
          <w:b/>
        </w:rPr>
        <w:t xml:space="preserve">Coordination </w:t>
      </w:r>
      <w:r w:rsidR="00C5687C" w:rsidRPr="006448DF">
        <w:rPr>
          <w:rFonts w:eastAsiaTheme="minorEastAsia"/>
          <w:b/>
        </w:rPr>
        <w:t>g</w:t>
      </w:r>
      <w:r w:rsidRPr="006448DF">
        <w:rPr>
          <w:rFonts w:eastAsiaTheme="minorEastAsia"/>
          <w:b/>
        </w:rPr>
        <w:t>aps</w:t>
      </w:r>
      <w:r w:rsidRPr="006448DF">
        <w:rPr>
          <w:rFonts w:eastAsiaTheme="minorEastAsia"/>
        </w:rPr>
        <w:t>: PHNs identified unmet needs in service coordination in their local Needs Assessments, which they expect to increase with the ongoing roll out of national programs and drive further fragmentation across the stepped care continuum</w:t>
      </w:r>
      <w:r w:rsidR="00131E60" w:rsidRPr="006448DF">
        <w:rPr>
          <w:rFonts w:eastAsiaTheme="minorEastAsia"/>
        </w:rPr>
        <w:t>.</w:t>
      </w:r>
    </w:p>
    <w:p w14:paraId="0EDFB31E" w14:textId="0F1FADD4" w:rsidR="00A57B47" w:rsidRPr="006448DF" w:rsidRDefault="00A57B47" w:rsidP="001E39A0">
      <w:pPr>
        <w:pStyle w:val="Bullet1"/>
        <w:spacing w:line="276" w:lineRule="auto"/>
        <w:rPr>
          <w:rFonts w:eastAsiaTheme="minorEastAsia"/>
        </w:rPr>
      </w:pPr>
      <w:r w:rsidRPr="006448DF">
        <w:rPr>
          <w:rFonts w:eastAsiaTheme="minorEastAsia"/>
          <w:b/>
        </w:rPr>
        <w:t>Capa</w:t>
      </w:r>
      <w:r w:rsidR="003042E4" w:rsidRPr="006448DF">
        <w:rPr>
          <w:rFonts w:eastAsiaTheme="minorEastAsia"/>
          <w:b/>
        </w:rPr>
        <w:t>city</w:t>
      </w:r>
      <w:r w:rsidRPr="006448DF">
        <w:rPr>
          <w:rFonts w:eastAsiaTheme="minorEastAsia"/>
          <w:b/>
        </w:rPr>
        <w:t xml:space="preserve"> gaps</w:t>
      </w:r>
      <w:r w:rsidRPr="006448DF">
        <w:rPr>
          <w:rFonts w:eastAsiaTheme="minorEastAsia"/>
        </w:rPr>
        <w:t>: PHNs identified unmet needs in their respective and varied clinical workforces – the per-capita mental health practitioner workforce varies by up to 450% between the lowest and highest-resourced PHN regions</w:t>
      </w:r>
      <w:r w:rsidR="00131E60" w:rsidRPr="006448DF">
        <w:rPr>
          <w:rFonts w:eastAsiaTheme="minorEastAsia"/>
        </w:rPr>
        <w:t>.</w:t>
      </w:r>
    </w:p>
    <w:p w14:paraId="36E73F38" w14:textId="77777777" w:rsidR="00A57B47" w:rsidRPr="006448DF" w:rsidRDefault="00A57B47" w:rsidP="00A57B47">
      <w:pPr>
        <w:pStyle w:val="Bullet1"/>
        <w:numPr>
          <w:ilvl w:val="0"/>
          <w:numId w:val="0"/>
        </w:numPr>
        <w:ind w:left="511"/>
        <w:rPr>
          <w:rFonts w:eastAsiaTheme="minorEastAsia"/>
        </w:rPr>
      </w:pPr>
    </w:p>
    <w:p w14:paraId="60711F75" w14:textId="6055C3F1" w:rsidR="00A57B47" w:rsidRPr="00A61566" w:rsidRDefault="00A57B47" w:rsidP="00A57B47">
      <w:pPr>
        <w:pStyle w:val="Exhibit"/>
        <w:rPr>
          <w:rFonts w:eastAsiaTheme="minorEastAsia"/>
        </w:rPr>
      </w:pPr>
      <w:r w:rsidRPr="00E25171">
        <w:rPr>
          <w:rFonts w:eastAsiaTheme="minorEastAsia"/>
        </w:rPr>
        <w:t xml:space="preserve">Exhibit </w:t>
      </w:r>
      <w:r w:rsidR="005B1842">
        <w:rPr>
          <w:rFonts w:eastAsiaTheme="minorEastAsia"/>
        </w:rPr>
        <w:t>1</w:t>
      </w:r>
      <w:r w:rsidR="00C31666">
        <w:rPr>
          <w:rFonts w:eastAsiaTheme="minorEastAsia"/>
        </w:rPr>
        <w:t>2</w:t>
      </w:r>
      <w:r w:rsidRPr="00E25171">
        <w:rPr>
          <w:rFonts w:eastAsiaTheme="minorEastAsia"/>
        </w:rPr>
        <w:t xml:space="preserve">: </w:t>
      </w:r>
      <w:r w:rsidRPr="00D35C46">
        <w:rPr>
          <w:rFonts w:eastAsiaTheme="minorEastAsia"/>
        </w:rPr>
        <w:t xml:space="preserve">35-82% of populations with a mental health condition </w:t>
      </w:r>
      <w:r>
        <w:rPr>
          <w:rFonts w:eastAsiaTheme="minorEastAsia"/>
        </w:rPr>
        <w:t xml:space="preserve">are </w:t>
      </w:r>
      <w:r w:rsidRPr="00D35C46">
        <w:rPr>
          <w:rFonts w:eastAsiaTheme="minorEastAsia"/>
        </w:rPr>
        <w:t>not accessing mainstream (e.g. MBS) services</w:t>
      </w:r>
    </w:p>
    <w:p w14:paraId="6ED0BCB8" w14:textId="77777777" w:rsidR="00A57B47" w:rsidRPr="006448DF" w:rsidRDefault="00A57B47" w:rsidP="00A57B47">
      <w:r w:rsidRPr="006448DF">
        <w:rPr>
          <w:noProof/>
        </w:rPr>
        <w:drawing>
          <wp:inline distT="0" distB="0" distL="0" distR="0" wp14:anchorId="1B66922C" wp14:editId="27B02B9D">
            <wp:extent cx="5578677" cy="2506477"/>
            <wp:effectExtent l="0" t="0" r="0" b="0"/>
            <wp:docPr id="966972737" name="Picture 1" descr="Three bar charts comparing regions on mental health service need, access, and demand. The Northern Territory shows the highest unmet need (86%). Access levels are relatively uniform across regions, while demand varies mode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72737" name="Picture 1" descr="Three bar charts comparing regions on mental health service need, access, and demand. The Northern Territory shows the highest unmet need (86%). Access levels are relatively uniform across regions, while demand varies moderately."/>
                    <pic:cNvPicPr/>
                  </pic:nvPicPr>
                  <pic:blipFill rotWithShape="1">
                    <a:blip r:embed="rId28"/>
                    <a:srcRect b="5951"/>
                    <a:stretch>
                      <a:fillRect/>
                    </a:stretch>
                  </pic:blipFill>
                  <pic:spPr bwMode="auto">
                    <a:xfrm>
                      <a:off x="0" y="0"/>
                      <a:ext cx="5617214" cy="2523791"/>
                    </a:xfrm>
                    <a:prstGeom prst="rect">
                      <a:avLst/>
                    </a:prstGeom>
                    <a:ln>
                      <a:noFill/>
                    </a:ln>
                    <a:extLst>
                      <a:ext uri="{53640926-AAD7-44D8-BBD7-CCE9431645EC}">
                        <a14:shadowObscured xmlns:a14="http://schemas.microsoft.com/office/drawing/2010/main"/>
                      </a:ext>
                    </a:extLst>
                  </pic:spPr>
                </pic:pic>
              </a:graphicData>
            </a:graphic>
          </wp:inline>
        </w:drawing>
      </w:r>
    </w:p>
    <w:p w14:paraId="58E4CA4A" w14:textId="34142BDC" w:rsidR="00A57B47" w:rsidRPr="006448DF" w:rsidRDefault="00A57B47" w:rsidP="00A57B47">
      <w:pPr>
        <w:pStyle w:val="Quote"/>
        <w:rPr>
          <w:lang w:val="en-AU"/>
        </w:rPr>
      </w:pPr>
      <w:r w:rsidRPr="006448DF">
        <w:rPr>
          <w:lang w:val="en-AU"/>
        </w:rPr>
        <w:t>Source: 2020-2022 National Study of Mental Health and Wellbeing; 2. AIHW Medicare Mental Health Services data; data is derived from all mental-health related MBS codes across medical and non-medical mental health practitioners; 3. Equal to ((</w:t>
      </w:r>
      <w:r w:rsidR="002B39E3" w:rsidRPr="006448DF">
        <w:rPr>
          <w:lang w:val="en-AU"/>
        </w:rPr>
        <w:t>L</w:t>
      </w:r>
      <w:r w:rsidRPr="006448DF">
        <w:rPr>
          <w:lang w:val="en-AU"/>
        </w:rPr>
        <w:t>evel of demand) – (Level of access)) / (Level of demand)</w:t>
      </w:r>
    </w:p>
    <w:p w14:paraId="5C3164DA" w14:textId="77777777" w:rsidR="00A57B47" w:rsidRPr="006448DF" w:rsidRDefault="00A57B47" w:rsidP="00A57B47"/>
    <w:p w14:paraId="6DF6F594" w14:textId="77777777" w:rsidR="00A57B47" w:rsidRPr="006448DF" w:rsidRDefault="00A57B47" w:rsidP="00A57B47">
      <w:pPr>
        <w:pStyle w:val="Bullet1"/>
        <w:numPr>
          <w:ilvl w:val="0"/>
          <w:numId w:val="0"/>
        </w:numPr>
        <w:ind w:left="511" w:hanging="369"/>
        <w:rPr>
          <w:rFonts w:eastAsiaTheme="minorEastAsia"/>
        </w:rPr>
      </w:pPr>
    </w:p>
    <w:p w14:paraId="36382EAB" w14:textId="35D63638" w:rsidR="00A57B47" w:rsidRDefault="00A57B47" w:rsidP="00A57B47">
      <w:pPr>
        <w:pStyle w:val="Exhibit"/>
        <w:rPr>
          <w:rFonts w:eastAsiaTheme="minorEastAsia"/>
        </w:rPr>
      </w:pPr>
      <w:r w:rsidRPr="00E25171">
        <w:rPr>
          <w:rFonts w:eastAsiaTheme="minorEastAsia"/>
        </w:rPr>
        <w:lastRenderedPageBreak/>
        <w:t xml:space="preserve">Exhibit </w:t>
      </w:r>
      <w:r w:rsidR="005B1842">
        <w:rPr>
          <w:rFonts w:eastAsiaTheme="minorEastAsia"/>
        </w:rPr>
        <w:t>1</w:t>
      </w:r>
      <w:r w:rsidR="00C31666">
        <w:rPr>
          <w:rFonts w:eastAsiaTheme="minorEastAsia"/>
        </w:rPr>
        <w:t>3</w:t>
      </w:r>
      <w:r w:rsidRPr="00E25171">
        <w:rPr>
          <w:rFonts w:eastAsiaTheme="minorEastAsia"/>
        </w:rPr>
        <w:t>:</w:t>
      </w:r>
      <w:r w:rsidRPr="00422C2B">
        <w:rPr>
          <w:rFonts w:eastAsiaTheme="minorEastAsia"/>
        </w:rPr>
        <w:t xml:space="preserve"> Per-capita mental health practitioner workforce var</w:t>
      </w:r>
      <w:r>
        <w:rPr>
          <w:rFonts w:eastAsiaTheme="minorEastAsia"/>
        </w:rPr>
        <w:t>ie</w:t>
      </w:r>
      <w:r w:rsidRPr="00422C2B">
        <w:rPr>
          <w:rFonts w:eastAsiaTheme="minorEastAsia"/>
        </w:rPr>
        <w:t>s by up to 450% between the lowest and highest-resourced PHN regions</w:t>
      </w:r>
    </w:p>
    <w:p w14:paraId="2463325C" w14:textId="77777777" w:rsidR="00A57B47" w:rsidRPr="006448DF" w:rsidRDefault="00A57B47" w:rsidP="00A57B47">
      <w:pPr>
        <w:pStyle w:val="Bullet1"/>
        <w:numPr>
          <w:ilvl w:val="0"/>
          <w:numId w:val="0"/>
        </w:numPr>
        <w:ind w:left="142"/>
        <w:rPr>
          <w:rFonts w:eastAsiaTheme="minorEastAsia"/>
        </w:rPr>
      </w:pPr>
      <w:r w:rsidRPr="006448DF">
        <w:rPr>
          <w:rFonts w:eastAsiaTheme="minorEastAsia"/>
          <w:noProof/>
        </w:rPr>
        <w:drawing>
          <wp:inline distT="0" distB="0" distL="0" distR="0" wp14:anchorId="7DD6D085" wp14:editId="0CBD74BB">
            <wp:extent cx="5354499" cy="2260471"/>
            <wp:effectExtent l="0" t="0" r="5080" b="635"/>
            <wp:docPr id="356309996" name="Picture 1" descr="Bar chart showing the number of mental health practitioners per 100,000 people across PHNs in 2022–23. Practitioner types include psychiatrists, psychologists, nurses, OTs, and social workers. Highest rates are in Perth North, lowest in West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09996" name="Picture 1" descr="Bar chart showing the number of mental health practitioners per 100,000 people across PHNs in 2022–23. Practitioner types include psychiatrists, psychologists, nurses, OTs, and social workers. Highest rates are in Perth North, lowest in Western Queensland."/>
                    <pic:cNvPicPr/>
                  </pic:nvPicPr>
                  <pic:blipFill rotWithShape="1">
                    <a:blip r:embed="rId29"/>
                    <a:srcRect b="7801"/>
                    <a:stretch>
                      <a:fillRect/>
                    </a:stretch>
                  </pic:blipFill>
                  <pic:spPr bwMode="auto">
                    <a:xfrm>
                      <a:off x="0" y="0"/>
                      <a:ext cx="5381399" cy="2271827"/>
                    </a:xfrm>
                    <a:prstGeom prst="rect">
                      <a:avLst/>
                    </a:prstGeom>
                    <a:ln>
                      <a:noFill/>
                    </a:ln>
                    <a:extLst>
                      <a:ext uri="{53640926-AAD7-44D8-BBD7-CCE9431645EC}">
                        <a14:shadowObscured xmlns:a14="http://schemas.microsoft.com/office/drawing/2010/main"/>
                      </a:ext>
                    </a:extLst>
                  </pic:spPr>
                </pic:pic>
              </a:graphicData>
            </a:graphic>
          </wp:inline>
        </w:drawing>
      </w:r>
    </w:p>
    <w:p w14:paraId="02E161E6" w14:textId="1F0836A6" w:rsidR="00A57B47" w:rsidRPr="006448DF" w:rsidRDefault="00A57B47" w:rsidP="00ED11FC">
      <w:pPr>
        <w:pStyle w:val="Quote"/>
        <w:rPr>
          <w:lang w:val="en-AU"/>
        </w:rPr>
      </w:pPr>
      <w:r w:rsidRPr="006448DF">
        <w:rPr>
          <w:lang w:val="en-AU"/>
        </w:rPr>
        <w:t>1. 2023 data; 2022 not available. All other data is 2022</w:t>
      </w:r>
      <w:r w:rsidR="00244C04" w:rsidRPr="006448DF">
        <w:rPr>
          <w:lang w:val="en-AU"/>
        </w:rPr>
        <w:t>;</w:t>
      </w:r>
      <w:r w:rsidRPr="006448DF">
        <w:rPr>
          <w:lang w:val="en-AU"/>
        </w:rPr>
        <w:t xml:space="preserve"> 2. OT = Occupational therapist</w:t>
      </w:r>
      <w:r w:rsidR="00244C04" w:rsidRPr="006448DF">
        <w:rPr>
          <w:lang w:val="en-AU"/>
        </w:rPr>
        <w:t>;</w:t>
      </w:r>
      <w:r w:rsidRPr="006448DF">
        <w:rPr>
          <w:lang w:val="en-AU"/>
        </w:rPr>
        <w:t xml:space="preserve"> 3. SW= Social worker </w:t>
      </w:r>
      <w:r w:rsidR="006D555F" w:rsidRPr="006448DF">
        <w:rPr>
          <w:lang w:val="en-AU"/>
        </w:rPr>
        <w:br/>
      </w:r>
      <w:r w:rsidRPr="006448DF">
        <w:rPr>
          <w:lang w:val="en-AU"/>
        </w:rPr>
        <w:t xml:space="preserve">Source AIHW Mental Health Workforce, data 24 July 2024 </w:t>
      </w:r>
      <w:r w:rsidR="006D555F" w:rsidRPr="006448DF">
        <w:rPr>
          <w:lang w:val="en-AU"/>
        </w:rPr>
        <w:br/>
      </w:r>
    </w:p>
    <w:p w14:paraId="1B755C58" w14:textId="66B3CBDA" w:rsidR="00A57B47" w:rsidRPr="006448DF" w:rsidRDefault="00A57B47" w:rsidP="00A57B47">
      <w:pPr>
        <w:rPr>
          <w:color w:val="0070C0"/>
        </w:rPr>
      </w:pPr>
      <w:r w:rsidRPr="006448DF">
        <w:t>Stakeholders outside the PHN network echoed these views</w:t>
      </w:r>
      <w:r w:rsidR="00287E42" w:rsidRPr="006448DF">
        <w:t xml:space="preserve"> and m</w:t>
      </w:r>
      <w:r w:rsidRPr="006448DF">
        <w:t>any pointed to the need for stronger investment in workforce development, particularly in thin markets.</w:t>
      </w:r>
    </w:p>
    <w:p w14:paraId="46399036" w14:textId="5501100D" w:rsidR="00287E42" w:rsidRPr="006448DF" w:rsidRDefault="00A57B47" w:rsidP="00A57B47">
      <w:r w:rsidRPr="001A3AC3">
        <w:t>While local needs are generally well understood by PHNs, their ability to address these needs is constrained by the MH FFS program</w:t>
      </w:r>
      <w:r w:rsidR="00D259B0">
        <w:t xml:space="preserve">. </w:t>
      </w:r>
      <w:r w:rsidRPr="006448DF">
        <w:t>PHNs</w:t>
      </w:r>
      <w:r w:rsidRPr="006448DF" w:rsidDel="00A20313">
        <w:t xml:space="preserve"> </w:t>
      </w:r>
      <w:r w:rsidR="00A20313">
        <w:t xml:space="preserve">periodically </w:t>
      </w:r>
      <w:r w:rsidRPr="006448DF">
        <w:t>undertake local Needs Assessments</w:t>
      </w:r>
      <w:r w:rsidR="006D555F" w:rsidRPr="006448DF">
        <w:t>,</w:t>
      </w:r>
      <w:r w:rsidRPr="006448DF">
        <w:t xml:space="preserve"> and this process is generally viewed as </w:t>
      </w:r>
      <w:r w:rsidR="00D259B0">
        <w:t>effective</w:t>
      </w:r>
      <w:r w:rsidR="00D259B0" w:rsidRPr="006448DF">
        <w:t xml:space="preserve"> </w:t>
      </w:r>
      <w:r w:rsidRPr="006448DF">
        <w:t xml:space="preserve">by </w:t>
      </w:r>
      <w:r w:rsidR="003A6CC4" w:rsidRPr="006448DF">
        <w:t>PHNs and their stakeholders</w:t>
      </w:r>
      <w:r w:rsidRPr="006448DF">
        <w:t xml:space="preserve">. However, many PHNs report </w:t>
      </w:r>
      <w:r w:rsidR="00AA7A87" w:rsidRPr="006448DF">
        <w:t xml:space="preserve">that </w:t>
      </w:r>
      <w:r w:rsidR="00AA7A87">
        <w:t xml:space="preserve">the combination of MH FFS funding streams, priorities, guidance documents, historical directions from The Department, and prescriptive schedules </w:t>
      </w:r>
      <w:r w:rsidRPr="006448DF">
        <w:t>do</w:t>
      </w:r>
      <w:r w:rsidR="00AA7A87" w:rsidRPr="006448DF">
        <w:t>es</w:t>
      </w:r>
      <w:r w:rsidRPr="006448DF">
        <w:t xml:space="preserve"> not allow them to respond meaningfully to the needs identified. Most (19 of 29) PHNs reported that the current funding structures prevent them from tailoring services to the needs identified in their assessments. While the grant opportunity guidelines have a broad definition of allowable activities, the reality for PHNs via the grant schedules and other guidance is </w:t>
      </w:r>
      <w:r w:rsidR="00011B2E">
        <w:t xml:space="preserve">often </w:t>
      </w:r>
      <w:r w:rsidR="003425B3" w:rsidRPr="006448DF">
        <w:t>highly prescriptive</w:t>
      </w:r>
      <w:r w:rsidRPr="006448DF">
        <w:t>.</w:t>
      </w:r>
      <w:r w:rsidR="00671D3B" w:rsidRPr="006448DF">
        <w:t xml:space="preserve"> For example, </w:t>
      </w:r>
      <w:r w:rsidR="00854A81" w:rsidRPr="006448DF">
        <w:t xml:space="preserve">PHNs reported that the MH FFS is overly focused on commissioning new </w:t>
      </w:r>
      <w:r w:rsidR="001C576C" w:rsidRPr="006448DF">
        <w:t xml:space="preserve">and bespoke </w:t>
      </w:r>
      <w:r w:rsidR="00854A81" w:rsidRPr="006448DF">
        <w:t>services</w:t>
      </w:r>
      <w:r w:rsidR="001C576C" w:rsidRPr="006448DF">
        <w:t xml:space="preserve"> that align with national priorities</w:t>
      </w:r>
      <w:r w:rsidR="00854A81" w:rsidRPr="006448DF">
        <w:t xml:space="preserve">, when the solutions </w:t>
      </w:r>
      <w:r w:rsidR="002F2805" w:rsidRPr="006448DF">
        <w:t>that are needed most</w:t>
      </w:r>
      <w:r w:rsidR="00854A81" w:rsidRPr="006448DF">
        <w:t xml:space="preserve"> to address unmet needs may involve coordination of existing services and capacity building across the workforce</w:t>
      </w:r>
      <w:r w:rsidR="00854A81" w:rsidRPr="00374D6A">
        <w:t xml:space="preserve">.  </w:t>
      </w:r>
      <w:r w:rsidR="00287E42" w:rsidRPr="006448DF">
        <w:t xml:space="preserve">Stakeholders </w:t>
      </w:r>
      <w:r w:rsidR="004A5793" w:rsidRPr="006448DF">
        <w:t xml:space="preserve">also </w:t>
      </w:r>
      <w:r w:rsidR="00287E42" w:rsidRPr="006448DF">
        <w:t>argued that current funding rules limit the ability of PHNs to coordinate and strengthen services that are already in place. Several emphasised that service innovation, including new models of care, cannot occur without greater flexibility in how funds are applied.</w:t>
      </w:r>
    </w:p>
    <w:p w14:paraId="509BAA0C" w14:textId="0C8EFC77" w:rsidR="00A57B47" w:rsidRDefault="00A57B47" w:rsidP="00A57B47">
      <w:pPr>
        <w:pStyle w:val="Exhibit"/>
        <w:rPr>
          <w:rFonts w:eastAsiaTheme="minorEastAsia"/>
        </w:rPr>
      </w:pPr>
      <w:r w:rsidRPr="00E25171">
        <w:rPr>
          <w:rFonts w:eastAsiaTheme="minorEastAsia"/>
        </w:rPr>
        <w:lastRenderedPageBreak/>
        <w:t xml:space="preserve">Exhibit </w:t>
      </w:r>
      <w:r w:rsidR="00E720C6">
        <w:rPr>
          <w:rFonts w:eastAsiaTheme="minorEastAsia"/>
        </w:rPr>
        <w:t>1</w:t>
      </w:r>
      <w:r w:rsidR="00C31666">
        <w:rPr>
          <w:rFonts w:eastAsiaTheme="minorEastAsia"/>
        </w:rPr>
        <w:t>4</w:t>
      </w:r>
      <w:r w:rsidRPr="00E25171">
        <w:rPr>
          <w:rFonts w:eastAsiaTheme="minorEastAsia"/>
        </w:rPr>
        <w:t>:</w:t>
      </w:r>
      <w:r>
        <w:rPr>
          <w:rFonts w:eastAsiaTheme="minorEastAsia"/>
        </w:rPr>
        <w:t xml:space="preserve"> </w:t>
      </w:r>
      <w:r w:rsidRPr="00ED6DC3">
        <w:rPr>
          <w:rFonts w:eastAsiaTheme="minorEastAsia"/>
        </w:rPr>
        <w:t>Most (19 of 29) PHNs report that funding is inflexible and inhibits their ability to fund initiatives to address local needs</w:t>
      </w:r>
    </w:p>
    <w:p w14:paraId="4F5CFAFA" w14:textId="500615F4" w:rsidR="008A4757" w:rsidRPr="00E90DC6" w:rsidRDefault="008A4757" w:rsidP="00A57B47">
      <w:pPr>
        <w:pStyle w:val="Exhibit"/>
        <w:rPr>
          <w:rFonts w:eastAsiaTheme="minorEastAsia"/>
        </w:rPr>
      </w:pPr>
      <w:r w:rsidRPr="006448DF">
        <w:rPr>
          <w:rFonts w:eastAsiaTheme="minorEastAsia"/>
          <w:noProof/>
        </w:rPr>
        <w:drawing>
          <wp:inline distT="0" distB="0" distL="0" distR="0" wp14:anchorId="14851719" wp14:editId="6CA4A7DF">
            <wp:extent cx="5952227" cy="2397953"/>
            <wp:effectExtent l="0" t="0" r="4445" b="2540"/>
            <wp:docPr id="388849981" name="Picture 1" descr="Image with quotes from PHNs highlighting limitations of the MH FFS model. Key issues include lack of flexibility, misalignment with local needs, rigid intervention sets, and calls for longer funding cycles and outcome-focuse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49981" name="Picture 1" descr="Image with quotes from PHNs highlighting limitations of the MH FFS model. Key issues include lack of flexibility, misalignment with local needs, rigid intervention sets, and calls for longer funding cycles and outcome-focused guidance."/>
                    <pic:cNvPicPr/>
                  </pic:nvPicPr>
                  <pic:blipFill>
                    <a:blip r:embed="rId30"/>
                    <a:stretch>
                      <a:fillRect/>
                    </a:stretch>
                  </pic:blipFill>
                  <pic:spPr>
                    <a:xfrm>
                      <a:off x="0" y="0"/>
                      <a:ext cx="5971071" cy="2405545"/>
                    </a:xfrm>
                    <a:prstGeom prst="rect">
                      <a:avLst/>
                    </a:prstGeom>
                  </pic:spPr>
                </pic:pic>
              </a:graphicData>
            </a:graphic>
          </wp:inline>
        </w:drawing>
      </w:r>
    </w:p>
    <w:p w14:paraId="27A73B1B" w14:textId="77777777" w:rsidR="00A57B47" w:rsidRPr="006448DF" w:rsidRDefault="00A57B47" w:rsidP="00A57B47">
      <w:pPr>
        <w:pStyle w:val="Quote"/>
        <w:rPr>
          <w:lang w:val="en-AU"/>
        </w:rPr>
      </w:pPr>
      <w:r w:rsidRPr="006448DF">
        <w:rPr>
          <w:lang w:val="en-AU"/>
        </w:rPr>
        <w:t xml:space="preserve">Source: Stakeholder interviews and focus groups </w:t>
      </w:r>
    </w:p>
    <w:p w14:paraId="166B4444" w14:textId="4BE54E20" w:rsidR="00A57B47" w:rsidRPr="006448DF" w:rsidRDefault="00A57B47" w:rsidP="00A57B47">
      <w:r w:rsidRPr="001A3AC3">
        <w:t>Under the current activity work plans and data capture approach, policy owners are not able to insightfully show the outputs produced for the significant investment in MH FFS</w:t>
      </w:r>
      <w:r w:rsidR="00A53170">
        <w:t xml:space="preserve">. </w:t>
      </w:r>
      <w:r w:rsidRPr="006448DF">
        <w:t xml:space="preserve">Each PHN follows an activity work planning process and captures significant data via the </w:t>
      </w:r>
      <w:r w:rsidR="006477B8" w:rsidRPr="006448DF">
        <w:t>M</w:t>
      </w:r>
      <w:r w:rsidRPr="006448DF">
        <w:t xml:space="preserve">inimum </w:t>
      </w:r>
      <w:r w:rsidR="006477B8" w:rsidRPr="006448DF">
        <w:t>D</w:t>
      </w:r>
      <w:r w:rsidRPr="006448DF">
        <w:t xml:space="preserve">ata </w:t>
      </w:r>
      <w:r w:rsidR="006477B8" w:rsidRPr="006448DF">
        <w:t>S</w:t>
      </w:r>
      <w:r w:rsidRPr="006448DF">
        <w:t>et. However, activity work plans are qualitative only, making it hard to assess the outputs/outcomes. In addition, the minimum dataset does not currently allow an aggregated view of the scale, volume or reach of commissioned services, making it difficult to assess outcomes or track delivery across time or regions. This makes it difficult for policy owners to demonstrate the outputs produced for the significant investment in the MH FFS. Both policy teams and PHNs have called for more outcome or output-focused and aggregated reporting.</w:t>
      </w:r>
    </w:p>
    <w:p w14:paraId="5D65C21C" w14:textId="77777777" w:rsidR="00A57B47" w:rsidRPr="006448DF" w:rsidRDefault="00A57B47" w:rsidP="00A57B47">
      <w:pPr>
        <w:spacing w:before="0" w:after="0" w:line="240" w:lineRule="auto"/>
        <w:rPr>
          <w:b/>
          <w:color w:val="358189" w:themeColor="accent2"/>
          <w:sz w:val="26"/>
          <w:szCs w:val="26"/>
        </w:rPr>
      </w:pPr>
      <w:r w:rsidRPr="006448DF">
        <w:br w:type="page"/>
      </w:r>
    </w:p>
    <w:p w14:paraId="23D49AEB" w14:textId="77777777" w:rsidR="00A57B47" w:rsidRPr="006448DF" w:rsidRDefault="00A57B47" w:rsidP="00A57B47">
      <w:pPr>
        <w:pStyle w:val="Heading1"/>
      </w:pPr>
      <w:bookmarkStart w:id="21" w:name="_Toc199782148"/>
      <w:r w:rsidRPr="006448DF">
        <w:lastRenderedPageBreak/>
        <w:t>Recommendations</w:t>
      </w:r>
      <w:bookmarkEnd w:id="21"/>
    </w:p>
    <w:p w14:paraId="2E47EEAE" w14:textId="77777777" w:rsidR="00A57B47" w:rsidRPr="006448DF" w:rsidRDefault="00A57B47" w:rsidP="00A57B47">
      <w:pPr>
        <w:pStyle w:val="Heading2"/>
        <w:rPr>
          <w:lang w:val="en-AU"/>
        </w:rPr>
      </w:pPr>
      <w:bookmarkStart w:id="22" w:name="_Toc199782149"/>
      <w:r w:rsidRPr="006448DF">
        <w:rPr>
          <w:lang w:val="en-AU"/>
        </w:rPr>
        <w:t>PHN Business Model</w:t>
      </w:r>
      <w:bookmarkEnd w:id="22"/>
    </w:p>
    <w:p w14:paraId="189C63BA" w14:textId="77777777" w:rsidR="00A57B47" w:rsidRPr="006448DF" w:rsidRDefault="00A57B47" w:rsidP="00A57B47">
      <w:pPr>
        <w:rPr>
          <w:b/>
        </w:rPr>
      </w:pPr>
      <w:r w:rsidRPr="006448DF">
        <w:t>The review recommends two streams of immediate reforms</w:t>
      </w:r>
      <w:r w:rsidRPr="006448DF">
        <w:rPr>
          <w:rFonts w:eastAsia="Arial"/>
        </w:rPr>
        <w:t xml:space="preserve"> to the PHN Business Model. These reforms are designed to address the identified tensions in the PHN</w:t>
      </w:r>
      <w:r w:rsidRPr="006448DF" w:rsidDel="003C5E3D">
        <w:rPr>
          <w:rFonts w:eastAsia="Arial"/>
        </w:rPr>
        <w:t xml:space="preserve"> </w:t>
      </w:r>
      <w:r w:rsidRPr="006448DF">
        <w:rPr>
          <w:rFonts w:eastAsia="Arial"/>
        </w:rPr>
        <w:t>Business Model while retaining the existing model.</w:t>
      </w:r>
      <w:r w:rsidRPr="006448DF">
        <w:rPr>
          <w:b/>
        </w:rPr>
        <w:t xml:space="preserve"> </w:t>
      </w:r>
    </w:p>
    <w:p w14:paraId="42AA9A3B" w14:textId="02DF0906" w:rsidR="00A57B47" w:rsidRDefault="00A57B47" w:rsidP="00A57B47">
      <w:pPr>
        <w:pStyle w:val="ListParagraph"/>
        <w:numPr>
          <w:ilvl w:val="0"/>
          <w:numId w:val="40"/>
        </w:numPr>
      </w:pPr>
      <w:r w:rsidRPr="006448DF">
        <w:rPr>
          <w:b/>
        </w:rPr>
        <w:t>Reform Stream 1</w:t>
      </w:r>
      <w:r w:rsidR="009270D7" w:rsidRPr="006448DF">
        <w:rPr>
          <w:b/>
        </w:rPr>
        <w:t xml:space="preserve"> – </w:t>
      </w:r>
      <w:r w:rsidRPr="006448DF">
        <w:rPr>
          <w:b/>
        </w:rPr>
        <w:t>Raise confidence in PHNs</w:t>
      </w:r>
      <w:r w:rsidRPr="006448DF">
        <w:t xml:space="preserve"> focuses on a targeted set of interventions to </w:t>
      </w:r>
      <w:r>
        <w:t>c</w:t>
      </w:r>
      <w:r w:rsidRPr="000117E9">
        <w:t>larify that the primary accountability of PHNs is to the Commonwealth</w:t>
      </w:r>
      <w:r>
        <w:t>, introduce minimum governance and engagement standards, and implement meaningful performance assessment</w:t>
      </w:r>
      <w:r w:rsidRPr="006448DF">
        <w:t>.</w:t>
      </w:r>
    </w:p>
    <w:p w14:paraId="25EBA419" w14:textId="359F3CF2" w:rsidR="00A57B47" w:rsidRPr="006448DF" w:rsidRDefault="00A57B47" w:rsidP="00A57B47">
      <w:pPr>
        <w:pStyle w:val="ListParagraph"/>
        <w:numPr>
          <w:ilvl w:val="0"/>
          <w:numId w:val="40"/>
        </w:numPr>
      </w:pPr>
      <w:r w:rsidRPr="006448DF">
        <w:rPr>
          <w:b/>
        </w:rPr>
        <w:t>Reform Stream 2</w:t>
      </w:r>
      <w:r w:rsidR="009270D7" w:rsidRPr="006448DF">
        <w:rPr>
          <w:b/>
        </w:rPr>
        <w:t xml:space="preserve"> –</w:t>
      </w:r>
      <w:r w:rsidRPr="006448DF">
        <w:rPr>
          <w:b/>
        </w:rPr>
        <w:t xml:space="preserve"> Improve process for funding </w:t>
      </w:r>
      <w:r w:rsidRPr="006448DF">
        <w:t xml:space="preserve">includes a targeted set of interventions to simplify grant duration, reduce the prescriptiveness of schedules, and accelerate the disbursement of funding. </w:t>
      </w:r>
    </w:p>
    <w:p w14:paraId="5C0324AD" w14:textId="77777777" w:rsidR="00A57B47" w:rsidRPr="006448DF" w:rsidRDefault="00A57B47" w:rsidP="00A57B47">
      <w:pPr>
        <w:rPr>
          <w:color w:val="auto"/>
        </w:rPr>
      </w:pPr>
      <w:r w:rsidRPr="006448DF">
        <w:rPr>
          <w:color w:val="auto"/>
        </w:rPr>
        <w:t>The two reform streams are designed to be implemented in parallel, over the coming year.</w:t>
      </w:r>
    </w:p>
    <w:p w14:paraId="2A4F8E33" w14:textId="6B5DA237" w:rsidR="00A57B47" w:rsidRPr="006448DF" w:rsidRDefault="008B6C88" w:rsidP="00A57B47">
      <w:pPr>
        <w:rPr>
          <w:color w:val="auto"/>
        </w:rPr>
      </w:pPr>
      <w:r w:rsidRPr="006448DF">
        <w:t>The review also recommends that, three years after commencing the immediate reforms, the Department considers the option of moving to</w:t>
      </w:r>
      <w:r w:rsidR="00483777" w:rsidRPr="006448DF">
        <w:t xml:space="preserve"> a not-for-profit Commonwealth entity </w:t>
      </w:r>
      <w:bookmarkStart w:id="23" w:name="OLE_LINK9"/>
      <w:r w:rsidR="00483777" w:rsidRPr="006448DF">
        <w:t xml:space="preserve">model </w:t>
      </w:r>
      <w:r w:rsidR="00DC5FDD" w:rsidRPr="001A3AC3">
        <w:t>if the reforms have not delivered sustained improvements in PHN capability and capacity</w:t>
      </w:r>
      <w:r w:rsidR="00D75243" w:rsidRPr="005A2842">
        <w:t xml:space="preserve">. </w:t>
      </w:r>
      <w:bookmarkEnd w:id="23"/>
      <w:r w:rsidR="005A2842">
        <w:t>This model would</w:t>
      </w:r>
      <w:r w:rsidR="00483777" w:rsidRPr="006448DF">
        <w:t xml:space="preserve"> help to address remaining structural tensions in governance and engagement, performance management and funding processes</w:t>
      </w:r>
      <w:r w:rsidR="00483777" w:rsidRPr="006448DF" w:rsidDel="00CD3D52">
        <w:t xml:space="preserve">, </w:t>
      </w:r>
      <w:r w:rsidR="00483777" w:rsidRPr="006448DF">
        <w:t>and unlock further efficiencies for reinvestment in primary care.</w:t>
      </w:r>
      <w:r w:rsidR="009D2153" w:rsidRPr="00ED11FC">
        <w:rPr>
          <w:bCs/>
        </w:rPr>
        <w:t xml:space="preserve">  </w:t>
      </w:r>
      <w:r w:rsidR="00A57B47" w:rsidRPr="006448DF">
        <w:rPr>
          <w:color w:val="auto"/>
        </w:rPr>
        <w:t xml:space="preserve">While this longer-term option offers significant benefits, it would be complex, time-consuming and disruptive, requiring legislative change and major shifts in contracts, systems and governance. As a result, the review recommends implementing the </w:t>
      </w:r>
      <w:r w:rsidR="004F5CBD" w:rsidRPr="006448DF">
        <w:t xml:space="preserve">two streams of </w:t>
      </w:r>
      <w:r w:rsidR="00A57B47" w:rsidRPr="006448DF">
        <w:t xml:space="preserve">immediate reforms </w:t>
      </w:r>
      <w:r w:rsidR="00A57B47" w:rsidRPr="006448DF">
        <w:rPr>
          <w:color w:val="auto"/>
        </w:rPr>
        <w:t>first.</w:t>
      </w:r>
    </w:p>
    <w:p w14:paraId="490F05FB" w14:textId="1F18A7E2" w:rsidR="00A57B47" w:rsidRPr="006448DF" w:rsidRDefault="00A57B47" w:rsidP="00A57B47">
      <w:pPr>
        <w:rPr>
          <w:color w:val="auto"/>
        </w:rPr>
      </w:pPr>
      <w:r w:rsidRPr="006448DF">
        <w:rPr>
          <w:color w:val="auto"/>
        </w:rPr>
        <w:t xml:space="preserve">The review also recommends targeted reforms to the MH FFS to ensure it better supports PHNs to deliver locally responsive mental health care. The MH FFS reforms include streamlining funding, aligning program logic with core PHN functions such as </w:t>
      </w:r>
      <w:r w:rsidR="009433AE" w:rsidRPr="006448DF">
        <w:rPr>
          <w:color w:val="auto"/>
        </w:rPr>
        <w:t>‘</w:t>
      </w:r>
      <w:r w:rsidRPr="006448DF">
        <w:rPr>
          <w:color w:val="auto"/>
        </w:rPr>
        <w:t>the 3Cs</w:t>
      </w:r>
      <w:r w:rsidR="009433AE" w:rsidRPr="006448DF">
        <w:rPr>
          <w:color w:val="auto"/>
        </w:rPr>
        <w:t>’</w:t>
      </w:r>
      <w:r w:rsidRPr="006448DF">
        <w:rPr>
          <w:color w:val="auto"/>
        </w:rPr>
        <w:t>, and strengthening planning and reporting, including the use of output measures that can be consistently tracked and compared.</w:t>
      </w:r>
    </w:p>
    <w:p w14:paraId="4F30A1EE" w14:textId="60FB8421" w:rsidR="00807823" w:rsidRPr="00807823" w:rsidRDefault="00A57B47" w:rsidP="001E39A0">
      <w:pPr>
        <w:spacing w:before="0" w:after="0"/>
      </w:pPr>
      <w:r>
        <w:br w:type="page"/>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054"/>
      </w:tblGrid>
      <w:tr w:rsidR="00A57B47" w:rsidRPr="00076428" w14:paraId="7C78A9FD" w14:textId="77777777" w:rsidTr="007C5B48">
        <w:trPr>
          <w:trHeight w:val="409"/>
          <w:tblHeader/>
        </w:trPr>
        <w:tc>
          <w:tcPr>
            <w:tcW w:w="5000" w:type="pct"/>
            <w:shd w:val="clear" w:color="auto" w:fill="005EB8"/>
            <w:vAlign w:val="center"/>
          </w:tcPr>
          <w:p w14:paraId="68F43A97" w14:textId="677D30A2" w:rsidR="00A57B47" w:rsidRPr="006448DF" w:rsidRDefault="00A57B47">
            <w:pPr>
              <w:spacing w:before="20" w:after="20"/>
              <w:rPr>
                <w:rFonts w:cs="Arial"/>
                <w:color w:val="auto"/>
                <w:sz w:val="21"/>
                <w:szCs w:val="21"/>
              </w:rPr>
            </w:pPr>
            <w:r w:rsidRPr="006448DF">
              <w:rPr>
                <w:rFonts w:cs="Arial"/>
                <w:b/>
                <w:color w:val="FFFFFF" w:themeColor="background1"/>
                <w:sz w:val="21"/>
                <w:szCs w:val="21"/>
              </w:rPr>
              <w:lastRenderedPageBreak/>
              <w:t>Reform Stream 1 – Raise confidence in PHNs</w:t>
            </w:r>
          </w:p>
        </w:tc>
      </w:tr>
      <w:tr w:rsidR="00A57B47" w:rsidRPr="00076428" w14:paraId="4ABA6A3B" w14:textId="77777777" w:rsidTr="007C5B48">
        <w:trPr>
          <w:trHeight w:val="72"/>
          <w:tblHeader/>
        </w:trPr>
        <w:tc>
          <w:tcPr>
            <w:tcW w:w="5000" w:type="pct"/>
          </w:tcPr>
          <w:p w14:paraId="3C1E47C5" w14:textId="77777777" w:rsidR="00A57B47" w:rsidRPr="006448DF" w:rsidRDefault="00A57B47">
            <w:pPr>
              <w:spacing w:before="20" w:after="20"/>
              <w:rPr>
                <w:rFonts w:cs="Arial"/>
                <w:b/>
                <w:sz w:val="21"/>
                <w:szCs w:val="21"/>
              </w:rPr>
            </w:pPr>
            <w:r w:rsidRPr="006448DF">
              <w:rPr>
                <w:rFonts w:cs="Arial"/>
                <w:b/>
                <w:sz w:val="21"/>
                <w:szCs w:val="21"/>
              </w:rPr>
              <w:t>1.1 Accountability:</w:t>
            </w:r>
            <w:r w:rsidRPr="006448DF">
              <w:rPr>
                <w:rFonts w:cs="Arial"/>
                <w:sz w:val="21"/>
                <w:szCs w:val="21"/>
              </w:rPr>
              <w:t xml:space="preserve"> </w:t>
            </w:r>
            <w:r w:rsidRPr="006448DF">
              <w:rPr>
                <w:rStyle w:val="ReformTableChar"/>
                <w:color w:val="000000" w:themeColor="text1"/>
                <w:sz w:val="21"/>
                <w:szCs w:val="21"/>
              </w:rPr>
              <w:t>Clarify that the primary accountability of PHNs is to the Commonwealth</w:t>
            </w:r>
          </w:p>
          <w:p w14:paraId="70B429F4" w14:textId="6877A5A5" w:rsidR="00A57B47" w:rsidRPr="001A3AC3" w:rsidRDefault="00A57B47" w:rsidP="0055503C">
            <w:pPr>
              <w:pStyle w:val="TableBullet"/>
              <w:ind w:left="254" w:hanging="188"/>
              <w:rPr>
                <w:sz w:val="21"/>
                <w:szCs w:val="21"/>
              </w:rPr>
            </w:pPr>
            <w:r w:rsidRPr="006448DF">
              <w:rPr>
                <w:color w:val="000000" w:themeColor="text1"/>
                <w:sz w:val="21"/>
                <w:szCs w:val="21"/>
              </w:rPr>
              <w:t xml:space="preserve">Reinforce that PHNs are funded to act on behalf of the Commonwealth in line with the provisions of their Deeds, and are primarily responsible for delivering better health outcomes by improving local primary care, through service coordination, provider </w:t>
            </w:r>
            <w:r w:rsidR="00FE24B6" w:rsidRPr="006448DF">
              <w:rPr>
                <w:color w:val="000000" w:themeColor="text1"/>
                <w:sz w:val="21"/>
                <w:szCs w:val="21"/>
              </w:rPr>
              <w:t>capacity</w:t>
            </w:r>
            <w:r w:rsidRPr="006448DF">
              <w:rPr>
                <w:color w:val="000000" w:themeColor="text1"/>
                <w:sz w:val="21"/>
                <w:szCs w:val="21"/>
              </w:rPr>
              <w:t xml:space="preserve"> building and targeted commissioning</w:t>
            </w:r>
          </w:p>
        </w:tc>
      </w:tr>
      <w:tr w:rsidR="00A57B47" w:rsidRPr="00076428" w14:paraId="2095FE9B" w14:textId="77777777" w:rsidTr="007C5B48">
        <w:trPr>
          <w:trHeight w:val="72"/>
          <w:tblHeader/>
        </w:trPr>
        <w:tc>
          <w:tcPr>
            <w:tcW w:w="5000" w:type="pct"/>
          </w:tcPr>
          <w:p w14:paraId="6C8A252F" w14:textId="77777777" w:rsidR="00A57B47" w:rsidRPr="006448DF" w:rsidRDefault="00A57B47" w:rsidP="001E39A0">
            <w:pPr>
              <w:pStyle w:val="Bullet1"/>
              <w:numPr>
                <w:ilvl w:val="0"/>
                <w:numId w:val="17"/>
              </w:numPr>
              <w:spacing w:before="60" w:after="60" w:line="276" w:lineRule="auto"/>
              <w:ind w:left="0" w:hanging="426"/>
              <w:rPr>
                <w:rFonts w:cs="Arial"/>
                <w:color w:val="000000" w:themeColor="text1"/>
                <w:sz w:val="21"/>
                <w:szCs w:val="21"/>
              </w:rPr>
            </w:pPr>
            <w:r w:rsidRPr="006448DF">
              <w:rPr>
                <w:rFonts w:cs="Arial"/>
                <w:b/>
                <w:color w:val="000000" w:themeColor="text1"/>
                <w:sz w:val="21"/>
                <w:szCs w:val="21"/>
              </w:rPr>
              <w:t>1.2 Governance and engagement:</w:t>
            </w:r>
            <w:r w:rsidRPr="006448DF">
              <w:rPr>
                <w:rFonts w:cs="Arial"/>
                <w:color w:val="000000" w:themeColor="text1"/>
                <w:sz w:val="21"/>
                <w:szCs w:val="21"/>
              </w:rPr>
              <w:t xml:space="preserve"> </w:t>
            </w:r>
            <w:r w:rsidRPr="006448DF">
              <w:rPr>
                <w:rStyle w:val="ReformTableChar"/>
                <w:color w:val="000000" w:themeColor="text1"/>
                <w:sz w:val="21"/>
                <w:szCs w:val="21"/>
              </w:rPr>
              <w:t>Introduce minimum governance and engagement standards</w:t>
            </w:r>
          </w:p>
          <w:p w14:paraId="0AC16E6B" w14:textId="074B7228" w:rsidR="00A57B47" w:rsidRPr="00ED11FC" w:rsidRDefault="00A57B47">
            <w:pPr>
              <w:pStyle w:val="TableBullet"/>
              <w:ind w:left="254" w:hanging="188"/>
              <w:rPr>
                <w:rFonts w:eastAsiaTheme="minorEastAsia"/>
                <w:color w:val="000000" w:themeColor="text1"/>
                <w:sz w:val="21"/>
                <w:szCs w:val="21"/>
              </w:rPr>
            </w:pPr>
            <w:r w:rsidRPr="00ED11FC">
              <w:rPr>
                <w:rFonts w:eastAsiaTheme="minorEastAsia"/>
                <w:color w:val="000000" w:themeColor="text1"/>
                <w:sz w:val="21"/>
                <w:szCs w:val="21"/>
              </w:rPr>
              <w:t xml:space="preserve">Require PHNs to conduct internal minimum governance reviews using standardised guidelines. The PHN Quality and Improvement team could review concerns (see reform </w:t>
            </w:r>
            <w:r w:rsidR="008F05ED">
              <w:rPr>
                <w:rFonts w:eastAsiaTheme="minorEastAsia"/>
                <w:color w:val="000000" w:themeColor="text1"/>
                <w:sz w:val="21"/>
                <w:szCs w:val="21"/>
              </w:rPr>
              <w:t xml:space="preserve">stream </w:t>
            </w:r>
            <w:r w:rsidRPr="00ED11FC">
              <w:rPr>
                <w:rFonts w:eastAsiaTheme="minorEastAsia"/>
                <w:color w:val="000000" w:themeColor="text1"/>
                <w:sz w:val="21"/>
                <w:szCs w:val="21"/>
              </w:rPr>
              <w:t>1.3) and the Department can use the contract process to mandate changes where governance is found to be inadequate</w:t>
            </w:r>
          </w:p>
          <w:p w14:paraId="39B5B964" w14:textId="76FD1D53"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Require all PHNs to adopt a nationally consistent commissioning approach, based on the existing work that has been started by the PHN Cooperative (e.g. consistent RFP documents, KPIs)</w:t>
            </w:r>
          </w:p>
          <w:p w14:paraId="0B9605DA" w14:textId="77777777"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Encourage the Cooperative to continue and consider providing it direct funding. However, it should not evolve into a governance body that can direct individual PHNs or steer the overall PHN Program – it should remain as an entity focused on best practice sharing and collaboration:</w:t>
            </w:r>
          </w:p>
          <w:p w14:paraId="156B2B7A" w14:textId="26EC3784" w:rsidR="00A57B47" w:rsidRPr="006448DF" w:rsidRDefault="00A57B47">
            <w:pPr>
              <w:pStyle w:val="TableBullet"/>
              <w:numPr>
                <w:ilvl w:val="0"/>
                <w:numId w:val="9"/>
              </w:numPr>
              <w:rPr>
                <w:rFonts w:eastAsiaTheme="minorEastAsia"/>
                <w:color w:val="000000" w:themeColor="text1"/>
                <w:sz w:val="21"/>
                <w:szCs w:val="21"/>
              </w:rPr>
            </w:pPr>
            <w:r w:rsidRPr="006448DF">
              <w:rPr>
                <w:rFonts w:eastAsiaTheme="minorEastAsia"/>
                <w:color w:val="000000" w:themeColor="text1"/>
                <w:sz w:val="21"/>
                <w:szCs w:val="21"/>
              </w:rPr>
              <w:t>Providing direct funding to the Cooperative would allow the Department to require that the Cooperative’s primary role is to enable best practice sharing and collaboration</w:t>
            </w:r>
          </w:p>
          <w:p w14:paraId="4B6FB266" w14:textId="77777777" w:rsidR="00A57B47" w:rsidRPr="006448DF" w:rsidRDefault="00A57B47">
            <w:pPr>
              <w:pStyle w:val="TableBullet"/>
              <w:numPr>
                <w:ilvl w:val="0"/>
                <w:numId w:val="9"/>
              </w:numPr>
              <w:rPr>
                <w:rFonts w:eastAsiaTheme="minorEastAsia"/>
                <w:color w:val="000000" w:themeColor="text1"/>
                <w:sz w:val="21"/>
                <w:szCs w:val="21"/>
              </w:rPr>
            </w:pPr>
            <w:r w:rsidRPr="006448DF">
              <w:rPr>
                <w:rFonts w:eastAsiaTheme="minorEastAsia"/>
                <w:color w:val="000000" w:themeColor="text1"/>
                <w:sz w:val="21"/>
                <w:szCs w:val="21"/>
              </w:rPr>
              <w:t xml:space="preserve">The Cooperative may require incorporation </w:t>
            </w:r>
            <w:proofErr w:type="gramStart"/>
            <w:r w:rsidRPr="006448DF">
              <w:rPr>
                <w:rFonts w:eastAsiaTheme="minorEastAsia"/>
                <w:color w:val="000000" w:themeColor="text1"/>
                <w:sz w:val="21"/>
                <w:szCs w:val="21"/>
              </w:rPr>
              <w:t>in order to</w:t>
            </w:r>
            <w:proofErr w:type="gramEnd"/>
            <w:r w:rsidRPr="006448DF">
              <w:rPr>
                <w:rFonts w:eastAsiaTheme="minorEastAsia"/>
                <w:color w:val="000000" w:themeColor="text1"/>
                <w:sz w:val="21"/>
                <w:szCs w:val="21"/>
              </w:rPr>
              <w:t xml:space="preserve"> receive grant-based funding.</w:t>
            </w:r>
          </w:p>
          <w:p w14:paraId="3126C67B" w14:textId="36730A10" w:rsidR="00F232C8" w:rsidRPr="001A3AC3" w:rsidRDefault="00F232C8" w:rsidP="00F232C8">
            <w:pPr>
              <w:pStyle w:val="TableBullet"/>
              <w:ind w:left="254" w:hanging="188"/>
              <w:rPr>
                <w:rFonts w:eastAsiaTheme="minorEastAsia"/>
                <w:sz w:val="21"/>
                <w:szCs w:val="21"/>
              </w:rPr>
            </w:pPr>
            <w:r>
              <w:rPr>
                <w:rFonts w:eastAsiaTheme="minorEastAsia"/>
                <w:sz w:val="21"/>
                <w:szCs w:val="21"/>
              </w:rPr>
              <w:t>Engage</w:t>
            </w:r>
            <w:r w:rsidRPr="00F232C8">
              <w:rPr>
                <w:rFonts w:eastAsiaTheme="minorEastAsia"/>
                <w:sz w:val="21"/>
                <w:szCs w:val="21"/>
              </w:rPr>
              <w:t xml:space="preserve"> directly with PHNs to </w:t>
            </w:r>
            <w:r w:rsidR="00087AC9">
              <w:rPr>
                <w:rFonts w:eastAsiaTheme="minorEastAsia"/>
                <w:sz w:val="21"/>
                <w:szCs w:val="21"/>
              </w:rPr>
              <w:t xml:space="preserve">empower and </w:t>
            </w:r>
            <w:r w:rsidRPr="00F232C8">
              <w:rPr>
                <w:rFonts w:eastAsiaTheme="minorEastAsia"/>
                <w:sz w:val="21"/>
                <w:szCs w:val="21"/>
              </w:rPr>
              <w:t xml:space="preserve">support </w:t>
            </w:r>
            <w:r w:rsidR="00087AC9">
              <w:rPr>
                <w:rFonts w:eastAsiaTheme="minorEastAsia"/>
                <w:sz w:val="21"/>
                <w:szCs w:val="21"/>
              </w:rPr>
              <w:t xml:space="preserve">them </w:t>
            </w:r>
            <w:r w:rsidRPr="00F232C8">
              <w:rPr>
                <w:rFonts w:eastAsiaTheme="minorEastAsia"/>
                <w:sz w:val="21"/>
                <w:szCs w:val="21"/>
              </w:rPr>
              <w:t>to build culturally safe and responsive relationships with local stakeholders, including Aboriginal and Torres Strait Islander organisations, and enable meaningful collaboration tailored to local context</w:t>
            </w:r>
          </w:p>
          <w:p w14:paraId="171BCD0C" w14:textId="3FF83C1C"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Changes to current geographical boundaries are not recommended; there are no significant issues with current boundaries</w:t>
            </w:r>
          </w:p>
        </w:tc>
      </w:tr>
      <w:tr w:rsidR="00A57B47" w:rsidRPr="00076428" w14:paraId="72E57409" w14:textId="77777777" w:rsidTr="007C5B48">
        <w:trPr>
          <w:trHeight w:val="72"/>
          <w:tblHeader/>
        </w:trPr>
        <w:tc>
          <w:tcPr>
            <w:tcW w:w="5000" w:type="pct"/>
          </w:tcPr>
          <w:p w14:paraId="35555175" w14:textId="77777777" w:rsidR="00A57B47" w:rsidRPr="006448DF" w:rsidRDefault="00A57B47" w:rsidP="001E39A0">
            <w:pPr>
              <w:pStyle w:val="Bullet1"/>
              <w:numPr>
                <w:ilvl w:val="0"/>
                <w:numId w:val="17"/>
              </w:numPr>
              <w:spacing w:before="60" w:after="60" w:line="276" w:lineRule="auto"/>
              <w:ind w:left="0" w:hanging="426"/>
              <w:rPr>
                <w:rFonts w:cs="Arial"/>
                <w:color w:val="000000" w:themeColor="text1"/>
                <w:sz w:val="21"/>
                <w:szCs w:val="21"/>
              </w:rPr>
            </w:pPr>
            <w:r w:rsidRPr="006448DF">
              <w:rPr>
                <w:rFonts w:cs="Arial"/>
                <w:b/>
                <w:color w:val="000000" w:themeColor="text1"/>
                <w:sz w:val="21"/>
                <w:szCs w:val="21"/>
              </w:rPr>
              <w:lastRenderedPageBreak/>
              <w:t>1.3 Performance reporting and management:</w:t>
            </w:r>
            <w:r w:rsidRPr="006448DF">
              <w:rPr>
                <w:rFonts w:cs="Arial"/>
                <w:color w:val="000000" w:themeColor="text1"/>
                <w:sz w:val="21"/>
                <w:szCs w:val="21"/>
              </w:rPr>
              <w:t xml:space="preserve"> </w:t>
            </w:r>
            <w:r w:rsidRPr="006448DF">
              <w:rPr>
                <w:rStyle w:val="ReformTableChar"/>
                <w:color w:val="000000" w:themeColor="text1"/>
                <w:sz w:val="21"/>
                <w:szCs w:val="21"/>
              </w:rPr>
              <w:t>Implement meaningful performance assessment</w:t>
            </w:r>
          </w:p>
          <w:p w14:paraId="2522C47B" w14:textId="77777777"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Standardise and integrate key reporting using an annual ‘Needs, Programs, Outputs’ report for each PHN:</w:t>
            </w:r>
          </w:p>
          <w:p w14:paraId="41D86765" w14:textId="4F1A8BC8" w:rsidR="00A57B47" w:rsidRPr="006448DF" w:rsidRDefault="00A57B47">
            <w:pPr>
              <w:pStyle w:val="TableBullet"/>
              <w:numPr>
                <w:ilvl w:val="0"/>
                <w:numId w:val="9"/>
              </w:numPr>
              <w:rPr>
                <w:rFonts w:eastAsiaTheme="minorEastAsia"/>
                <w:color w:val="000000" w:themeColor="text1"/>
                <w:sz w:val="21"/>
                <w:szCs w:val="21"/>
              </w:rPr>
            </w:pPr>
            <w:r w:rsidRPr="006448DF">
              <w:rPr>
                <w:rFonts w:eastAsiaTheme="minorEastAsia"/>
                <w:color w:val="000000" w:themeColor="text1"/>
                <w:sz w:val="21"/>
                <w:szCs w:val="21"/>
              </w:rPr>
              <w:t xml:space="preserve">The new, mandated and standardised annual report would combine </w:t>
            </w:r>
            <w:r w:rsidR="004064AD" w:rsidRPr="006448DF">
              <w:rPr>
                <w:rFonts w:eastAsiaTheme="minorEastAsia"/>
                <w:color w:val="000000" w:themeColor="text1"/>
                <w:sz w:val="21"/>
                <w:szCs w:val="21"/>
              </w:rPr>
              <w:t>N</w:t>
            </w:r>
            <w:r w:rsidRPr="006448DF">
              <w:rPr>
                <w:rFonts w:eastAsiaTheme="minorEastAsia"/>
                <w:color w:val="000000" w:themeColor="text1"/>
                <w:sz w:val="21"/>
                <w:szCs w:val="21"/>
              </w:rPr>
              <w:t xml:space="preserve">eeds </w:t>
            </w:r>
            <w:r w:rsidR="004064AD" w:rsidRPr="006448DF">
              <w:rPr>
                <w:rFonts w:eastAsiaTheme="minorEastAsia"/>
                <w:color w:val="000000" w:themeColor="text1"/>
                <w:sz w:val="21"/>
                <w:szCs w:val="21"/>
              </w:rPr>
              <w:t>A</w:t>
            </w:r>
            <w:r w:rsidRPr="006448DF">
              <w:rPr>
                <w:rFonts w:eastAsiaTheme="minorEastAsia"/>
                <w:color w:val="000000" w:themeColor="text1"/>
                <w:sz w:val="21"/>
                <w:szCs w:val="21"/>
              </w:rPr>
              <w:t>ssessment, activity planning and performance reporting to enable a clear line of sight between local priorities, planned actions and measurable outputs; simple roll-up reporting; and meaningful comparison across PHNs</w:t>
            </w:r>
          </w:p>
          <w:p w14:paraId="260356D3" w14:textId="69C8E975"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Establish a ‘PHN Quality Improvement’ team to review performance and quality:</w:t>
            </w:r>
          </w:p>
          <w:p w14:paraId="69269AEA" w14:textId="50AB14E5" w:rsidR="00A57B47" w:rsidRDefault="00A57B47">
            <w:pPr>
              <w:pStyle w:val="TableBullet"/>
              <w:numPr>
                <w:ilvl w:val="0"/>
                <w:numId w:val="9"/>
              </w:numPr>
              <w:rPr>
                <w:rFonts w:eastAsiaTheme="minorEastAsia"/>
                <w:color w:val="000000" w:themeColor="text1"/>
                <w:sz w:val="21"/>
                <w:szCs w:val="21"/>
              </w:rPr>
            </w:pPr>
            <w:r w:rsidRPr="006448DF">
              <w:rPr>
                <w:rFonts w:eastAsiaTheme="minorEastAsia"/>
                <w:color w:val="000000" w:themeColor="text1"/>
                <w:sz w:val="21"/>
                <w:szCs w:val="21"/>
              </w:rPr>
              <w:t>The team would assess engagement, governance</w:t>
            </w:r>
            <w:r w:rsidR="00B71E75">
              <w:rPr>
                <w:rFonts w:eastAsiaTheme="minorEastAsia"/>
                <w:color w:val="000000" w:themeColor="text1"/>
                <w:sz w:val="21"/>
                <w:szCs w:val="21"/>
              </w:rPr>
              <w:t>, commissioning, planning, internal management</w:t>
            </w:r>
            <w:r w:rsidRPr="006448DF">
              <w:rPr>
                <w:rFonts w:eastAsiaTheme="minorEastAsia"/>
                <w:color w:val="000000" w:themeColor="text1"/>
                <w:sz w:val="21"/>
                <w:szCs w:val="21"/>
              </w:rPr>
              <w:t xml:space="preserve"> and delivery practices across PHNs, giving each PHN a report of strengths and improvement opportunities (e.g. rating from 1-3 on each dimension)</w:t>
            </w:r>
          </w:p>
          <w:p w14:paraId="6246F1EB" w14:textId="35D1BA55" w:rsidR="00A815BB" w:rsidRPr="00A815BB" w:rsidRDefault="00A815BB" w:rsidP="00A815BB">
            <w:pPr>
              <w:pStyle w:val="TableBullet"/>
              <w:numPr>
                <w:ilvl w:val="0"/>
                <w:numId w:val="9"/>
              </w:numPr>
              <w:rPr>
                <w:rFonts w:eastAsiaTheme="minorEastAsia"/>
                <w:sz w:val="21"/>
                <w:szCs w:val="21"/>
              </w:rPr>
            </w:pPr>
            <w:r w:rsidRPr="00A815BB">
              <w:rPr>
                <w:rFonts w:eastAsiaTheme="minorEastAsia"/>
                <w:sz w:val="21"/>
                <w:szCs w:val="21"/>
              </w:rPr>
              <w:t>Based on these assessments, the team would develop targeted recommendations for improvement</w:t>
            </w:r>
            <w:r w:rsidR="00FA49B9">
              <w:rPr>
                <w:rFonts w:eastAsiaTheme="minorEastAsia"/>
                <w:sz w:val="21"/>
                <w:szCs w:val="21"/>
              </w:rPr>
              <w:t xml:space="preserve"> for the PHN to implement</w:t>
            </w:r>
            <w:r w:rsidRPr="00A815BB">
              <w:rPr>
                <w:rFonts w:eastAsiaTheme="minorEastAsia"/>
                <w:sz w:val="21"/>
                <w:szCs w:val="21"/>
              </w:rPr>
              <w:t xml:space="preserve">. </w:t>
            </w:r>
          </w:p>
          <w:p w14:paraId="0912010A" w14:textId="106504AB" w:rsidR="00A57B47" w:rsidRPr="006448DF" w:rsidRDefault="00A57B47">
            <w:pPr>
              <w:pStyle w:val="TableBullet"/>
              <w:numPr>
                <w:ilvl w:val="0"/>
                <w:numId w:val="9"/>
              </w:numPr>
              <w:rPr>
                <w:rFonts w:eastAsiaTheme="minorEastAsia"/>
                <w:color w:val="000000" w:themeColor="text1"/>
                <w:sz w:val="21"/>
                <w:szCs w:val="21"/>
              </w:rPr>
            </w:pPr>
            <w:r w:rsidRPr="006448DF">
              <w:rPr>
                <w:rFonts w:eastAsiaTheme="minorEastAsia"/>
                <w:color w:val="000000" w:themeColor="text1"/>
                <w:sz w:val="21"/>
                <w:szCs w:val="21"/>
              </w:rPr>
              <w:t>The team would</w:t>
            </w:r>
            <w:r w:rsidRPr="006448DF" w:rsidDel="001F7675">
              <w:rPr>
                <w:rFonts w:eastAsiaTheme="minorEastAsia"/>
                <w:color w:val="000000" w:themeColor="text1"/>
                <w:sz w:val="21"/>
                <w:szCs w:val="21"/>
              </w:rPr>
              <w:t xml:space="preserve"> </w:t>
            </w:r>
            <w:r w:rsidRPr="006448DF">
              <w:rPr>
                <w:rFonts w:eastAsiaTheme="minorEastAsia"/>
                <w:color w:val="000000" w:themeColor="text1"/>
                <w:sz w:val="21"/>
                <w:szCs w:val="21"/>
              </w:rPr>
              <w:t xml:space="preserve">be staffed </w:t>
            </w:r>
            <w:r w:rsidR="00EA6E8E" w:rsidRPr="006448DF">
              <w:rPr>
                <w:rFonts w:eastAsiaTheme="minorEastAsia"/>
                <w:color w:val="000000" w:themeColor="text1"/>
                <w:sz w:val="21"/>
                <w:szCs w:val="21"/>
              </w:rPr>
              <w:t xml:space="preserve">by 2–3 people </w:t>
            </w:r>
            <w:r w:rsidR="000A2263" w:rsidRPr="006448DF">
              <w:rPr>
                <w:rFonts w:eastAsiaTheme="minorEastAsia"/>
                <w:color w:val="000000" w:themeColor="text1"/>
                <w:sz w:val="21"/>
                <w:szCs w:val="21"/>
              </w:rPr>
              <w:t>with senior operational PHN experience</w:t>
            </w:r>
            <w:r w:rsidRPr="006448DF">
              <w:rPr>
                <w:rFonts w:eastAsiaTheme="minorEastAsia"/>
                <w:color w:val="000000" w:themeColor="text1"/>
                <w:sz w:val="21"/>
                <w:szCs w:val="21"/>
              </w:rPr>
              <w:t>, ideally as independent contractors. They would</w:t>
            </w:r>
            <w:r w:rsidRPr="006448DF" w:rsidDel="00211D2E">
              <w:rPr>
                <w:rFonts w:eastAsiaTheme="minorEastAsia"/>
                <w:color w:val="000000" w:themeColor="text1"/>
                <w:sz w:val="21"/>
                <w:szCs w:val="21"/>
              </w:rPr>
              <w:t xml:space="preserve"> </w:t>
            </w:r>
            <w:r w:rsidRPr="006448DF">
              <w:rPr>
                <w:rFonts w:eastAsiaTheme="minorEastAsia"/>
                <w:color w:val="000000" w:themeColor="text1"/>
                <w:sz w:val="21"/>
                <w:szCs w:val="21"/>
              </w:rPr>
              <w:t>assess performance against standards and provide structured feedback and improvement recommendations. Where improvement by PHNs is insufficient, they could recommend Departmental action</w:t>
            </w:r>
          </w:p>
          <w:p w14:paraId="12BEA40B" w14:textId="4180A215" w:rsidR="00A57B47" w:rsidRPr="006448DF" w:rsidRDefault="00A57B47">
            <w:pPr>
              <w:pStyle w:val="TableBullet"/>
              <w:numPr>
                <w:ilvl w:val="0"/>
                <w:numId w:val="9"/>
              </w:numPr>
              <w:rPr>
                <w:rFonts w:eastAsiaTheme="minorEastAsia"/>
                <w:color w:val="000000" w:themeColor="text1"/>
                <w:sz w:val="21"/>
                <w:szCs w:val="21"/>
              </w:rPr>
            </w:pPr>
            <w:r w:rsidRPr="006448DF">
              <w:rPr>
                <w:rFonts w:eastAsiaTheme="minorEastAsia"/>
                <w:color w:val="000000" w:themeColor="text1"/>
                <w:sz w:val="21"/>
                <w:szCs w:val="21"/>
              </w:rPr>
              <w:t xml:space="preserve">Upon establishment, the team should have </w:t>
            </w:r>
            <w:r w:rsidR="00797D1F" w:rsidRPr="006448DF">
              <w:rPr>
                <w:rFonts w:eastAsiaTheme="minorEastAsia"/>
                <w:color w:val="000000" w:themeColor="text1"/>
                <w:sz w:val="21"/>
                <w:szCs w:val="21"/>
              </w:rPr>
              <w:t>three</w:t>
            </w:r>
            <w:r w:rsidRPr="006448DF">
              <w:rPr>
                <w:rFonts w:eastAsiaTheme="minorEastAsia"/>
                <w:color w:val="000000" w:themeColor="text1"/>
                <w:sz w:val="21"/>
                <w:szCs w:val="21"/>
              </w:rPr>
              <w:t xml:space="preserve"> months to develop a maturity and performance framework with PHNs</w:t>
            </w:r>
          </w:p>
          <w:p w14:paraId="36A7F172" w14:textId="7ED6C589" w:rsidR="00A57B47" w:rsidRPr="006448DF" w:rsidRDefault="00A57B47">
            <w:pPr>
              <w:pStyle w:val="TableBullet"/>
              <w:numPr>
                <w:ilvl w:val="0"/>
                <w:numId w:val="9"/>
              </w:numPr>
              <w:rPr>
                <w:rFonts w:eastAsiaTheme="minorEastAsia"/>
                <w:color w:val="000000" w:themeColor="text1"/>
                <w:sz w:val="21"/>
                <w:szCs w:val="21"/>
              </w:rPr>
            </w:pPr>
            <w:r w:rsidRPr="006448DF">
              <w:rPr>
                <w:rFonts w:eastAsiaTheme="minorEastAsia"/>
                <w:color w:val="000000" w:themeColor="text1"/>
                <w:sz w:val="21"/>
                <w:szCs w:val="21"/>
              </w:rPr>
              <w:t>The team should be implemented in tandem with the Department’s existing PMRF reforms, also removing the Department’s current Individual Performance Assessments</w:t>
            </w:r>
          </w:p>
          <w:p w14:paraId="19464562" w14:textId="2A4DC03D" w:rsidR="00D71860" w:rsidRPr="006448DF" w:rsidRDefault="00D71860">
            <w:pPr>
              <w:pStyle w:val="TableBullet"/>
              <w:numPr>
                <w:ilvl w:val="0"/>
                <w:numId w:val="9"/>
              </w:numPr>
              <w:rPr>
                <w:rFonts w:eastAsiaTheme="minorEastAsia"/>
                <w:color w:val="000000" w:themeColor="text1"/>
                <w:sz w:val="21"/>
                <w:szCs w:val="21"/>
              </w:rPr>
            </w:pPr>
            <w:r>
              <w:rPr>
                <w:rFonts w:eastAsiaTheme="minorEastAsia"/>
                <w:color w:val="000000" w:themeColor="text1"/>
                <w:sz w:val="21"/>
                <w:szCs w:val="21"/>
              </w:rPr>
              <w:t>PHN’s would be reviewed every three years</w:t>
            </w:r>
            <w:r w:rsidR="00903E8C">
              <w:rPr>
                <w:rFonts w:eastAsiaTheme="minorEastAsia"/>
                <w:color w:val="000000" w:themeColor="text1"/>
                <w:sz w:val="21"/>
                <w:szCs w:val="21"/>
              </w:rPr>
              <w:t>, while u</w:t>
            </w:r>
            <w:r w:rsidRPr="006448DF">
              <w:rPr>
                <w:rFonts w:eastAsiaTheme="minorEastAsia"/>
                <w:color w:val="000000" w:themeColor="text1"/>
                <w:sz w:val="21"/>
                <w:szCs w:val="21"/>
              </w:rPr>
              <w:t xml:space="preserve">nderperforming PHNs </w:t>
            </w:r>
            <w:r w:rsidR="00903E8C">
              <w:rPr>
                <w:rFonts w:eastAsiaTheme="minorEastAsia"/>
                <w:color w:val="000000" w:themeColor="text1"/>
                <w:sz w:val="21"/>
                <w:szCs w:val="21"/>
              </w:rPr>
              <w:t>would be re-revi</w:t>
            </w:r>
            <w:r w:rsidR="0059370C">
              <w:rPr>
                <w:rFonts w:eastAsiaTheme="minorEastAsia"/>
                <w:color w:val="000000" w:themeColor="text1"/>
                <w:sz w:val="21"/>
                <w:szCs w:val="21"/>
              </w:rPr>
              <w:t>ewed the following year</w:t>
            </w:r>
            <w:r w:rsidRPr="006448DF">
              <w:rPr>
                <w:rFonts w:eastAsiaTheme="minorEastAsia"/>
                <w:color w:val="000000" w:themeColor="text1"/>
                <w:sz w:val="21"/>
                <w:szCs w:val="21"/>
              </w:rPr>
              <w:t xml:space="preserve"> </w:t>
            </w:r>
          </w:p>
          <w:p w14:paraId="63E665C6" w14:textId="77777777"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Implement an underperformance escalation pathway:</w:t>
            </w:r>
          </w:p>
          <w:p w14:paraId="755FB5A4" w14:textId="49E6306F" w:rsidR="000B7320" w:rsidRDefault="000E555C">
            <w:pPr>
              <w:pStyle w:val="TableBullet"/>
              <w:numPr>
                <w:ilvl w:val="0"/>
                <w:numId w:val="9"/>
              </w:numPr>
              <w:rPr>
                <w:rFonts w:eastAsiaTheme="minorEastAsia"/>
                <w:color w:val="000000" w:themeColor="text1"/>
                <w:sz w:val="21"/>
                <w:szCs w:val="21"/>
              </w:rPr>
            </w:pPr>
            <w:r>
              <w:rPr>
                <w:rFonts w:eastAsiaTheme="minorEastAsia"/>
                <w:color w:val="000000" w:themeColor="text1"/>
                <w:sz w:val="21"/>
                <w:szCs w:val="21"/>
              </w:rPr>
              <w:t>The</w:t>
            </w:r>
            <w:r w:rsidR="001C2171">
              <w:rPr>
                <w:rFonts w:eastAsiaTheme="minorEastAsia"/>
                <w:color w:val="000000" w:themeColor="text1"/>
                <w:sz w:val="21"/>
                <w:szCs w:val="21"/>
              </w:rPr>
              <w:t xml:space="preserve"> PHN Branch </w:t>
            </w:r>
            <w:r w:rsidR="000B7320">
              <w:rPr>
                <w:rFonts w:eastAsiaTheme="minorEastAsia"/>
                <w:color w:val="000000" w:themeColor="text1"/>
                <w:sz w:val="21"/>
                <w:szCs w:val="21"/>
              </w:rPr>
              <w:t>sh</w:t>
            </w:r>
            <w:r w:rsidR="001C2171">
              <w:rPr>
                <w:rFonts w:eastAsiaTheme="minorEastAsia"/>
                <w:color w:val="000000" w:themeColor="text1"/>
                <w:sz w:val="21"/>
                <w:szCs w:val="21"/>
              </w:rPr>
              <w:t xml:space="preserve">ould </w:t>
            </w:r>
            <w:r w:rsidR="002C51C0">
              <w:rPr>
                <w:rFonts w:eastAsiaTheme="minorEastAsia"/>
                <w:color w:val="000000" w:themeColor="text1"/>
                <w:sz w:val="21"/>
                <w:szCs w:val="21"/>
              </w:rPr>
              <w:t xml:space="preserve">establish </w:t>
            </w:r>
            <w:r w:rsidR="000B7320" w:rsidRPr="006448DF">
              <w:rPr>
                <w:rFonts w:eastAsiaTheme="minorEastAsia"/>
                <w:color w:val="000000" w:themeColor="text1"/>
                <w:sz w:val="21"/>
                <w:szCs w:val="21"/>
              </w:rPr>
              <w:t>a</w:t>
            </w:r>
            <w:r w:rsidR="000B7320">
              <w:rPr>
                <w:rFonts w:eastAsiaTheme="minorEastAsia"/>
                <w:color w:val="000000" w:themeColor="text1"/>
                <w:sz w:val="21"/>
                <w:szCs w:val="21"/>
              </w:rPr>
              <w:t>n</w:t>
            </w:r>
            <w:r w:rsidR="000B7320" w:rsidRPr="006448DF">
              <w:rPr>
                <w:rFonts w:eastAsiaTheme="minorEastAsia"/>
                <w:color w:val="000000" w:themeColor="text1"/>
                <w:sz w:val="21"/>
                <w:szCs w:val="21"/>
              </w:rPr>
              <w:t xml:space="preserve"> </w:t>
            </w:r>
            <w:r w:rsidR="000B7320">
              <w:rPr>
                <w:rFonts w:eastAsiaTheme="minorEastAsia"/>
                <w:color w:val="000000" w:themeColor="text1"/>
                <w:sz w:val="21"/>
                <w:szCs w:val="21"/>
              </w:rPr>
              <w:t>intervention pathway to manage serious or</w:t>
            </w:r>
            <w:r w:rsidR="000B7320" w:rsidRPr="006448DF">
              <w:rPr>
                <w:rFonts w:eastAsiaTheme="minorEastAsia"/>
                <w:color w:val="000000" w:themeColor="text1"/>
                <w:sz w:val="21"/>
                <w:szCs w:val="21"/>
              </w:rPr>
              <w:t xml:space="preserve"> ongoing underperformance</w:t>
            </w:r>
          </w:p>
          <w:p w14:paraId="18DB4216" w14:textId="1EDCFF33" w:rsidR="00A57B47" w:rsidRPr="006448DF" w:rsidRDefault="000B7320">
            <w:pPr>
              <w:pStyle w:val="TableBullet"/>
              <w:numPr>
                <w:ilvl w:val="0"/>
                <w:numId w:val="9"/>
              </w:numPr>
              <w:rPr>
                <w:rFonts w:eastAsiaTheme="minorEastAsia"/>
                <w:color w:val="000000" w:themeColor="text1"/>
                <w:sz w:val="21"/>
                <w:szCs w:val="21"/>
              </w:rPr>
            </w:pPr>
            <w:r>
              <w:rPr>
                <w:rFonts w:eastAsiaTheme="minorEastAsia"/>
                <w:color w:val="000000" w:themeColor="text1"/>
                <w:sz w:val="21"/>
                <w:szCs w:val="21"/>
              </w:rPr>
              <w:t xml:space="preserve">The pathway could include </w:t>
            </w:r>
            <w:r w:rsidRPr="006448DF">
              <w:rPr>
                <w:rFonts w:eastAsiaTheme="minorEastAsia"/>
                <w:color w:val="000000" w:themeColor="text1"/>
                <w:sz w:val="21"/>
                <w:szCs w:val="21"/>
              </w:rPr>
              <w:t xml:space="preserve">appointing an independent observer to </w:t>
            </w:r>
            <w:r>
              <w:rPr>
                <w:rFonts w:eastAsiaTheme="minorEastAsia"/>
                <w:color w:val="000000" w:themeColor="text1"/>
                <w:sz w:val="21"/>
                <w:szCs w:val="21"/>
              </w:rPr>
              <w:t>a PHN</w:t>
            </w:r>
            <w:r w:rsidRPr="006448DF">
              <w:rPr>
                <w:rFonts w:eastAsiaTheme="minorEastAsia"/>
                <w:color w:val="000000" w:themeColor="text1"/>
                <w:sz w:val="21"/>
                <w:szCs w:val="21"/>
              </w:rPr>
              <w:t xml:space="preserve"> Board</w:t>
            </w:r>
            <w:r w:rsidR="00A7677E">
              <w:rPr>
                <w:rFonts w:eastAsiaTheme="minorEastAsia"/>
                <w:color w:val="000000" w:themeColor="text1"/>
                <w:sz w:val="21"/>
                <w:szCs w:val="21"/>
              </w:rPr>
              <w:t xml:space="preserve"> or</w:t>
            </w:r>
            <w:r>
              <w:rPr>
                <w:rFonts w:eastAsiaTheme="minorEastAsia"/>
                <w:color w:val="000000" w:themeColor="text1"/>
                <w:sz w:val="21"/>
                <w:szCs w:val="21"/>
              </w:rPr>
              <w:t xml:space="preserve"> requiring monthly meetings on performance remediation efforts</w:t>
            </w:r>
            <w:r w:rsidRPr="006448DF">
              <w:rPr>
                <w:rFonts w:eastAsiaTheme="minorEastAsia"/>
                <w:color w:val="000000" w:themeColor="text1"/>
                <w:sz w:val="21"/>
                <w:szCs w:val="21"/>
              </w:rPr>
              <w:t xml:space="preserve"> </w:t>
            </w:r>
            <w:r w:rsidR="00A7677E">
              <w:rPr>
                <w:rFonts w:eastAsiaTheme="minorEastAsia"/>
                <w:color w:val="000000" w:themeColor="text1"/>
                <w:sz w:val="21"/>
                <w:szCs w:val="21"/>
              </w:rPr>
              <w:t xml:space="preserve">before considering more </w:t>
            </w:r>
            <w:r w:rsidR="00CC3AE5">
              <w:rPr>
                <w:rFonts w:eastAsiaTheme="minorEastAsia"/>
                <w:color w:val="000000" w:themeColor="text1"/>
                <w:sz w:val="21"/>
                <w:szCs w:val="21"/>
              </w:rPr>
              <w:t>serious action such as</w:t>
            </w:r>
            <w:r w:rsidRPr="006448DF">
              <w:rPr>
                <w:rFonts w:eastAsiaTheme="minorEastAsia"/>
                <w:color w:val="000000" w:themeColor="text1"/>
                <w:sz w:val="21"/>
                <w:szCs w:val="21"/>
              </w:rPr>
              <w:t xml:space="preserve"> re-tendering, </w:t>
            </w:r>
            <w:r w:rsidR="00CC3AE5">
              <w:rPr>
                <w:rFonts w:eastAsiaTheme="minorEastAsia"/>
                <w:color w:val="000000" w:themeColor="text1"/>
                <w:sz w:val="21"/>
                <w:szCs w:val="21"/>
              </w:rPr>
              <w:t xml:space="preserve">which could </w:t>
            </w:r>
            <w:r w:rsidRPr="006448DF">
              <w:rPr>
                <w:rFonts w:eastAsiaTheme="minorEastAsia"/>
                <w:color w:val="000000" w:themeColor="text1"/>
                <w:sz w:val="21"/>
                <w:szCs w:val="21"/>
              </w:rPr>
              <w:t xml:space="preserve">potentially </w:t>
            </w:r>
            <w:r w:rsidR="003F0690">
              <w:rPr>
                <w:rFonts w:eastAsiaTheme="minorEastAsia"/>
                <w:color w:val="000000" w:themeColor="text1"/>
                <w:sz w:val="21"/>
                <w:szCs w:val="21"/>
              </w:rPr>
              <w:t xml:space="preserve">be limited </w:t>
            </w:r>
            <w:r w:rsidRPr="006448DF">
              <w:rPr>
                <w:rFonts w:eastAsiaTheme="minorEastAsia"/>
                <w:color w:val="000000" w:themeColor="text1"/>
                <w:sz w:val="21"/>
                <w:szCs w:val="21"/>
              </w:rPr>
              <w:t>only to existing operators (i.e. enabling the WAPHA model in other locations</w:t>
            </w:r>
            <w:r w:rsidR="003F0690">
              <w:rPr>
                <w:rFonts w:eastAsiaTheme="minorEastAsia"/>
                <w:color w:val="000000" w:themeColor="text1"/>
                <w:sz w:val="21"/>
                <w:szCs w:val="21"/>
              </w:rPr>
              <w:t>)</w:t>
            </w:r>
          </w:p>
          <w:p w14:paraId="2E8301B6" w14:textId="1AD80C15" w:rsidR="00A57B47" w:rsidRPr="006448DF" w:rsidRDefault="00A57B47" w:rsidP="001A3AC3">
            <w:pPr>
              <w:pStyle w:val="TableBullet"/>
              <w:numPr>
                <w:ilvl w:val="0"/>
                <w:numId w:val="0"/>
              </w:numPr>
              <w:ind w:left="908" w:hanging="360"/>
              <w:rPr>
                <w:rFonts w:eastAsiaTheme="minorEastAsia"/>
                <w:color w:val="000000" w:themeColor="text1"/>
                <w:sz w:val="21"/>
                <w:szCs w:val="21"/>
              </w:rPr>
            </w:pPr>
          </w:p>
        </w:tc>
      </w:tr>
    </w:tbl>
    <w:p w14:paraId="67A18410" w14:textId="77777777" w:rsidR="00A57B47" w:rsidRPr="006448DF" w:rsidRDefault="00A57B47" w:rsidP="001E39A0">
      <w:pPr>
        <w:pStyle w:val="Exhibit"/>
        <w:spacing w:line="276" w:lineRule="auto"/>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054"/>
      </w:tblGrid>
      <w:tr w:rsidR="00A57B47" w:rsidRPr="00076428" w14:paraId="4FC0AC20" w14:textId="77777777" w:rsidTr="31E8FD71">
        <w:trPr>
          <w:trHeight w:val="398"/>
        </w:trPr>
        <w:tc>
          <w:tcPr>
            <w:tcW w:w="5000" w:type="pct"/>
            <w:shd w:val="clear" w:color="auto" w:fill="005EB8"/>
            <w:vAlign w:val="center"/>
          </w:tcPr>
          <w:p w14:paraId="3A545153" w14:textId="7AD088EE" w:rsidR="00A57B47" w:rsidRPr="006448DF" w:rsidRDefault="00A57B47" w:rsidP="001E39A0">
            <w:pPr>
              <w:spacing w:before="20" w:after="20"/>
              <w:ind w:right="72"/>
              <w:rPr>
                <w:rFonts w:cs="Arial"/>
                <w:sz w:val="21"/>
                <w:szCs w:val="21"/>
              </w:rPr>
            </w:pPr>
            <w:r w:rsidRPr="006448DF">
              <w:rPr>
                <w:rFonts w:cs="Arial"/>
                <w:b/>
                <w:color w:val="FFFFFF" w:themeColor="background1"/>
                <w:sz w:val="21"/>
                <w:szCs w:val="21"/>
              </w:rPr>
              <w:t>Reform Stream 2 – Improve process for funding</w:t>
            </w:r>
          </w:p>
        </w:tc>
      </w:tr>
      <w:tr w:rsidR="00A57B47" w:rsidRPr="00076428" w14:paraId="0656A065" w14:textId="77777777" w:rsidTr="31E8FD71">
        <w:trPr>
          <w:trHeight w:val="400"/>
        </w:trPr>
        <w:tc>
          <w:tcPr>
            <w:tcW w:w="5000" w:type="pct"/>
          </w:tcPr>
          <w:p w14:paraId="2D9832B3" w14:textId="414DB803" w:rsidR="00A57B47" w:rsidRPr="006448DF" w:rsidRDefault="00A57B47" w:rsidP="001E39A0">
            <w:pPr>
              <w:spacing w:before="20" w:after="20"/>
              <w:ind w:right="72"/>
              <w:rPr>
                <w:rFonts w:cs="Arial"/>
                <w:sz w:val="21"/>
                <w:szCs w:val="21"/>
              </w:rPr>
            </w:pPr>
            <w:r w:rsidRPr="006448DF">
              <w:rPr>
                <w:rFonts w:cs="Arial"/>
                <w:b/>
                <w:sz w:val="21"/>
                <w:szCs w:val="21"/>
              </w:rPr>
              <w:t>2.1 Grant duration:</w:t>
            </w:r>
            <w:r w:rsidRPr="006448DF">
              <w:rPr>
                <w:rFonts w:cs="Arial"/>
                <w:sz w:val="21"/>
                <w:szCs w:val="21"/>
              </w:rPr>
              <w:t xml:space="preserve"> </w:t>
            </w:r>
            <w:r w:rsidRPr="006448DF">
              <w:rPr>
                <w:rStyle w:val="ReformTableChar"/>
                <w:color w:val="000000" w:themeColor="text1"/>
                <w:sz w:val="21"/>
                <w:szCs w:val="21"/>
              </w:rPr>
              <w:t>Move to 3</w:t>
            </w:r>
            <w:r w:rsidR="00627702" w:rsidRPr="006448DF">
              <w:rPr>
                <w:rStyle w:val="ReformTableChar"/>
                <w:color w:val="000000" w:themeColor="text1"/>
                <w:sz w:val="21"/>
                <w:szCs w:val="21"/>
              </w:rPr>
              <w:t>–</w:t>
            </w:r>
            <w:r w:rsidRPr="006448DF">
              <w:rPr>
                <w:rStyle w:val="ReformTableChar"/>
                <w:color w:val="000000" w:themeColor="text1"/>
                <w:sz w:val="21"/>
                <w:szCs w:val="21"/>
              </w:rPr>
              <w:t>5 year rolling grants for all persistent programs</w:t>
            </w:r>
          </w:p>
          <w:p w14:paraId="42DDC628" w14:textId="77777777" w:rsidR="00A57B47" w:rsidRPr="006448DF" w:rsidRDefault="00A57B47">
            <w:pPr>
              <w:pStyle w:val="ListParagraph"/>
              <w:numPr>
                <w:ilvl w:val="0"/>
                <w:numId w:val="5"/>
              </w:numPr>
              <w:spacing w:before="20" w:after="20"/>
              <w:ind w:left="258" w:hanging="254"/>
              <w:rPr>
                <w:rFonts w:eastAsiaTheme="minorEastAsia" w:cs="Arial"/>
                <w:sz w:val="21"/>
                <w:szCs w:val="21"/>
              </w:rPr>
            </w:pPr>
            <w:r w:rsidRPr="006448DF">
              <w:rPr>
                <w:rFonts w:eastAsiaTheme="minorEastAsia" w:cs="Arial"/>
                <w:sz w:val="21"/>
                <w:szCs w:val="21"/>
              </w:rPr>
              <w:t xml:space="preserve">Present a clear articulation of the impacts/limitations of short-term funding to policy areas and broader government to support a push to: </w:t>
            </w:r>
          </w:p>
          <w:p w14:paraId="5107D129" w14:textId="5FE3B5A0" w:rsidR="00A57B47" w:rsidRPr="006448DF" w:rsidRDefault="00A57B47">
            <w:pPr>
              <w:pStyle w:val="ListParagraph"/>
              <w:numPr>
                <w:ilvl w:val="0"/>
                <w:numId w:val="10"/>
              </w:numPr>
              <w:spacing w:before="20" w:after="20"/>
              <w:rPr>
                <w:rFonts w:eastAsiaTheme="minorEastAsia" w:cs="Arial"/>
                <w:sz w:val="21"/>
                <w:szCs w:val="21"/>
              </w:rPr>
            </w:pPr>
            <w:r w:rsidRPr="006448DF">
              <w:rPr>
                <w:rFonts w:eastAsiaTheme="minorEastAsia" w:cs="Arial"/>
                <w:sz w:val="21"/>
                <w:szCs w:val="21"/>
              </w:rPr>
              <w:t xml:space="preserve">Transition to longer terms (e.g. </w:t>
            </w:r>
            <w:r w:rsidR="00627702" w:rsidRPr="006448DF">
              <w:rPr>
                <w:rFonts w:eastAsiaTheme="minorEastAsia" w:cs="Arial"/>
                <w:sz w:val="21"/>
                <w:szCs w:val="21"/>
              </w:rPr>
              <w:t>five</w:t>
            </w:r>
            <w:r w:rsidRPr="006448DF">
              <w:rPr>
                <w:rFonts w:eastAsiaTheme="minorEastAsia" w:cs="Arial"/>
                <w:sz w:val="21"/>
                <w:szCs w:val="21"/>
              </w:rPr>
              <w:t xml:space="preserve"> years) on a rolling-basis for core funding (non-competitive, non-application-based)</w:t>
            </w:r>
          </w:p>
          <w:p w14:paraId="33EFE990" w14:textId="5EAFEDD4" w:rsidR="00A57B47" w:rsidRPr="006448DF" w:rsidRDefault="00A57B47">
            <w:pPr>
              <w:pStyle w:val="ListParagraph"/>
              <w:numPr>
                <w:ilvl w:val="0"/>
                <w:numId w:val="10"/>
              </w:numPr>
              <w:spacing w:before="20" w:after="20"/>
              <w:rPr>
                <w:rFonts w:eastAsiaTheme="minorEastAsia" w:cs="Arial"/>
                <w:sz w:val="21"/>
                <w:szCs w:val="21"/>
              </w:rPr>
            </w:pPr>
            <w:r w:rsidRPr="006448DF">
              <w:rPr>
                <w:rFonts w:eastAsiaTheme="minorEastAsia" w:cs="Arial"/>
                <w:sz w:val="21"/>
                <w:szCs w:val="21"/>
              </w:rPr>
              <w:t xml:space="preserve">Transition to longer terms (e.g. </w:t>
            </w:r>
            <w:r w:rsidR="00627702" w:rsidRPr="006448DF">
              <w:rPr>
                <w:rFonts w:eastAsiaTheme="minorEastAsia" w:cs="Arial"/>
                <w:sz w:val="21"/>
                <w:szCs w:val="21"/>
              </w:rPr>
              <w:t>four</w:t>
            </w:r>
            <w:r w:rsidRPr="006448DF">
              <w:rPr>
                <w:rFonts w:eastAsiaTheme="minorEastAsia" w:cs="Arial"/>
                <w:sz w:val="21"/>
                <w:szCs w:val="21"/>
              </w:rPr>
              <w:t xml:space="preserve"> years) for program funding, with renewal advice provided to PHNs earlier (e.g. at least </w:t>
            </w:r>
            <w:r w:rsidR="00627702" w:rsidRPr="006448DF">
              <w:rPr>
                <w:rFonts w:eastAsiaTheme="minorEastAsia" w:cs="Arial"/>
                <w:sz w:val="21"/>
                <w:szCs w:val="21"/>
              </w:rPr>
              <w:t>six</w:t>
            </w:r>
            <w:r w:rsidRPr="006448DF">
              <w:rPr>
                <w:rFonts w:eastAsiaTheme="minorEastAsia" w:cs="Arial"/>
                <w:sz w:val="21"/>
                <w:szCs w:val="21"/>
              </w:rPr>
              <w:t xml:space="preserve"> months before the end of the current agreement), by establishing a common expectation with policy branches and broader government for persistent programs</w:t>
            </w:r>
          </w:p>
          <w:p w14:paraId="15E000B9" w14:textId="263D2D2E" w:rsidR="00A57B47" w:rsidRPr="006448DF" w:rsidRDefault="005B0711">
            <w:pPr>
              <w:pStyle w:val="ListParagraph"/>
              <w:numPr>
                <w:ilvl w:val="0"/>
                <w:numId w:val="10"/>
              </w:numPr>
              <w:spacing w:before="20" w:after="20"/>
              <w:rPr>
                <w:rFonts w:eastAsiaTheme="minorEastAsia" w:cs="Arial"/>
                <w:sz w:val="21"/>
                <w:szCs w:val="21"/>
              </w:rPr>
            </w:pPr>
            <w:r>
              <w:rPr>
                <w:rFonts w:eastAsiaTheme="minorEastAsia" w:cs="Arial"/>
                <w:sz w:val="21"/>
                <w:szCs w:val="21"/>
              </w:rPr>
              <w:lastRenderedPageBreak/>
              <w:t xml:space="preserve">Set </w:t>
            </w:r>
            <w:r w:rsidR="00EA018A">
              <w:rPr>
                <w:rFonts w:eastAsiaTheme="minorEastAsia" w:cs="Arial"/>
                <w:sz w:val="21"/>
                <w:szCs w:val="21"/>
              </w:rPr>
              <w:t>guide</w:t>
            </w:r>
            <w:r w:rsidR="00D76C59">
              <w:rPr>
                <w:rFonts w:eastAsiaTheme="minorEastAsia" w:cs="Arial"/>
                <w:sz w:val="21"/>
                <w:szCs w:val="21"/>
              </w:rPr>
              <w:t>line</w:t>
            </w:r>
            <w:r w:rsidR="00EA018A">
              <w:rPr>
                <w:rFonts w:eastAsiaTheme="minorEastAsia" w:cs="Arial"/>
                <w:sz w:val="21"/>
                <w:szCs w:val="21"/>
              </w:rPr>
              <w:t xml:space="preserve">s </w:t>
            </w:r>
            <w:r w:rsidR="00D76C59">
              <w:rPr>
                <w:rFonts w:eastAsiaTheme="minorEastAsia" w:cs="Arial"/>
                <w:sz w:val="21"/>
                <w:szCs w:val="21"/>
              </w:rPr>
              <w:t>on</w:t>
            </w:r>
            <w:r w:rsidR="00EA018A" w:rsidDel="00D76C59">
              <w:rPr>
                <w:rFonts w:eastAsiaTheme="minorEastAsia" w:cs="Arial"/>
                <w:sz w:val="21"/>
                <w:szCs w:val="21"/>
              </w:rPr>
              <w:t xml:space="preserve"> </w:t>
            </w:r>
            <w:r w:rsidR="00EA018A">
              <w:rPr>
                <w:rFonts w:eastAsiaTheme="minorEastAsia" w:cs="Arial"/>
                <w:sz w:val="21"/>
                <w:szCs w:val="21"/>
              </w:rPr>
              <w:t>the design and</w:t>
            </w:r>
            <w:r w:rsidR="00A57B47" w:rsidRPr="006448DF">
              <w:rPr>
                <w:rFonts w:eastAsiaTheme="minorEastAsia" w:cs="Arial"/>
                <w:sz w:val="21"/>
                <w:szCs w:val="21"/>
              </w:rPr>
              <w:t xml:space="preserve"> duration o</w:t>
            </w:r>
            <w:r w:rsidR="00EA018A">
              <w:rPr>
                <w:rFonts w:eastAsiaTheme="minorEastAsia" w:cs="Arial"/>
                <w:sz w:val="21"/>
                <w:szCs w:val="21"/>
              </w:rPr>
              <w:t>f</w:t>
            </w:r>
            <w:r w:rsidR="00A57B47" w:rsidRPr="006448DF">
              <w:rPr>
                <w:rFonts w:eastAsiaTheme="minorEastAsia" w:cs="Arial"/>
                <w:sz w:val="21"/>
                <w:szCs w:val="21"/>
              </w:rPr>
              <w:t xml:space="preserve"> program funding (e.g. </w:t>
            </w:r>
            <w:r w:rsidR="00627702" w:rsidRPr="006448DF">
              <w:rPr>
                <w:rFonts w:eastAsiaTheme="minorEastAsia" w:cs="Arial"/>
                <w:sz w:val="21"/>
                <w:szCs w:val="21"/>
              </w:rPr>
              <w:t>three</w:t>
            </w:r>
            <w:r w:rsidR="00A57B47" w:rsidRPr="006448DF">
              <w:rPr>
                <w:rFonts w:eastAsiaTheme="minorEastAsia" w:cs="Arial"/>
                <w:sz w:val="21"/>
                <w:szCs w:val="21"/>
              </w:rPr>
              <w:t xml:space="preserve"> years) to allow meaningful tailoring and commissioning of services, </w:t>
            </w:r>
            <w:proofErr w:type="gramStart"/>
            <w:r w:rsidR="00A57B47" w:rsidRPr="006448DF">
              <w:rPr>
                <w:rFonts w:eastAsiaTheme="minorEastAsia" w:cs="Arial"/>
                <w:sz w:val="21"/>
                <w:szCs w:val="21"/>
              </w:rPr>
              <w:t>with the exception of</w:t>
            </w:r>
            <w:proofErr w:type="gramEnd"/>
            <w:r w:rsidR="00A57B47" w:rsidRPr="006448DF">
              <w:rPr>
                <w:rFonts w:eastAsiaTheme="minorEastAsia" w:cs="Arial"/>
                <w:sz w:val="21"/>
                <w:szCs w:val="21"/>
              </w:rPr>
              <w:t xml:space="preserve"> one-off/ad-hoc grants</w:t>
            </w:r>
          </w:p>
          <w:p w14:paraId="4D8870A7" w14:textId="4B9BD1FD" w:rsidR="00A57B47" w:rsidRPr="006448DF" w:rsidDel="000276D1" w:rsidRDefault="00A57B47">
            <w:pPr>
              <w:pStyle w:val="ListParagraph"/>
              <w:numPr>
                <w:ilvl w:val="0"/>
                <w:numId w:val="5"/>
              </w:numPr>
              <w:spacing w:before="20" w:after="20"/>
              <w:ind w:left="258" w:hanging="254"/>
              <w:rPr>
                <w:rFonts w:eastAsiaTheme="minorEastAsia" w:cs="Arial"/>
                <w:sz w:val="21"/>
                <w:szCs w:val="21"/>
              </w:rPr>
            </w:pPr>
            <w:r w:rsidRPr="006448DF">
              <w:rPr>
                <w:rFonts w:eastAsiaTheme="minorEastAsia" w:cs="Arial"/>
                <w:sz w:val="21"/>
                <w:szCs w:val="21"/>
              </w:rPr>
              <w:t xml:space="preserve">Ensure that expectations for the commencement of new services are adjusted for longer-term funding (e.g. </w:t>
            </w:r>
            <w:r w:rsidR="00627702" w:rsidRPr="006448DF">
              <w:rPr>
                <w:rFonts w:eastAsiaTheme="minorEastAsia" w:cs="Arial"/>
                <w:sz w:val="21"/>
                <w:szCs w:val="21"/>
              </w:rPr>
              <w:t>six</w:t>
            </w:r>
            <w:r w:rsidRPr="006448DF">
              <w:rPr>
                <w:rFonts w:eastAsiaTheme="minorEastAsia" w:cs="Arial"/>
                <w:sz w:val="21"/>
                <w:szCs w:val="21"/>
              </w:rPr>
              <w:t xml:space="preserve"> months between advice to PHNs and expected commencement)</w:t>
            </w:r>
          </w:p>
        </w:tc>
      </w:tr>
      <w:tr w:rsidR="00A57B47" w:rsidRPr="00076428" w14:paraId="5651FBA9" w14:textId="77777777" w:rsidTr="31E8FD71">
        <w:trPr>
          <w:trHeight w:val="393"/>
        </w:trPr>
        <w:tc>
          <w:tcPr>
            <w:tcW w:w="5000" w:type="pct"/>
          </w:tcPr>
          <w:p w14:paraId="4454017B" w14:textId="77777777" w:rsidR="00A57B47" w:rsidRPr="006448DF" w:rsidRDefault="00A57B47" w:rsidP="001E39A0">
            <w:pPr>
              <w:spacing w:before="20" w:after="20"/>
              <w:ind w:right="72"/>
              <w:rPr>
                <w:rFonts w:cs="Arial"/>
                <w:sz w:val="21"/>
                <w:szCs w:val="21"/>
              </w:rPr>
            </w:pPr>
            <w:r w:rsidRPr="006448DF">
              <w:rPr>
                <w:rFonts w:cs="Arial"/>
                <w:b/>
                <w:sz w:val="21"/>
                <w:szCs w:val="21"/>
              </w:rPr>
              <w:lastRenderedPageBreak/>
              <w:t xml:space="preserve">2.2 Prescriptiveness of schedules: </w:t>
            </w:r>
            <w:r w:rsidRPr="006448DF">
              <w:rPr>
                <w:rStyle w:val="ReformTableChar"/>
                <w:color w:val="000000" w:themeColor="text1"/>
                <w:sz w:val="21"/>
                <w:szCs w:val="21"/>
              </w:rPr>
              <w:t>Move to standard templates that cater to different levels of prescription required and focus on outputs</w:t>
            </w:r>
          </w:p>
          <w:p w14:paraId="65C9ADC3" w14:textId="19BF05C2" w:rsidR="00A57B47" w:rsidRPr="001A3AC3" w:rsidRDefault="00A57B47" w:rsidP="00B76C60">
            <w:pPr>
              <w:pStyle w:val="TableBullet"/>
              <w:ind w:left="254" w:hanging="188"/>
              <w:rPr>
                <w:rFonts w:eastAsiaTheme="minorEastAsia"/>
                <w:sz w:val="21"/>
                <w:szCs w:val="21"/>
              </w:rPr>
            </w:pPr>
            <w:r w:rsidRPr="006448DF">
              <w:rPr>
                <w:rFonts w:eastAsiaTheme="minorEastAsia"/>
                <w:color w:val="000000" w:themeColor="text1"/>
                <w:sz w:val="21"/>
                <w:szCs w:val="21"/>
              </w:rPr>
              <w:t xml:space="preserve">Establish a clear ‘Service Offer’ with policy areas to establish the rules of when and how they can use PHNs to deliver their programs (e.g. simplified schedules, minimum terms of funding). </w:t>
            </w:r>
            <w:r w:rsidR="00B76C60" w:rsidRPr="001A3AC3">
              <w:rPr>
                <w:rFonts w:eastAsiaTheme="minorEastAsia"/>
                <w:sz w:val="21"/>
                <w:szCs w:val="21"/>
              </w:rPr>
              <w:t>This Service Offer would set shared expectations and design guidelines early in the program development process</w:t>
            </w:r>
            <w:r w:rsidR="00B76C60" w:rsidRPr="00B76C60">
              <w:rPr>
                <w:rFonts w:eastAsiaTheme="minorEastAsia"/>
                <w:sz w:val="21"/>
                <w:szCs w:val="21"/>
              </w:rPr>
              <w:t>,</w:t>
            </w:r>
            <w:r w:rsidR="00B76C60">
              <w:rPr>
                <w:rFonts w:eastAsiaTheme="minorEastAsia"/>
                <w:sz w:val="21"/>
                <w:szCs w:val="21"/>
              </w:rPr>
              <w:t xml:space="preserve"> and </w:t>
            </w:r>
            <w:r w:rsidR="00B76C60" w:rsidRPr="00B76C60">
              <w:rPr>
                <w:rFonts w:eastAsiaTheme="minorEastAsia"/>
                <w:sz w:val="21"/>
                <w:szCs w:val="21"/>
              </w:rPr>
              <w:t>would then be enforced by the Program Board, and policy areas would be assessed on their ongoing compliance to the Service Offer</w:t>
            </w:r>
          </w:p>
          <w:p w14:paraId="051C0921" w14:textId="33D3C02F"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Significantly reduce Schedule length, and where possible, remove overly prescriptive Activities and burdensome program-specific process control reporting</w:t>
            </w:r>
          </w:p>
          <w:p w14:paraId="1F96F10F" w14:textId="5D80ACC7"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 xml:space="preserve">Consider implementing persistent and streamlined Schedules as addendums to Core Funding (e.g. </w:t>
            </w:r>
            <w:proofErr w:type="gramStart"/>
            <w:r w:rsidRPr="006448DF">
              <w:rPr>
                <w:rFonts w:eastAsiaTheme="minorEastAsia"/>
                <w:color w:val="000000" w:themeColor="text1"/>
                <w:sz w:val="21"/>
                <w:szCs w:val="21"/>
              </w:rPr>
              <w:t>similar to</w:t>
            </w:r>
            <w:proofErr w:type="gramEnd"/>
            <w:r w:rsidRPr="006448DF">
              <w:rPr>
                <w:rFonts w:eastAsiaTheme="minorEastAsia"/>
                <w:color w:val="000000" w:themeColor="text1"/>
                <w:sz w:val="21"/>
                <w:szCs w:val="21"/>
              </w:rPr>
              <w:t xml:space="preserve"> ‘Workforce Infection Control and Surge Capacity’)</w:t>
            </w:r>
          </w:p>
          <w:p w14:paraId="7CAA9D85" w14:textId="77777777"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 xml:space="preserve">Create different, more templated versions of the grants </w:t>
            </w:r>
            <w:proofErr w:type="gramStart"/>
            <w:r w:rsidRPr="006448DF">
              <w:rPr>
                <w:rFonts w:eastAsiaTheme="minorEastAsia"/>
                <w:color w:val="000000" w:themeColor="text1"/>
                <w:sz w:val="21"/>
                <w:szCs w:val="21"/>
              </w:rPr>
              <w:t>process;</w:t>
            </w:r>
            <w:proofErr w:type="gramEnd"/>
            <w:r w:rsidRPr="006448DF">
              <w:rPr>
                <w:rFonts w:eastAsiaTheme="minorEastAsia"/>
                <w:color w:val="000000" w:themeColor="text1"/>
                <w:sz w:val="21"/>
                <w:szCs w:val="21"/>
              </w:rPr>
              <w:t xml:space="preserve"> specifically the schedules for the different types of programs:</w:t>
            </w:r>
          </w:p>
          <w:p w14:paraId="3869E5B0" w14:textId="77777777" w:rsidR="00A57B47" w:rsidRPr="006448DF" w:rsidRDefault="00A57B47">
            <w:pPr>
              <w:pStyle w:val="TableBullet"/>
              <w:numPr>
                <w:ilvl w:val="0"/>
                <w:numId w:val="11"/>
              </w:numPr>
              <w:rPr>
                <w:rFonts w:eastAsiaTheme="minorEastAsia"/>
                <w:color w:val="000000" w:themeColor="text1"/>
                <w:sz w:val="21"/>
                <w:szCs w:val="21"/>
              </w:rPr>
            </w:pPr>
            <w:r w:rsidRPr="006448DF">
              <w:rPr>
                <w:rFonts w:eastAsiaTheme="minorEastAsia"/>
                <w:color w:val="000000" w:themeColor="text1"/>
                <w:sz w:val="21"/>
                <w:szCs w:val="21"/>
              </w:rPr>
              <w:t>High control – Department defines purpose, process and output metrics (e.g. nationally consistent Programs, such as Urgent Care Clinics, or urgent response)</w:t>
            </w:r>
          </w:p>
          <w:p w14:paraId="519D59D8" w14:textId="77777777" w:rsidR="00A57B47" w:rsidRPr="006448DF" w:rsidRDefault="00A57B47">
            <w:pPr>
              <w:pStyle w:val="TableBullet"/>
              <w:numPr>
                <w:ilvl w:val="0"/>
                <w:numId w:val="11"/>
              </w:numPr>
              <w:rPr>
                <w:rFonts w:eastAsiaTheme="minorEastAsia"/>
                <w:color w:val="000000" w:themeColor="text1"/>
                <w:sz w:val="21"/>
                <w:szCs w:val="21"/>
              </w:rPr>
            </w:pPr>
            <w:r w:rsidRPr="006448DF">
              <w:rPr>
                <w:rFonts w:eastAsiaTheme="minorEastAsia"/>
                <w:color w:val="000000" w:themeColor="text1"/>
                <w:sz w:val="21"/>
                <w:szCs w:val="21"/>
              </w:rPr>
              <w:t>Medium control – Department defines purpose and some output metrics, PHN defines further output metrics and process</w:t>
            </w:r>
          </w:p>
          <w:p w14:paraId="1C8C8332" w14:textId="4A006695" w:rsidR="00A57B47" w:rsidRPr="006448DF" w:rsidRDefault="49A24DCA" w:rsidP="00FC2653">
            <w:pPr>
              <w:pStyle w:val="TableBullet"/>
              <w:numPr>
                <w:ilvl w:val="0"/>
                <w:numId w:val="11"/>
              </w:numPr>
              <w:rPr>
                <w:rFonts w:eastAsiaTheme="minorEastAsia"/>
                <w:color w:val="000000" w:themeColor="text1"/>
                <w:sz w:val="21"/>
                <w:szCs w:val="21"/>
              </w:rPr>
            </w:pPr>
            <w:r w:rsidRPr="006448DF">
              <w:rPr>
                <w:rFonts w:eastAsiaTheme="minorEastAsia"/>
                <w:color w:val="000000" w:themeColor="text1"/>
                <w:sz w:val="21"/>
                <w:szCs w:val="21"/>
              </w:rPr>
              <w:t xml:space="preserve">Low control – </w:t>
            </w:r>
            <w:r w:rsidR="1BD0922B" w:rsidRPr="006448DF">
              <w:rPr>
                <w:rFonts w:eastAsiaTheme="minorEastAsia"/>
                <w:color w:val="000000" w:themeColor="text1"/>
                <w:sz w:val="21"/>
                <w:szCs w:val="21"/>
              </w:rPr>
              <w:t xml:space="preserve">Department </w:t>
            </w:r>
            <w:r w:rsidRPr="006448DF">
              <w:rPr>
                <w:rFonts w:eastAsiaTheme="minorEastAsia"/>
                <w:color w:val="000000" w:themeColor="text1"/>
                <w:sz w:val="21"/>
                <w:szCs w:val="21"/>
              </w:rPr>
              <w:t xml:space="preserve">defines purpose </w:t>
            </w:r>
            <w:proofErr w:type="gramStart"/>
            <w:r w:rsidRPr="006448DF">
              <w:rPr>
                <w:rFonts w:eastAsiaTheme="minorEastAsia"/>
                <w:color w:val="000000" w:themeColor="text1"/>
                <w:sz w:val="21"/>
                <w:szCs w:val="21"/>
              </w:rPr>
              <w:t>only,</w:t>
            </w:r>
            <w:proofErr w:type="gramEnd"/>
            <w:r w:rsidRPr="006448DF">
              <w:rPr>
                <w:rFonts w:eastAsiaTheme="minorEastAsia"/>
                <w:color w:val="000000" w:themeColor="text1"/>
                <w:sz w:val="21"/>
                <w:szCs w:val="21"/>
              </w:rPr>
              <w:t xml:space="preserve"> PHN defines the output metrics and process to be included in activity work plans (e.g. Programs that are more effective under locally-determined delivery)</w:t>
            </w:r>
          </w:p>
          <w:p w14:paraId="5591D2D4" w14:textId="08BE9218" w:rsidR="009E79C2" w:rsidRPr="00B84121" w:rsidDel="000276D1" w:rsidRDefault="00A57B47" w:rsidP="00B84121">
            <w:pPr>
              <w:pStyle w:val="TableBullet"/>
              <w:ind w:left="261" w:hanging="196"/>
              <w:rPr>
                <w:color w:val="000000" w:themeColor="text1"/>
                <w:sz w:val="21"/>
                <w:szCs w:val="21"/>
              </w:rPr>
            </w:pPr>
            <w:r w:rsidRPr="006448DF">
              <w:rPr>
                <w:rFonts w:eastAsiaTheme="minorEastAsia"/>
                <w:color w:val="000000" w:themeColor="text1"/>
                <w:sz w:val="21"/>
                <w:szCs w:val="21"/>
              </w:rPr>
              <w:t>Ensure that reporting is commensurate with the funding amount/duration and that data collection is fully justified (e.g. high frequency only early in new policies)</w:t>
            </w:r>
          </w:p>
        </w:tc>
      </w:tr>
      <w:tr w:rsidR="00A57B47" w:rsidRPr="00076428" w14:paraId="4E626812" w14:textId="77777777" w:rsidTr="31E8FD71">
        <w:trPr>
          <w:trHeight w:val="543"/>
        </w:trPr>
        <w:tc>
          <w:tcPr>
            <w:tcW w:w="5000" w:type="pct"/>
          </w:tcPr>
          <w:p w14:paraId="22306AC6" w14:textId="77777777" w:rsidR="00A57B47" w:rsidRPr="006448DF" w:rsidRDefault="00A57B47" w:rsidP="001E39A0">
            <w:pPr>
              <w:spacing w:before="20" w:after="20"/>
              <w:ind w:right="72"/>
              <w:rPr>
                <w:rFonts w:cs="Arial"/>
                <w:sz w:val="21"/>
                <w:szCs w:val="21"/>
              </w:rPr>
            </w:pPr>
            <w:r w:rsidRPr="006448DF">
              <w:rPr>
                <w:rFonts w:cs="Arial"/>
                <w:b/>
                <w:sz w:val="21"/>
                <w:szCs w:val="21"/>
              </w:rPr>
              <w:t xml:space="preserve">2.3 Accelerate disbursement: </w:t>
            </w:r>
            <w:r w:rsidRPr="006448DF">
              <w:rPr>
                <w:rStyle w:val="ReformTableChar"/>
                <w:color w:val="000000" w:themeColor="text1"/>
                <w:sz w:val="21"/>
                <w:szCs w:val="21"/>
              </w:rPr>
              <w:t>Reduce administrative bottlenecks and introduce faster pathways for routine or low-risk funding</w:t>
            </w:r>
          </w:p>
          <w:p w14:paraId="367CE261" w14:textId="25E03976"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 xml:space="preserve">Investigate accelerated pathway for grants (including variations or extensions to existing funding), </w:t>
            </w:r>
            <w:r w:rsidR="00D14081">
              <w:rPr>
                <w:rFonts w:eastAsiaTheme="minorEastAsia"/>
                <w:color w:val="000000" w:themeColor="text1"/>
                <w:sz w:val="21"/>
                <w:szCs w:val="21"/>
              </w:rPr>
              <w:t>to</w:t>
            </w:r>
            <w:bookmarkStart w:id="24" w:name="OLE_LINK8"/>
            <w:r w:rsidR="00D14081">
              <w:rPr>
                <w:rFonts w:eastAsiaTheme="minorEastAsia"/>
                <w:color w:val="000000" w:themeColor="text1"/>
                <w:sz w:val="21"/>
                <w:szCs w:val="21"/>
              </w:rPr>
              <w:t xml:space="preserve"> achieve the most suitable outcomes</w:t>
            </w:r>
            <w:r w:rsidR="002613BF">
              <w:rPr>
                <w:rFonts w:eastAsiaTheme="minorEastAsia"/>
                <w:color w:val="000000" w:themeColor="text1"/>
                <w:sz w:val="21"/>
                <w:szCs w:val="21"/>
              </w:rPr>
              <w:t xml:space="preserve"> </w:t>
            </w:r>
            <w:bookmarkEnd w:id="24"/>
          </w:p>
          <w:p w14:paraId="700582C5" w14:textId="110E3920" w:rsidR="00A57B47" w:rsidRPr="006448DF" w:rsidRDefault="00A57B47">
            <w:pPr>
              <w:pStyle w:val="TableBullet"/>
              <w:ind w:left="254" w:hanging="188"/>
              <w:rPr>
                <w:rFonts w:eastAsiaTheme="minorEastAsia"/>
                <w:color w:val="000000" w:themeColor="text1"/>
                <w:sz w:val="21"/>
                <w:szCs w:val="21"/>
              </w:rPr>
            </w:pPr>
            <w:r w:rsidRPr="006448DF">
              <w:rPr>
                <w:rFonts w:eastAsiaTheme="minorEastAsia"/>
                <w:color w:val="000000" w:themeColor="text1"/>
                <w:sz w:val="21"/>
                <w:szCs w:val="21"/>
              </w:rPr>
              <w:t>Continue using non-competitive and non-application-based grants where possible (unless the Program is specifically competitive)</w:t>
            </w:r>
          </w:p>
          <w:p w14:paraId="1E76B01C" w14:textId="57A99539" w:rsidR="00A57B47" w:rsidRPr="006448DF" w:rsidRDefault="00654FA9">
            <w:pPr>
              <w:pStyle w:val="TableBullet"/>
              <w:ind w:left="254" w:hanging="188"/>
              <w:rPr>
                <w:rFonts w:eastAsiaTheme="minorEastAsia"/>
                <w:color w:val="000000" w:themeColor="text1"/>
                <w:sz w:val="21"/>
                <w:szCs w:val="21"/>
              </w:rPr>
            </w:pPr>
            <w:r w:rsidRPr="00654FA9">
              <w:rPr>
                <w:rFonts w:eastAsiaTheme="minorEastAsia"/>
                <w:color w:val="000000" w:themeColor="text1"/>
                <w:sz w:val="21"/>
                <w:szCs w:val="21"/>
              </w:rPr>
              <w:t xml:space="preserve">Assess opportunities to triage PHN grants </w:t>
            </w:r>
            <w:r w:rsidR="00A57B47" w:rsidRPr="006448DF">
              <w:rPr>
                <w:rFonts w:eastAsiaTheme="minorEastAsia"/>
                <w:color w:val="000000" w:themeColor="text1"/>
                <w:sz w:val="21"/>
                <w:szCs w:val="21"/>
              </w:rPr>
              <w:t>to lower risk templates (e.g. PHN grants can default to 'complex/high risk' templates, despite the well-tested model and defined recipients)</w:t>
            </w:r>
          </w:p>
          <w:p w14:paraId="4A4EF544" w14:textId="69B22975" w:rsidR="00A57B47" w:rsidRPr="006448DF" w:rsidRDefault="00A57B47">
            <w:pPr>
              <w:pStyle w:val="TableBullet"/>
              <w:ind w:left="265" w:hanging="182"/>
              <w:rPr>
                <w:rFonts w:eastAsiaTheme="minorEastAsia"/>
                <w:color w:val="000000" w:themeColor="text1"/>
                <w:sz w:val="21"/>
                <w:szCs w:val="21"/>
              </w:rPr>
            </w:pPr>
            <w:r w:rsidRPr="006448DF">
              <w:rPr>
                <w:rFonts w:eastAsiaTheme="minorEastAsia"/>
                <w:color w:val="000000" w:themeColor="text1"/>
                <w:sz w:val="21"/>
                <w:szCs w:val="21"/>
              </w:rPr>
              <w:t>Evaluate opportunities to operate under existing (more flexible) Schedules, rather than defaulting to new Grant Opportunities</w:t>
            </w:r>
          </w:p>
          <w:p w14:paraId="52241C66" w14:textId="72ED6D7B" w:rsidR="00A57B47" w:rsidRPr="006448DF" w:rsidDel="000276D1" w:rsidRDefault="00A57B47">
            <w:pPr>
              <w:pStyle w:val="TableBullet"/>
              <w:ind w:left="265" w:hanging="182"/>
              <w:rPr>
                <w:rFonts w:eastAsiaTheme="minorEastAsia"/>
                <w:color w:val="000000" w:themeColor="text1"/>
                <w:sz w:val="21"/>
                <w:szCs w:val="21"/>
              </w:rPr>
            </w:pPr>
            <w:r w:rsidRPr="006448DF">
              <w:rPr>
                <w:rFonts w:eastAsiaTheme="minorEastAsia"/>
                <w:color w:val="000000" w:themeColor="text1"/>
                <w:sz w:val="21"/>
                <w:szCs w:val="21"/>
              </w:rPr>
              <w:t xml:space="preserve">Consider options to expedite approval of 'standard' Grant Opportunity Guidelines </w:t>
            </w:r>
            <w:r w:rsidRPr="006448DF">
              <w:rPr>
                <w:rFonts w:eastAsiaTheme="minorEastAsia"/>
                <w:i/>
                <w:color w:val="000000" w:themeColor="text1"/>
                <w:sz w:val="21"/>
                <w:szCs w:val="21"/>
              </w:rPr>
              <w:t>(</w:t>
            </w:r>
            <w:r w:rsidRPr="006448DF">
              <w:rPr>
                <w:rFonts w:eastAsiaTheme="minorEastAsia"/>
                <w:color w:val="000000" w:themeColor="text1"/>
                <w:sz w:val="21"/>
                <w:szCs w:val="21"/>
              </w:rPr>
              <w:t>GOGs) (e.g. funding extension) to reduce the volume issue of grant approvals (approx</w:t>
            </w:r>
            <w:r w:rsidR="000C43E6" w:rsidRPr="006448DF">
              <w:rPr>
                <w:rFonts w:eastAsiaTheme="minorEastAsia"/>
                <w:color w:val="000000" w:themeColor="text1"/>
                <w:sz w:val="21"/>
                <w:szCs w:val="21"/>
              </w:rPr>
              <w:t>imately</w:t>
            </w:r>
            <w:r w:rsidRPr="006448DF">
              <w:rPr>
                <w:rFonts w:eastAsiaTheme="minorEastAsia"/>
                <w:color w:val="000000" w:themeColor="text1"/>
                <w:sz w:val="21"/>
                <w:szCs w:val="21"/>
              </w:rPr>
              <w:t xml:space="preserve"> 20,000 approvals per year)</w:t>
            </w:r>
          </w:p>
        </w:tc>
      </w:tr>
    </w:tbl>
    <w:p w14:paraId="287C3E80" w14:textId="024F9C8B" w:rsidR="00C656DD" w:rsidRPr="006448DF" w:rsidRDefault="00A57B47" w:rsidP="001E39A0">
      <w:r w:rsidRPr="006448DF">
        <w:br/>
        <w:t xml:space="preserve">Delivering the </w:t>
      </w:r>
      <w:r w:rsidR="00CF2855" w:rsidRPr="006448DF">
        <w:t>two streams</w:t>
      </w:r>
      <w:r w:rsidRPr="006448DF">
        <w:t xml:space="preserve"> of immediate reforms will reduce administrative burden, distribute funds more effectively, and support PHNs to deliver </w:t>
      </w:r>
      <w:r w:rsidR="009433AE" w:rsidRPr="006448DF">
        <w:t>‘</w:t>
      </w:r>
      <w:r w:rsidRPr="006448DF">
        <w:t>the 3Cs</w:t>
      </w:r>
      <w:r w:rsidR="009433AE" w:rsidRPr="006448DF">
        <w:t>’</w:t>
      </w:r>
      <w:r w:rsidRPr="006448DF">
        <w:t xml:space="preserve">. Raising stakeholder confidence in PHNs and improving the funding process would reduce the administrative load for PHNs and the Department, accelerate the distribution of funds, and build capacity to </w:t>
      </w:r>
      <w:r w:rsidRPr="006448DF">
        <w:lastRenderedPageBreak/>
        <w:t xml:space="preserve">deliver  locally tailored services. </w:t>
      </w:r>
      <w:r w:rsidR="00C656DD" w:rsidRPr="00C656DD">
        <w:t xml:space="preserve">These benefits are underpinned by more efficient program administration. Simplifying reporting and funding requirements, such as activity work plans and fragmented schedules, could free up a portion of the 17,750 to 20,000 administrative staff hours currently spent each year by every PHN. These resources could be redirected to more strategic, value-adding work. A more consistent funding model would also shorten disbursement timelines, </w:t>
      </w:r>
      <w:proofErr w:type="gramStart"/>
      <w:r w:rsidR="00C656DD" w:rsidRPr="00C656DD">
        <w:t>reducing</w:t>
      </w:r>
      <w:proofErr w:type="gramEnd"/>
      <w:r w:rsidR="00C656DD" w:rsidRPr="00C656DD">
        <w:t xml:space="preserve"> service disruptions and improving planning. Together, these changes would help PHNs apply best practice commissioning approaches and improve coordination of care, particularly across neighbouring regions.</w:t>
      </w:r>
    </w:p>
    <w:p w14:paraId="6C7D71FB" w14:textId="77777777" w:rsidR="0070718F" w:rsidRPr="007F43A6" w:rsidRDefault="0070718F" w:rsidP="001A3AC3">
      <w:r w:rsidRPr="001A3AC3">
        <w:t>Delivering the reforms will require both immediate and ongoing investment.</w:t>
      </w:r>
      <w:r w:rsidRPr="000E4AAE">
        <w:t xml:space="preserve"> In the </w:t>
      </w:r>
      <w:r w:rsidRPr="00E61FC1">
        <w:t>12 months following a</w:t>
      </w:r>
      <w:r>
        <w:t>greement</w:t>
      </w:r>
      <w:r w:rsidRPr="00E61FC1">
        <w:t xml:space="preserve"> to adopt </w:t>
      </w:r>
      <w:r>
        <w:t xml:space="preserve">these </w:t>
      </w:r>
      <w:r w:rsidRPr="00E61FC1">
        <w:t>reforms</w:t>
      </w:r>
      <w:r>
        <w:t>,</w:t>
      </w:r>
      <w:r w:rsidRPr="000E4AAE">
        <w:t xml:space="preserve"> the Department will need to </w:t>
      </w:r>
      <w:r>
        <w:t xml:space="preserve">make a one-off </w:t>
      </w:r>
      <w:r w:rsidRPr="000E4AAE">
        <w:t>invest</w:t>
      </w:r>
      <w:r>
        <w:t>ment</w:t>
      </w:r>
      <w:r w:rsidRPr="000E4AAE">
        <w:t xml:space="preserve"> in PHN Branch resourcing to update funding deeds, simplify reporting</w:t>
      </w:r>
      <w:r>
        <w:t xml:space="preserve">, </w:t>
      </w:r>
      <w:r w:rsidRPr="000E4AAE">
        <w:t>develop new policy proposals to support longer-term funding arrangements</w:t>
      </w:r>
      <w:r>
        <w:t xml:space="preserve"> and stand up the new Quality Improvement team</w:t>
      </w:r>
      <w:r w:rsidRPr="000E4AAE">
        <w:t xml:space="preserve">. </w:t>
      </w:r>
      <w:r>
        <w:t xml:space="preserve">Following this initial implementation period, a smaller increase to current funding levels will be required to support the </w:t>
      </w:r>
      <w:r w:rsidRPr="000E4AAE">
        <w:t xml:space="preserve">PHN Quality Improvement team and enhanced </w:t>
      </w:r>
      <w:r>
        <w:t>PHN Branch</w:t>
      </w:r>
      <w:r w:rsidRPr="000E4AAE">
        <w:t xml:space="preserve"> responsibilities. The Department’s operating model will need to change with respect to the PHN program, with the PHN Program </w:t>
      </w:r>
      <w:r>
        <w:t>B</w:t>
      </w:r>
      <w:r w:rsidRPr="000E4AAE">
        <w:t xml:space="preserve">oard playing a stronger stewardship role. </w:t>
      </w:r>
    </w:p>
    <w:p w14:paraId="5E509C1F" w14:textId="77777777" w:rsidR="00A57B47" w:rsidRPr="006448DF" w:rsidRDefault="00A57B47" w:rsidP="001A3AC3">
      <w:pPr>
        <w:spacing w:before="0" w:after="0"/>
        <w:rPr>
          <w:b/>
          <w:color w:val="358189" w:themeColor="accent2"/>
        </w:rPr>
      </w:pPr>
      <w:r w:rsidRPr="006448DF">
        <w:rPr>
          <w:b/>
          <w:color w:val="358189" w:themeColor="accent2"/>
        </w:rPr>
        <w:t>Longer-term option: Consider moving to a new model to address remaining structural tensions</w:t>
      </w:r>
    </w:p>
    <w:p w14:paraId="55822807" w14:textId="77B59E02" w:rsidR="00A57B47" w:rsidRDefault="00A57B47" w:rsidP="00A57B47">
      <w:pPr>
        <w:rPr>
          <w:color w:val="auto"/>
          <w:szCs w:val="22"/>
        </w:rPr>
      </w:pPr>
      <w:r w:rsidRPr="006448DF">
        <w:t>The review also recommends that</w:t>
      </w:r>
      <w:r w:rsidR="005A51F7" w:rsidRPr="006448DF">
        <w:t>,</w:t>
      </w:r>
      <w:r w:rsidRPr="006448DF">
        <w:t xml:space="preserve"> three years after commencing the immediate reforms, the Department should consider the option of moving to a new PHN model</w:t>
      </w:r>
      <w:r w:rsidR="00E12411" w:rsidRPr="00E12411">
        <w:t xml:space="preserve"> </w:t>
      </w:r>
      <w:r w:rsidR="00E12411" w:rsidRPr="0087225B">
        <w:t>if the reforms have not delivered sustained improvements in PHN capability and capacity</w:t>
      </w:r>
      <w:r w:rsidRPr="006448DF">
        <w:t xml:space="preserve">. Under this model, a not-for-profit Commonwealth entity would be established as the holding entity and enabling service provider for </w:t>
      </w:r>
      <w:r w:rsidRPr="002F342F">
        <w:rPr>
          <w:bCs/>
        </w:rPr>
        <w:t>30 local PHN Divisions, with</w:t>
      </w:r>
      <w:r w:rsidRPr="006448DF">
        <w:t xml:space="preserve"> each PHN </w:t>
      </w:r>
      <w:r w:rsidRPr="002F342F">
        <w:rPr>
          <w:bCs/>
        </w:rPr>
        <w:t>retaining current boundaries, local staff, local offices, and a local CEO</w:t>
      </w:r>
      <w:r w:rsidRPr="006448DF">
        <w:t>, and holding similar delegations and authorities to maintain local autonomy and flexibility.</w:t>
      </w:r>
      <w:r w:rsidRPr="002F342F">
        <w:rPr>
          <w:bCs/>
        </w:rPr>
        <w:t xml:space="preserve"> PHN Boards and advisory groups would become Local Advisory Boards.</w:t>
      </w:r>
      <w:r w:rsidR="001328E6">
        <w:rPr>
          <w:bCs/>
        </w:rPr>
        <w:t xml:space="preserve"> PHN staff would </w:t>
      </w:r>
      <w:r w:rsidR="00AE2113">
        <w:rPr>
          <w:bCs/>
        </w:rPr>
        <w:t>be</w:t>
      </w:r>
      <w:r w:rsidR="001328E6">
        <w:rPr>
          <w:bCs/>
        </w:rPr>
        <w:t xml:space="preserve"> employed by </w:t>
      </w:r>
      <w:r w:rsidR="00AE2113">
        <w:rPr>
          <w:bCs/>
        </w:rPr>
        <w:t xml:space="preserve">the </w:t>
      </w:r>
      <w:r w:rsidR="00051000">
        <w:rPr>
          <w:bCs/>
        </w:rPr>
        <w:t xml:space="preserve">not-for-profit Commonwealth entity, with flexibility to offer </w:t>
      </w:r>
      <w:r w:rsidR="007C0F49">
        <w:rPr>
          <w:bCs/>
        </w:rPr>
        <w:t xml:space="preserve">terms </w:t>
      </w:r>
      <w:proofErr w:type="gramStart"/>
      <w:r w:rsidR="007C0F49">
        <w:rPr>
          <w:bCs/>
        </w:rPr>
        <w:t>similar to</w:t>
      </w:r>
      <w:proofErr w:type="gramEnd"/>
      <w:r w:rsidR="007C0F49">
        <w:rPr>
          <w:bCs/>
        </w:rPr>
        <w:t xml:space="preserve"> current arrangements.</w:t>
      </w:r>
      <w:r w:rsidRPr="002F342F">
        <w:rPr>
          <w:bCs/>
        </w:rPr>
        <w:t xml:space="preserve"> PHNs would be funded via direct appropriations from Government with </w:t>
      </w:r>
      <w:r w:rsidR="00167118">
        <w:rPr>
          <w:bCs/>
        </w:rPr>
        <w:t>five</w:t>
      </w:r>
      <w:r w:rsidRPr="002F342F">
        <w:rPr>
          <w:bCs/>
        </w:rPr>
        <w:t xml:space="preserve">-year core and </w:t>
      </w:r>
      <w:r w:rsidR="00167118">
        <w:rPr>
          <w:bCs/>
        </w:rPr>
        <w:t>four</w:t>
      </w:r>
      <w:r w:rsidRPr="002F342F">
        <w:rPr>
          <w:bCs/>
        </w:rPr>
        <w:t xml:space="preserve">-year program funding. </w:t>
      </w:r>
      <w:r>
        <w:rPr>
          <w:bCs/>
        </w:rPr>
        <w:t xml:space="preserve">Thirty-one separate contracts would be </w:t>
      </w:r>
      <w:proofErr w:type="gramStart"/>
      <w:r>
        <w:rPr>
          <w:bCs/>
        </w:rPr>
        <w:t>replaced</w:t>
      </w:r>
      <w:proofErr w:type="gramEnd"/>
      <w:r>
        <w:rPr>
          <w:bCs/>
        </w:rPr>
        <w:t xml:space="preserve"> and a s</w:t>
      </w:r>
      <w:r w:rsidRPr="002F342F">
        <w:rPr>
          <w:bCs/>
        </w:rPr>
        <w:t>hared services function would provide finance, HR, ICT, data and procurement, freeing up funds for investment in primary care</w:t>
      </w:r>
      <w:r w:rsidRPr="004678A5">
        <w:rPr>
          <w:bCs/>
        </w:rPr>
        <w:t xml:space="preserve"> </w:t>
      </w:r>
      <w:r>
        <w:rPr>
          <w:bCs/>
        </w:rPr>
        <w:t>and supporting</w:t>
      </w:r>
      <w:r w:rsidRPr="004678A5">
        <w:rPr>
          <w:bCs/>
        </w:rPr>
        <w:t xml:space="preserve"> more consistent oversight and streamlined funding</w:t>
      </w:r>
      <w:r w:rsidRPr="002F342F">
        <w:rPr>
          <w:bCs/>
        </w:rPr>
        <w:t>. The PHN Branch would remain responsible for broader policy and program design</w:t>
      </w:r>
      <w:r>
        <w:rPr>
          <w:bCs/>
        </w:rPr>
        <w:t xml:space="preserve">. </w:t>
      </w:r>
      <w:r w:rsidRPr="006448DF">
        <w:rPr>
          <w:color w:val="auto"/>
          <w:szCs w:val="22"/>
        </w:rPr>
        <w:t xml:space="preserve">(See Exhibit </w:t>
      </w:r>
      <w:r w:rsidR="00AE0653" w:rsidRPr="006448DF">
        <w:rPr>
          <w:color w:val="auto"/>
          <w:szCs w:val="22"/>
        </w:rPr>
        <w:t>1</w:t>
      </w:r>
      <w:r w:rsidR="00A77892" w:rsidRPr="006448DF">
        <w:rPr>
          <w:color w:val="auto"/>
          <w:szCs w:val="22"/>
        </w:rPr>
        <w:t>5</w:t>
      </w:r>
      <w:r w:rsidRPr="006448DF">
        <w:rPr>
          <w:color w:val="auto"/>
          <w:szCs w:val="22"/>
        </w:rPr>
        <w:t xml:space="preserve"> for an illustrative view of the new entity structure.)</w:t>
      </w:r>
    </w:p>
    <w:p w14:paraId="7D467B6B" w14:textId="769843AD" w:rsidR="00A57B47" w:rsidRPr="001A3AC3" w:rsidDel="00C1443D" w:rsidRDefault="00A57B47" w:rsidP="00A57B47">
      <w:pPr>
        <w:rPr>
          <w:rFonts w:eastAsia="+mn-ea"/>
        </w:rPr>
      </w:pPr>
      <w:r w:rsidRPr="006448DF">
        <w:t>This model would help to address remaining structural tensions in governance and engagement, performance management and funding processes</w:t>
      </w:r>
      <w:r w:rsidRPr="006448DF" w:rsidDel="00CD3D52">
        <w:t xml:space="preserve">, </w:t>
      </w:r>
      <w:r w:rsidRPr="006448DF">
        <w:t>and unlock further efficiencies for reinvestment in primary care.</w:t>
      </w:r>
      <w:r w:rsidRPr="00AF01EE">
        <w:t xml:space="preserve"> </w:t>
      </w:r>
      <w:r w:rsidR="00AF01EE" w:rsidRPr="00AF01EE">
        <w:t>It would create a clear line of accountability between the Commonwealth and each PHN, while preserving local autonomy in key decision making.</w:t>
      </w:r>
      <w:r w:rsidR="00AF01EE">
        <w:t xml:space="preserve"> </w:t>
      </w:r>
      <w:r w:rsidRPr="006448DF">
        <w:rPr>
          <w:rFonts w:eastAsia="+mn-ea"/>
        </w:rPr>
        <w:t xml:space="preserve">The entity structure would improve PHN delivery even further </w:t>
      </w:r>
      <w:r w:rsidR="001F5080" w:rsidRPr="006448DF">
        <w:rPr>
          <w:rFonts w:eastAsia="+mn-ea"/>
        </w:rPr>
        <w:t>–</w:t>
      </w:r>
      <w:r w:rsidRPr="006448DF">
        <w:rPr>
          <w:rFonts w:eastAsia="+mn-ea"/>
        </w:rPr>
        <w:t xml:space="preserve"> raising confidence in PHNs by clarifying roles and expectations, removing the need for grants, and </w:t>
      </w:r>
      <w:r w:rsidRPr="006448DF">
        <w:t>reducing administrative costs.</w:t>
      </w:r>
      <w:r w:rsidRPr="006448DF" w:rsidDel="00E51C69">
        <w:rPr>
          <w:rFonts w:eastAsia="+mn-ea"/>
        </w:rPr>
        <w:t xml:space="preserve"> </w:t>
      </w:r>
      <w:r w:rsidR="00C5453C" w:rsidRPr="00C5453C">
        <w:rPr>
          <w:rFonts w:eastAsia="+mn-ea"/>
        </w:rPr>
        <w:t xml:space="preserve">It would also simplify the funding model by enabling direct appropriations to PHN Divisions </w:t>
      </w:r>
      <w:r w:rsidR="00B53E99">
        <w:rPr>
          <w:rFonts w:eastAsia="+mn-ea"/>
        </w:rPr>
        <w:t xml:space="preserve">of the not-for-profit Commonwealth Entity </w:t>
      </w:r>
      <w:r w:rsidR="00C5453C" w:rsidRPr="00C5453C">
        <w:rPr>
          <w:rFonts w:eastAsia="+mn-ea"/>
        </w:rPr>
        <w:t xml:space="preserve">and </w:t>
      </w:r>
      <w:r w:rsidR="00446C96">
        <w:rPr>
          <w:rFonts w:eastAsia="+mn-ea"/>
        </w:rPr>
        <w:t xml:space="preserve">reducing </w:t>
      </w:r>
      <w:r w:rsidR="00C5453C" w:rsidRPr="00C5453C">
        <w:rPr>
          <w:rFonts w:eastAsia="+mn-ea"/>
        </w:rPr>
        <w:t xml:space="preserve">reliance on prescriptive schedules and carry-over approvals. </w:t>
      </w:r>
      <w:r w:rsidRPr="006448DF">
        <w:rPr>
          <w:rFonts w:eastAsia="+mn-ea"/>
        </w:rPr>
        <w:t xml:space="preserve">These further system benefits and efficiencies could be directed towards more primary care programs, enabling stronger </w:t>
      </w:r>
      <w:r w:rsidRPr="006448DF">
        <w:rPr>
          <w:rFonts w:eastAsia="+mn-ea"/>
        </w:rPr>
        <w:lastRenderedPageBreak/>
        <w:t>Commonwealth support of local healthcare delivery and offering potential for a collaborative governance model engaging a wide range of stakeholders</w:t>
      </w:r>
      <w:r w:rsidRPr="006448DF">
        <w:t xml:space="preserve">. Longer term, bringing PHNs into a not-for-profit Commonwealth </w:t>
      </w:r>
      <w:r w:rsidRPr="006448DF" w:rsidDel="00CD3D52">
        <w:t xml:space="preserve">entity </w:t>
      </w:r>
      <w:r w:rsidRPr="006448DF">
        <w:t>would also support more consistent integration between the Commonwealth, states and territories at the local level.</w:t>
      </w:r>
    </w:p>
    <w:p w14:paraId="5539AA62" w14:textId="6C343971" w:rsidR="009E0535" w:rsidRPr="006448DF" w:rsidRDefault="00A57B47" w:rsidP="0052471D">
      <w:pPr>
        <w:rPr>
          <w:rFonts w:eastAsia="+mn-ea"/>
        </w:rPr>
      </w:pPr>
      <w:r w:rsidRPr="006448DF">
        <w:rPr>
          <w:color w:val="auto"/>
          <w:szCs w:val="22"/>
        </w:rPr>
        <w:t xml:space="preserve">A detailed assessment of the costs and benefits of this new model is beyond the scope of this review and would only be meaningful once the impact of the two immediate </w:t>
      </w:r>
      <w:r w:rsidR="00825039" w:rsidRPr="006448DF">
        <w:rPr>
          <w:color w:val="auto"/>
          <w:szCs w:val="22"/>
        </w:rPr>
        <w:t xml:space="preserve">streams of </w:t>
      </w:r>
      <w:r w:rsidRPr="006448DF">
        <w:rPr>
          <w:color w:val="auto"/>
          <w:szCs w:val="22"/>
        </w:rPr>
        <w:t xml:space="preserve">reforms is clear. </w:t>
      </w:r>
      <w:r w:rsidRPr="006448DF">
        <w:rPr>
          <w:rFonts w:eastAsia="+mn-ea"/>
          <w:color w:val="auto"/>
          <w:szCs w:val="22"/>
        </w:rPr>
        <w:t xml:space="preserve">While </w:t>
      </w:r>
      <w:r w:rsidR="000B6D0F" w:rsidRPr="006448DF">
        <w:rPr>
          <w:rFonts w:eastAsia="+mn-ea"/>
          <w:color w:val="auto"/>
          <w:szCs w:val="22"/>
        </w:rPr>
        <w:t xml:space="preserve">the new model </w:t>
      </w:r>
      <w:r w:rsidRPr="006448DF">
        <w:rPr>
          <w:rFonts w:eastAsia="+mn-ea"/>
          <w:color w:val="auto"/>
          <w:szCs w:val="22"/>
        </w:rPr>
        <w:t>offers significant benefits, it would be complex</w:t>
      </w:r>
      <w:r w:rsidR="000B6D0F" w:rsidRPr="006448DF">
        <w:rPr>
          <w:rFonts w:eastAsia="+mn-ea"/>
          <w:color w:val="auto"/>
          <w:szCs w:val="22"/>
        </w:rPr>
        <w:t xml:space="preserve"> and</w:t>
      </w:r>
      <w:r w:rsidRPr="006448DF">
        <w:rPr>
          <w:rFonts w:eastAsia="+mn-ea"/>
          <w:color w:val="auto"/>
          <w:szCs w:val="22"/>
        </w:rPr>
        <w:t xml:space="preserve"> time-consuming </w:t>
      </w:r>
      <w:r w:rsidR="000B6D0F" w:rsidRPr="006448DF">
        <w:rPr>
          <w:rFonts w:eastAsia="+mn-ea"/>
          <w:color w:val="auto"/>
          <w:szCs w:val="22"/>
        </w:rPr>
        <w:t>to design, legislate and implement</w:t>
      </w:r>
      <w:r w:rsidRPr="006448DF">
        <w:rPr>
          <w:rFonts w:eastAsia="+mn-ea"/>
          <w:color w:val="auto"/>
          <w:szCs w:val="22"/>
        </w:rPr>
        <w:t>.</w:t>
      </w:r>
      <w:r w:rsidR="005A51F7" w:rsidRPr="006448DF">
        <w:rPr>
          <w:rFonts w:eastAsia="+mn-ea"/>
          <w:color w:val="auto"/>
          <w:szCs w:val="22"/>
        </w:rPr>
        <w:t xml:space="preserve"> </w:t>
      </w:r>
      <w:r w:rsidR="00F36B84" w:rsidRPr="006448DF">
        <w:rPr>
          <w:rFonts w:eastAsia="+mn-ea"/>
          <w:color w:val="auto"/>
          <w:szCs w:val="22"/>
        </w:rPr>
        <w:t xml:space="preserve">Moving to a new entity would </w:t>
      </w:r>
      <w:r w:rsidR="00CD14E1">
        <w:rPr>
          <w:rFonts w:eastAsia="+mn-ea"/>
          <w:color w:val="auto"/>
          <w:szCs w:val="22"/>
        </w:rPr>
        <w:t xml:space="preserve">likely </w:t>
      </w:r>
      <w:r w:rsidR="00F36B84" w:rsidRPr="006448DF">
        <w:rPr>
          <w:rFonts w:eastAsia="+mn-ea"/>
          <w:color w:val="auto"/>
          <w:szCs w:val="22"/>
        </w:rPr>
        <w:t xml:space="preserve">require </w:t>
      </w:r>
      <w:r w:rsidR="000B6D0F" w:rsidRPr="006448DF">
        <w:rPr>
          <w:rFonts w:eastAsia="+mn-ea"/>
          <w:color w:val="auto"/>
          <w:szCs w:val="22"/>
        </w:rPr>
        <w:t xml:space="preserve">new </w:t>
      </w:r>
      <w:r w:rsidR="00F36B84" w:rsidRPr="006448DF">
        <w:rPr>
          <w:rFonts w:eastAsia="+mn-ea"/>
          <w:color w:val="auto"/>
          <w:szCs w:val="22"/>
        </w:rPr>
        <w:t>legislation</w:t>
      </w:r>
      <w:r w:rsidR="000B6D0F" w:rsidRPr="006448DF">
        <w:rPr>
          <w:rFonts w:eastAsia="+mn-ea"/>
          <w:color w:val="auto"/>
          <w:szCs w:val="22"/>
        </w:rPr>
        <w:t xml:space="preserve"> and careful</w:t>
      </w:r>
      <w:r w:rsidR="00F36B84" w:rsidRPr="006448DF">
        <w:rPr>
          <w:rFonts w:eastAsia="+mn-ea"/>
          <w:color w:val="auto"/>
          <w:szCs w:val="22"/>
        </w:rPr>
        <w:t xml:space="preserve"> design </w:t>
      </w:r>
      <w:r w:rsidR="000B6D0F" w:rsidRPr="006448DF">
        <w:rPr>
          <w:rFonts w:eastAsia="+mn-ea"/>
          <w:color w:val="auto"/>
          <w:szCs w:val="22"/>
        </w:rPr>
        <w:t>of the</w:t>
      </w:r>
      <w:r w:rsidR="00F36B84" w:rsidRPr="006448DF">
        <w:rPr>
          <w:rFonts w:eastAsia="+mn-ea"/>
          <w:color w:val="auto"/>
          <w:szCs w:val="22"/>
        </w:rPr>
        <w:t xml:space="preserve"> governance model </w:t>
      </w:r>
      <w:r w:rsidR="000B6D0F" w:rsidRPr="006448DF">
        <w:rPr>
          <w:rFonts w:eastAsia="+mn-ea"/>
          <w:color w:val="auto"/>
          <w:szCs w:val="22"/>
        </w:rPr>
        <w:t>to</w:t>
      </w:r>
      <w:r w:rsidR="00F36B84" w:rsidRPr="006448DF">
        <w:rPr>
          <w:rFonts w:eastAsia="+mn-ea"/>
          <w:color w:val="auto"/>
          <w:szCs w:val="22"/>
        </w:rPr>
        <w:t xml:space="preserve"> avoid centralising decision making and undermin</w:t>
      </w:r>
      <w:r w:rsidR="000B6D0F" w:rsidRPr="006448DF">
        <w:rPr>
          <w:rFonts w:eastAsia="+mn-ea"/>
          <w:color w:val="auto"/>
          <w:szCs w:val="22"/>
        </w:rPr>
        <w:t>ing the</w:t>
      </w:r>
      <w:r w:rsidR="00F36B84" w:rsidRPr="006448DF">
        <w:rPr>
          <w:rFonts w:eastAsia="+mn-ea"/>
          <w:color w:val="auto"/>
          <w:szCs w:val="22"/>
        </w:rPr>
        <w:t xml:space="preserve"> ability to maintain local responsiveness</w:t>
      </w:r>
      <w:r w:rsidR="000B6D0F" w:rsidRPr="006448DF">
        <w:rPr>
          <w:rFonts w:eastAsia="+mn-ea"/>
          <w:color w:val="auto"/>
          <w:szCs w:val="22"/>
        </w:rPr>
        <w:t xml:space="preserve">. The transition of </w:t>
      </w:r>
      <w:r w:rsidR="00F36B84" w:rsidRPr="006448DF">
        <w:rPr>
          <w:rFonts w:eastAsia="+mn-ea"/>
          <w:color w:val="auto"/>
          <w:szCs w:val="22"/>
        </w:rPr>
        <w:t>existing service provider and employment contracts</w:t>
      </w:r>
      <w:r w:rsidR="000B6D0F" w:rsidRPr="006448DF">
        <w:rPr>
          <w:rFonts w:eastAsia="+mn-ea"/>
          <w:color w:val="auto"/>
          <w:szCs w:val="22"/>
        </w:rPr>
        <w:t xml:space="preserve"> would be complex, as would a</w:t>
      </w:r>
      <w:r w:rsidR="00F36B84" w:rsidRPr="006448DF">
        <w:rPr>
          <w:rFonts w:eastAsia="+mn-ea"/>
          <w:color w:val="auto"/>
          <w:szCs w:val="22"/>
        </w:rPr>
        <w:t>lignment of different employment terms across PHNs</w:t>
      </w:r>
      <w:r w:rsidR="000B6D0F" w:rsidRPr="006448DF">
        <w:rPr>
          <w:rFonts w:eastAsia="+mn-ea"/>
          <w:color w:val="auto"/>
          <w:szCs w:val="22"/>
        </w:rPr>
        <w:t xml:space="preserve">. The </w:t>
      </w:r>
      <w:r w:rsidR="00F36B84" w:rsidRPr="006448DF">
        <w:rPr>
          <w:rFonts w:eastAsia="+mn-ea"/>
          <w:color w:val="auto"/>
          <w:szCs w:val="22"/>
        </w:rPr>
        <w:t>loss of full salary packaging and other benefits would increase salary costs</w:t>
      </w:r>
      <w:r w:rsidR="00F36B84" w:rsidRPr="006448DF">
        <w:rPr>
          <w:color w:val="auto"/>
          <w:szCs w:val="22"/>
        </w:rPr>
        <w:t>​</w:t>
      </w:r>
      <w:r w:rsidR="0052471D" w:rsidRPr="006448DF">
        <w:rPr>
          <w:color w:val="auto"/>
          <w:szCs w:val="22"/>
        </w:rPr>
        <w:t>, while</w:t>
      </w:r>
      <w:r w:rsidR="00F36B84" w:rsidRPr="006448DF">
        <w:rPr>
          <w:color w:val="auto"/>
          <w:szCs w:val="22"/>
        </w:rPr>
        <w:t xml:space="preserve"> access to deductible gift status could reduce opportunities for philanthropic contributions</w:t>
      </w:r>
      <w:r w:rsidR="008518B3" w:rsidRPr="006448DF">
        <w:rPr>
          <w:color w:val="auto"/>
          <w:szCs w:val="22"/>
        </w:rPr>
        <w:t xml:space="preserve">. </w:t>
      </w:r>
      <w:r w:rsidR="00F36B84" w:rsidRPr="006448DF">
        <w:rPr>
          <w:color w:val="auto"/>
          <w:szCs w:val="22"/>
        </w:rPr>
        <w:t>​</w:t>
      </w:r>
      <w:r w:rsidR="000B6D0F" w:rsidRPr="006448DF">
        <w:rPr>
          <w:rFonts w:eastAsia="+mn-ea"/>
          <w:color w:val="auto"/>
          <w:szCs w:val="22"/>
        </w:rPr>
        <w:t>Additionally, potential u</w:t>
      </w:r>
      <w:r w:rsidR="00F36B84" w:rsidRPr="006448DF">
        <w:rPr>
          <w:rFonts w:eastAsia="+mn-ea"/>
          <w:color w:val="auto"/>
          <w:szCs w:val="22"/>
        </w:rPr>
        <w:t xml:space="preserve">ncertainty during transition could lead to key </w:t>
      </w:r>
      <w:r w:rsidR="0052471D" w:rsidRPr="006448DF">
        <w:rPr>
          <w:color w:val="auto"/>
          <w:szCs w:val="22"/>
        </w:rPr>
        <w:t>people</w:t>
      </w:r>
      <w:r w:rsidR="00F36B84" w:rsidRPr="006448DF">
        <w:rPr>
          <w:rFonts w:eastAsia="+mn-ea"/>
          <w:color w:val="auto"/>
          <w:szCs w:val="22"/>
        </w:rPr>
        <w:t xml:space="preserve"> leaving</w:t>
      </w:r>
      <w:r w:rsidR="00FC6D90">
        <w:rPr>
          <w:rFonts w:eastAsia="+mn-ea"/>
          <w:color w:val="auto"/>
          <w:szCs w:val="22"/>
        </w:rPr>
        <w:t xml:space="preserve"> the </w:t>
      </w:r>
      <w:r w:rsidR="00F34FCC">
        <w:rPr>
          <w:rFonts w:eastAsia="+mn-ea"/>
          <w:color w:val="auto"/>
          <w:szCs w:val="22"/>
        </w:rPr>
        <w:t>Networks</w:t>
      </w:r>
      <w:r w:rsidR="0052471D" w:rsidRPr="006448DF">
        <w:rPr>
          <w:color w:val="auto"/>
          <w:szCs w:val="22"/>
        </w:rPr>
        <w:t>.</w:t>
      </w:r>
      <w:r w:rsidR="0052471D" w:rsidRPr="006448DF" w:rsidDel="00C10CE4">
        <w:rPr>
          <w:color w:val="auto"/>
          <w:szCs w:val="22"/>
        </w:rPr>
        <w:t xml:space="preserve"> </w:t>
      </w:r>
      <w:r w:rsidR="00C10CE4" w:rsidRPr="006448DF">
        <w:rPr>
          <w:rFonts w:eastAsia="+mn-ea"/>
          <w:color w:val="auto"/>
          <w:szCs w:val="22"/>
        </w:rPr>
        <w:t>Transitioning</w:t>
      </w:r>
      <w:r w:rsidR="0052471D" w:rsidRPr="006448DF">
        <w:rPr>
          <w:color w:val="auto"/>
          <w:szCs w:val="22"/>
        </w:rPr>
        <w:t xml:space="preserve"> systems, such as </w:t>
      </w:r>
      <w:r w:rsidR="00F36B84" w:rsidRPr="006448DF">
        <w:rPr>
          <w:rFonts w:eastAsia="+mn-ea"/>
          <w:color w:val="auto"/>
          <w:szCs w:val="22"/>
        </w:rPr>
        <w:t>HR, payroll and IT systems</w:t>
      </w:r>
      <w:r w:rsidR="0052471D" w:rsidRPr="006448DF">
        <w:rPr>
          <w:color w:val="auto"/>
          <w:szCs w:val="22"/>
        </w:rPr>
        <w:t>,</w:t>
      </w:r>
      <w:r w:rsidR="0052471D" w:rsidRPr="006448DF">
        <w:rPr>
          <w:rFonts w:eastAsia="+mn-ea"/>
          <w:color w:val="auto"/>
          <w:szCs w:val="22"/>
        </w:rPr>
        <w:t xml:space="preserve"> </w:t>
      </w:r>
      <w:r w:rsidR="00F36B84" w:rsidRPr="006448DF">
        <w:rPr>
          <w:rFonts w:eastAsia="+mn-ea"/>
          <w:color w:val="auto"/>
          <w:szCs w:val="22"/>
        </w:rPr>
        <w:t xml:space="preserve">would </w:t>
      </w:r>
      <w:r w:rsidR="0052471D" w:rsidRPr="006448DF">
        <w:rPr>
          <w:color w:val="auto"/>
          <w:szCs w:val="22"/>
        </w:rPr>
        <w:t>require</w:t>
      </w:r>
      <w:r w:rsidR="00F36B84" w:rsidRPr="006448DF">
        <w:rPr>
          <w:rFonts w:eastAsia="+mn-ea"/>
          <w:color w:val="auto"/>
          <w:szCs w:val="22"/>
        </w:rPr>
        <w:t xml:space="preserve"> significant effor</w:t>
      </w:r>
      <w:r w:rsidR="0052471D" w:rsidRPr="006448DF">
        <w:rPr>
          <w:rFonts w:eastAsia="+mn-ea"/>
          <w:color w:val="auto"/>
          <w:szCs w:val="22"/>
        </w:rPr>
        <w:t>t</w:t>
      </w:r>
      <w:r w:rsidR="0052471D" w:rsidRPr="006448DF">
        <w:rPr>
          <w:color w:val="auto"/>
          <w:szCs w:val="22"/>
        </w:rPr>
        <w:t xml:space="preserve"> and</w:t>
      </w:r>
      <w:r w:rsidR="0052471D" w:rsidRPr="006448DF">
        <w:rPr>
          <w:rFonts w:eastAsia="+mn-ea"/>
          <w:color w:val="auto"/>
          <w:szCs w:val="22"/>
        </w:rPr>
        <w:t xml:space="preserve"> </w:t>
      </w:r>
      <w:r w:rsidR="00F36B84" w:rsidRPr="006448DF">
        <w:rPr>
          <w:rFonts w:eastAsia="+mn-ea"/>
          <w:color w:val="auto"/>
          <w:szCs w:val="22"/>
        </w:rPr>
        <w:t>investment</w:t>
      </w:r>
      <w:r w:rsidR="0052471D" w:rsidRPr="006448DF">
        <w:rPr>
          <w:color w:val="auto"/>
          <w:szCs w:val="22"/>
        </w:rPr>
        <w:t>.</w:t>
      </w:r>
      <w:r w:rsidR="009E0535" w:rsidRPr="006448DF">
        <w:rPr>
          <w:rFonts w:eastAsia="+mn-ea"/>
        </w:rPr>
        <w:t xml:space="preserve"> </w:t>
      </w:r>
    </w:p>
    <w:p w14:paraId="557C83D7" w14:textId="43F64DD6" w:rsidR="00F36B84" w:rsidRPr="006448DF" w:rsidRDefault="009E0535" w:rsidP="00ED11FC">
      <w:pPr>
        <w:rPr>
          <w:rFonts w:eastAsia="+mn-ea"/>
          <w:color w:val="auto"/>
          <w:szCs w:val="22"/>
        </w:rPr>
      </w:pPr>
      <w:r w:rsidRPr="006448DF">
        <w:rPr>
          <w:rFonts w:eastAsia="+mn-ea"/>
        </w:rPr>
        <w:t>As a result, the review recommends that the set of immediate reform</w:t>
      </w:r>
      <w:r w:rsidR="00B52536" w:rsidRPr="006448DF">
        <w:rPr>
          <w:rFonts w:eastAsia="+mn-ea"/>
        </w:rPr>
        <w:t xml:space="preserve"> stream</w:t>
      </w:r>
      <w:r w:rsidRPr="006448DF">
        <w:rPr>
          <w:rFonts w:eastAsia="+mn-ea"/>
        </w:rPr>
        <w:t>s are pursued first</w:t>
      </w:r>
      <w:r w:rsidR="00D54762">
        <w:rPr>
          <w:rFonts w:eastAsia="+mn-ea"/>
        </w:rPr>
        <w:t xml:space="preserve"> for three years before this option is considered.</w:t>
      </w:r>
      <w:r w:rsidR="00024BA3" w:rsidRPr="00024BA3">
        <w:t xml:space="preserve"> </w:t>
      </w:r>
      <w:r w:rsidR="00024BA3" w:rsidRPr="006070F9">
        <w:t xml:space="preserve">The decision to shift to this model </w:t>
      </w:r>
      <w:r w:rsidR="00024BA3">
        <w:t>should be c</w:t>
      </w:r>
      <w:r w:rsidR="00024BA3" w:rsidRPr="00177647">
        <w:t xml:space="preserve">onsidered if, following </w:t>
      </w:r>
      <w:r w:rsidR="00024BA3">
        <w:t xml:space="preserve">acceptance of the recommendations </w:t>
      </w:r>
      <w:r w:rsidR="00024BA3" w:rsidRPr="00177647">
        <w:t xml:space="preserve">and appropriate support for implementation, the reforms have not delivered sufficient improvements in PHN capability, capacity or stakeholder confidence. </w:t>
      </w:r>
    </w:p>
    <w:p w14:paraId="6BD03CE9" w14:textId="49109A03" w:rsidR="00A57B47" w:rsidRPr="006448DF" w:rsidRDefault="00A57B47" w:rsidP="001E39A0">
      <w:pPr>
        <w:spacing w:before="0" w:after="0"/>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054"/>
      </w:tblGrid>
      <w:tr w:rsidR="00A57B47" w:rsidRPr="00076428" w14:paraId="3A680AB1" w14:textId="77777777" w:rsidTr="00BE125D">
        <w:trPr>
          <w:trHeight w:val="365"/>
        </w:trPr>
        <w:tc>
          <w:tcPr>
            <w:tcW w:w="5000" w:type="pct"/>
            <w:shd w:val="clear" w:color="auto" w:fill="358189" w:themeFill="accent2"/>
            <w:vAlign w:val="center"/>
          </w:tcPr>
          <w:p w14:paraId="2EBD9774" w14:textId="4EEFB5AB" w:rsidR="00A57B47" w:rsidRPr="006448DF" w:rsidRDefault="00A57B47">
            <w:pPr>
              <w:spacing w:before="20" w:after="20"/>
              <w:rPr>
                <w:rFonts w:cs="Arial"/>
                <w:b/>
                <w:color w:val="FFFFFF" w:themeColor="background1"/>
                <w:sz w:val="21"/>
                <w:szCs w:val="21"/>
              </w:rPr>
            </w:pPr>
            <w:r w:rsidRPr="006448DF">
              <w:rPr>
                <w:rFonts w:cs="Arial"/>
                <w:b/>
                <w:color w:val="FFFFFF" w:themeColor="background1"/>
                <w:sz w:val="21"/>
                <w:szCs w:val="21"/>
              </w:rPr>
              <w:t>Longer-term option</w:t>
            </w:r>
            <w:r w:rsidR="008B6C88" w:rsidRPr="006448DF">
              <w:rPr>
                <w:rFonts w:cs="Arial"/>
                <w:b/>
                <w:color w:val="FFFFFF" w:themeColor="background1"/>
                <w:sz w:val="21"/>
                <w:szCs w:val="21"/>
              </w:rPr>
              <w:t>:</w:t>
            </w:r>
            <w:r w:rsidRPr="006448DF">
              <w:rPr>
                <w:rFonts w:cs="Arial"/>
                <w:b/>
                <w:color w:val="FFFFFF" w:themeColor="background1"/>
                <w:sz w:val="21"/>
                <w:szCs w:val="21"/>
              </w:rPr>
              <w:t xml:space="preserve"> Consider establishing a not-for-profit Commonwealth entity</w:t>
            </w:r>
          </w:p>
        </w:tc>
      </w:tr>
      <w:tr w:rsidR="00A57B47" w:rsidRPr="00076428" w14:paraId="28B6FD3D" w14:textId="77777777">
        <w:trPr>
          <w:trHeight w:val="543"/>
        </w:trPr>
        <w:tc>
          <w:tcPr>
            <w:tcW w:w="5000" w:type="pct"/>
          </w:tcPr>
          <w:p w14:paraId="446F0211" w14:textId="5955C8A9" w:rsidR="00A57B47" w:rsidRPr="006448DF" w:rsidRDefault="00A57B47">
            <w:pPr>
              <w:pStyle w:val="TableBullet"/>
              <w:numPr>
                <w:ilvl w:val="0"/>
                <w:numId w:val="0"/>
              </w:numPr>
              <w:rPr>
                <w:b/>
                <w:sz w:val="21"/>
                <w:szCs w:val="21"/>
              </w:rPr>
            </w:pPr>
            <w:r w:rsidRPr="006448DF">
              <w:rPr>
                <w:b/>
                <w:sz w:val="21"/>
                <w:szCs w:val="21"/>
              </w:rPr>
              <w:t>Establish a not-for-profit Commonwealth entity as a separate entity within the Commonwealth to provide direct oversight, greater consistency and structural funding model changes</w:t>
            </w:r>
            <w:r w:rsidR="00DE7510" w:rsidRPr="006448DF">
              <w:rPr>
                <w:b/>
                <w:sz w:val="21"/>
                <w:szCs w:val="21"/>
              </w:rPr>
              <w:t>:</w:t>
            </w:r>
          </w:p>
          <w:p w14:paraId="71AF10E0" w14:textId="49EB422F" w:rsidR="00A57B47" w:rsidRPr="006448DF" w:rsidRDefault="00A57B47">
            <w:pPr>
              <w:pStyle w:val="TableBullet"/>
              <w:numPr>
                <w:ilvl w:val="0"/>
                <w:numId w:val="15"/>
              </w:numPr>
              <w:ind w:left="279" w:hanging="196"/>
              <w:rPr>
                <w:sz w:val="21"/>
                <w:szCs w:val="21"/>
              </w:rPr>
            </w:pPr>
            <w:r w:rsidRPr="006448DF">
              <w:rPr>
                <w:sz w:val="21"/>
                <w:szCs w:val="21"/>
              </w:rPr>
              <w:t>The entity would primarily function as a holding entity for the PHN Divisions, providing support and enablement</w:t>
            </w:r>
          </w:p>
          <w:p w14:paraId="6427653F" w14:textId="35BDB591" w:rsidR="00A57B47" w:rsidRPr="006448DF" w:rsidRDefault="00A57B47">
            <w:pPr>
              <w:pStyle w:val="TableBullet"/>
              <w:numPr>
                <w:ilvl w:val="0"/>
                <w:numId w:val="15"/>
              </w:numPr>
              <w:ind w:left="279" w:hanging="196"/>
              <w:rPr>
                <w:sz w:val="21"/>
                <w:szCs w:val="21"/>
              </w:rPr>
            </w:pPr>
            <w:r w:rsidRPr="006448DF">
              <w:rPr>
                <w:sz w:val="21"/>
                <w:szCs w:val="21"/>
              </w:rPr>
              <w:t>The entity would comprise the ~30 local PHN Divisions, with each Division retaining current boundaries, local staff and local offices</w:t>
            </w:r>
          </w:p>
          <w:p w14:paraId="56641619" w14:textId="2E029FEB" w:rsidR="00A57B47" w:rsidRPr="006448DF" w:rsidRDefault="00A57B47">
            <w:pPr>
              <w:pStyle w:val="TableBullet"/>
              <w:numPr>
                <w:ilvl w:val="0"/>
                <w:numId w:val="15"/>
              </w:numPr>
              <w:ind w:left="279" w:hanging="196"/>
              <w:rPr>
                <w:sz w:val="21"/>
                <w:szCs w:val="21"/>
              </w:rPr>
            </w:pPr>
            <w:r w:rsidRPr="006448DF">
              <w:rPr>
                <w:sz w:val="21"/>
                <w:szCs w:val="21"/>
              </w:rPr>
              <w:t>Each PHN Division would retain a local CEO to retain and recognise these CEOs as senior leaders in the local health system and ensure high-calibre talent continues to be attracted to PHNs</w:t>
            </w:r>
          </w:p>
          <w:p w14:paraId="58B0B2B8" w14:textId="2FA37D17" w:rsidR="00A57B47" w:rsidRPr="006448DF" w:rsidRDefault="00A57B47">
            <w:pPr>
              <w:pStyle w:val="TableBullet"/>
              <w:numPr>
                <w:ilvl w:val="0"/>
                <w:numId w:val="15"/>
              </w:numPr>
              <w:ind w:left="279" w:hanging="196"/>
              <w:rPr>
                <w:sz w:val="21"/>
                <w:szCs w:val="21"/>
              </w:rPr>
            </w:pPr>
            <w:r w:rsidRPr="006448DF">
              <w:rPr>
                <w:sz w:val="21"/>
                <w:szCs w:val="21"/>
              </w:rPr>
              <w:t>The Coordinating Board</w:t>
            </w:r>
            <w:r w:rsidRPr="006448DF" w:rsidDel="000A7226">
              <w:rPr>
                <w:sz w:val="21"/>
                <w:szCs w:val="21"/>
              </w:rPr>
              <w:t xml:space="preserve"> </w:t>
            </w:r>
            <w:r w:rsidRPr="006448DF">
              <w:rPr>
                <w:sz w:val="21"/>
                <w:szCs w:val="21"/>
              </w:rPr>
              <w:t>would oversee the support and enablement function; it would not reduce current local decision rights of PHNs</w:t>
            </w:r>
          </w:p>
          <w:p w14:paraId="0DC51D6E" w14:textId="6C9BCA0E" w:rsidR="00A57B47" w:rsidRPr="006448DF" w:rsidRDefault="00A57B47">
            <w:pPr>
              <w:pStyle w:val="TableBullet"/>
              <w:numPr>
                <w:ilvl w:val="0"/>
                <w:numId w:val="15"/>
              </w:numPr>
              <w:ind w:left="279" w:hanging="196"/>
              <w:rPr>
                <w:sz w:val="21"/>
                <w:szCs w:val="21"/>
              </w:rPr>
            </w:pPr>
            <w:r w:rsidRPr="006448DF">
              <w:rPr>
                <w:sz w:val="21"/>
                <w:szCs w:val="21"/>
              </w:rPr>
              <w:t>PHN Boards and advisory groups would become Local Advisory Boards</w:t>
            </w:r>
          </w:p>
          <w:p w14:paraId="5E06BD9B" w14:textId="012E69C1" w:rsidR="00A57B47" w:rsidRPr="006448DF" w:rsidRDefault="00A57B47">
            <w:pPr>
              <w:pStyle w:val="TableBullet"/>
              <w:numPr>
                <w:ilvl w:val="0"/>
                <w:numId w:val="15"/>
              </w:numPr>
              <w:ind w:left="279" w:hanging="196"/>
              <w:rPr>
                <w:sz w:val="21"/>
                <w:szCs w:val="21"/>
              </w:rPr>
            </w:pPr>
            <w:r w:rsidRPr="006448DF">
              <w:rPr>
                <w:sz w:val="21"/>
                <w:szCs w:val="21"/>
              </w:rPr>
              <w:t>Staff would be employed by the not-for-profit entity Primary Health Networks Australia, potentially outside of the APS, offering similar employment terms to today</w:t>
            </w:r>
          </w:p>
          <w:p w14:paraId="43A4C970" w14:textId="3DF528E3" w:rsidR="00A57B47" w:rsidRPr="006448DF" w:rsidRDefault="00A57B47">
            <w:pPr>
              <w:pStyle w:val="TableBullet"/>
              <w:numPr>
                <w:ilvl w:val="0"/>
                <w:numId w:val="15"/>
              </w:numPr>
              <w:ind w:left="279" w:hanging="196"/>
              <w:rPr>
                <w:sz w:val="21"/>
                <w:szCs w:val="21"/>
              </w:rPr>
            </w:pPr>
            <w:r w:rsidRPr="006448DF">
              <w:rPr>
                <w:sz w:val="21"/>
                <w:szCs w:val="21"/>
              </w:rPr>
              <w:t xml:space="preserve">PHNs would be funded via direct appropriations from Government with </w:t>
            </w:r>
            <w:r w:rsidR="00DE7510" w:rsidRPr="006448DF">
              <w:rPr>
                <w:sz w:val="21"/>
                <w:szCs w:val="21"/>
              </w:rPr>
              <w:t>five</w:t>
            </w:r>
            <w:r w:rsidRPr="006448DF">
              <w:rPr>
                <w:sz w:val="21"/>
                <w:szCs w:val="21"/>
              </w:rPr>
              <w:t xml:space="preserve">-year core and </w:t>
            </w:r>
            <w:r w:rsidR="00DE7510" w:rsidRPr="006448DF">
              <w:rPr>
                <w:sz w:val="21"/>
                <w:szCs w:val="21"/>
              </w:rPr>
              <w:t>four</w:t>
            </w:r>
            <w:r w:rsidRPr="006448DF">
              <w:rPr>
                <w:sz w:val="21"/>
                <w:szCs w:val="21"/>
              </w:rPr>
              <w:t>-year program funding</w:t>
            </w:r>
          </w:p>
          <w:p w14:paraId="23D09745" w14:textId="301C3A2C" w:rsidR="00A57B47" w:rsidRPr="006448DF" w:rsidRDefault="00A57B47">
            <w:pPr>
              <w:pStyle w:val="TableBullet"/>
              <w:numPr>
                <w:ilvl w:val="0"/>
                <w:numId w:val="15"/>
              </w:numPr>
              <w:ind w:left="279" w:hanging="196"/>
              <w:rPr>
                <w:sz w:val="21"/>
                <w:szCs w:val="21"/>
              </w:rPr>
            </w:pPr>
            <w:r w:rsidRPr="006448DF">
              <w:rPr>
                <w:sz w:val="21"/>
                <w:szCs w:val="21"/>
              </w:rPr>
              <w:t>A shared services function would provide finance, HR, ICT, data and procurement, freeing up funds for investment in primary care</w:t>
            </w:r>
          </w:p>
          <w:p w14:paraId="1447F3C8" w14:textId="3FA17542" w:rsidR="00A57B47" w:rsidRPr="006448DF" w:rsidRDefault="00A57B47">
            <w:pPr>
              <w:pStyle w:val="TableBullet"/>
              <w:numPr>
                <w:ilvl w:val="0"/>
                <w:numId w:val="15"/>
              </w:numPr>
              <w:ind w:left="279" w:hanging="196"/>
              <w:rPr>
                <w:sz w:val="21"/>
                <w:szCs w:val="21"/>
              </w:rPr>
            </w:pPr>
            <w:r w:rsidRPr="006448DF">
              <w:rPr>
                <w:sz w:val="21"/>
                <w:szCs w:val="21"/>
              </w:rPr>
              <w:lastRenderedPageBreak/>
              <w:t>The PHN Branch in the Department would remain responsible for broader policy and program design</w:t>
            </w:r>
          </w:p>
          <w:p w14:paraId="275FFE99" w14:textId="0B225848" w:rsidR="00A57B47" w:rsidRPr="006448DF" w:rsidDel="000276D1" w:rsidRDefault="00A57B47">
            <w:pPr>
              <w:pStyle w:val="TableBullet"/>
              <w:numPr>
                <w:ilvl w:val="0"/>
                <w:numId w:val="15"/>
              </w:numPr>
              <w:ind w:left="279" w:hanging="196"/>
              <w:rPr>
                <w:sz w:val="21"/>
                <w:szCs w:val="21"/>
              </w:rPr>
            </w:pPr>
            <w:r w:rsidRPr="006448DF">
              <w:rPr>
                <w:sz w:val="21"/>
                <w:szCs w:val="21"/>
              </w:rPr>
              <w:t>The entity would not engage in external advocacy or stakeholder representation</w:t>
            </w:r>
          </w:p>
        </w:tc>
      </w:tr>
    </w:tbl>
    <w:p w14:paraId="44E20DEB" w14:textId="77777777" w:rsidR="004665BB" w:rsidRDefault="004665BB" w:rsidP="004665BB">
      <w:pPr>
        <w:spacing w:before="0" w:after="0"/>
        <w:rPr>
          <w:rStyle w:val="ExhibitChar"/>
          <w:rFonts w:eastAsiaTheme="minorEastAsia"/>
        </w:rPr>
      </w:pPr>
    </w:p>
    <w:p w14:paraId="1E62C349" w14:textId="515855D8" w:rsidR="00AB0DAD" w:rsidRPr="00F516BB" w:rsidRDefault="00A57B47" w:rsidP="004665BB">
      <w:pPr>
        <w:spacing w:before="0" w:after="0"/>
        <w:rPr>
          <w:rStyle w:val="ExhibitChar"/>
          <w:b/>
        </w:rPr>
      </w:pPr>
      <w:r w:rsidRPr="006448DF">
        <w:rPr>
          <w:rStyle w:val="ExhibitChar"/>
          <w:rFonts w:eastAsiaTheme="minorEastAsia"/>
        </w:rPr>
        <w:t xml:space="preserve">Exhibit </w:t>
      </w:r>
      <w:r w:rsidR="00B2271D" w:rsidRPr="006448DF">
        <w:rPr>
          <w:rStyle w:val="ExhibitChar"/>
          <w:rFonts w:eastAsiaTheme="minorEastAsia"/>
        </w:rPr>
        <w:t>1</w:t>
      </w:r>
      <w:r w:rsidR="00C31666" w:rsidRPr="006448DF">
        <w:rPr>
          <w:rStyle w:val="ExhibitChar"/>
          <w:rFonts w:eastAsiaTheme="minorEastAsia"/>
        </w:rPr>
        <w:t>5</w:t>
      </w:r>
      <w:r w:rsidRPr="006448DF">
        <w:rPr>
          <w:rStyle w:val="ExhibitChar"/>
        </w:rPr>
        <w:t>: A not-for-profit Commonwealth entity could have PHN operations structured as ~30 local Divisions, funded by direct appropriations, freeing up funds to invest in primary care</w:t>
      </w:r>
    </w:p>
    <w:p w14:paraId="7BDD32E9" w14:textId="6A5F6042" w:rsidR="00A57B47" w:rsidRPr="006448DF" w:rsidRDefault="00FE65D0" w:rsidP="003B1B91">
      <w:r>
        <w:rPr>
          <w:noProof/>
        </w:rPr>
        <w:drawing>
          <wp:inline distT="0" distB="0" distL="0" distR="0" wp14:anchorId="0421F361" wp14:editId="5186C16E">
            <wp:extent cx="5759450" cy="3760470"/>
            <wp:effectExtent l="0" t="0" r="6350" b="0"/>
            <wp:docPr id="513740329" name="Picture 6" descr="Diagram of what a proposed health and aged care structure could look like with advisory boards, executive teams, PHN divisions, a coordinating board, and support functions arranged in a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40329" name="Picture 6" descr="Diagram of what a proposed health and aged care structure could look like with advisory boards, executive teams, PHN divisions, a coordinating board, and support functions arranged in a hierarchy"/>
                    <pic:cNvPicPr/>
                  </pic:nvPicPr>
                  <pic:blipFill>
                    <a:blip r:embed="rId31">
                      <a:extLst>
                        <a:ext uri="{28A0092B-C50C-407E-A947-70E740481C1C}">
                          <a14:useLocalDpi xmlns:a14="http://schemas.microsoft.com/office/drawing/2010/main" val="0"/>
                        </a:ext>
                      </a:extLst>
                    </a:blip>
                    <a:stretch>
                      <a:fillRect/>
                    </a:stretch>
                  </pic:blipFill>
                  <pic:spPr>
                    <a:xfrm>
                      <a:off x="0" y="0"/>
                      <a:ext cx="5759450" cy="3760470"/>
                    </a:xfrm>
                    <a:prstGeom prst="rect">
                      <a:avLst/>
                    </a:prstGeom>
                  </pic:spPr>
                </pic:pic>
              </a:graphicData>
            </a:graphic>
          </wp:inline>
        </w:drawing>
      </w:r>
    </w:p>
    <w:p w14:paraId="6FF7002A" w14:textId="1685D695" w:rsidR="00AC2578" w:rsidRDefault="00A57B47" w:rsidP="00A57B47">
      <w:r w:rsidRPr="006448DF">
        <w:t xml:space="preserve">Longer term, bringing PHNs into a not-for-profit Commonwealth entity would support more consistent integration between the Commonwealth, states and territories at the local level. </w:t>
      </w:r>
      <w:r w:rsidRPr="006448DF">
        <w:rPr>
          <w:rFonts w:eastAsia="+mn-ea"/>
        </w:rPr>
        <w:t>Instead of 31 separate not-for-profits – each with their own back-office functions and individual contracts with the Commonwealth – each PHN would have its own local staff and advisory board and be a division of a not-for-profit Commonwealth entity</w:t>
      </w:r>
      <w:r w:rsidRPr="006448DF">
        <w:t xml:space="preserve">. </w:t>
      </w:r>
      <w:r w:rsidRPr="006448DF">
        <w:rPr>
          <w:rFonts w:eastAsia="+mn-ea"/>
        </w:rPr>
        <w:t>The entity structure would improve PHN delivery even further by removing the need for grants, raising confidence in PHNs by clarifying roles and expectations, unlocking further system benefits and efficiencies that could be directed towards more primary care programs, enabling stronger Commonwealth support of local healthcare delivery and offering potential for a collaborative governance model engaging a wide range of stakeholders</w:t>
      </w:r>
      <w:r w:rsidRPr="006448DF">
        <w:t xml:space="preserve">. </w:t>
      </w:r>
    </w:p>
    <w:p w14:paraId="2785C5AE" w14:textId="3826B8B4" w:rsidR="00AC2578" w:rsidRDefault="00AC2578">
      <w:pPr>
        <w:spacing w:before="0" w:after="0" w:line="240" w:lineRule="auto"/>
      </w:pPr>
      <w:r>
        <w:br w:type="page"/>
      </w:r>
    </w:p>
    <w:p w14:paraId="1037D661" w14:textId="3826B8B4" w:rsidR="00A57B47" w:rsidRPr="006448DF" w:rsidRDefault="00A57B47" w:rsidP="001E39A0">
      <w:pPr>
        <w:pStyle w:val="Heading2"/>
        <w:spacing w:line="276" w:lineRule="auto"/>
        <w:rPr>
          <w:lang w:val="en-AU"/>
        </w:rPr>
      </w:pPr>
      <w:bookmarkStart w:id="25" w:name="_Toc199782150"/>
      <w:r w:rsidRPr="006448DF">
        <w:rPr>
          <w:lang w:val="en-AU"/>
        </w:rPr>
        <w:lastRenderedPageBreak/>
        <w:t>Mental Health Flexible Funding Scheme</w:t>
      </w:r>
      <w:bookmarkEnd w:id="25"/>
    </w:p>
    <w:p w14:paraId="4927FDB6" w14:textId="7CA5D7BE" w:rsidR="00A57B47" w:rsidRPr="006448DF" w:rsidRDefault="00A57B47" w:rsidP="00DF16D9">
      <w:r w:rsidRPr="006448DF">
        <w:rPr>
          <w:rFonts w:eastAsia="+mn-ea"/>
        </w:rPr>
        <w:t xml:space="preserve">To address program-specific tensions in the MH FFS, the review proposes a set of reforms to streamline funding, align program logic with </w:t>
      </w:r>
      <w:r w:rsidR="009433AE" w:rsidRPr="006448DF">
        <w:rPr>
          <w:rFonts w:eastAsia="+mn-ea"/>
        </w:rPr>
        <w:t>‘</w:t>
      </w:r>
      <w:r w:rsidRPr="006448DF">
        <w:rPr>
          <w:rFonts w:eastAsia="+mn-ea"/>
        </w:rPr>
        <w:t>the 3Cs</w:t>
      </w:r>
      <w:r w:rsidR="009433AE" w:rsidRPr="006448DF">
        <w:rPr>
          <w:rFonts w:eastAsia="+mn-ea"/>
        </w:rPr>
        <w:t>’</w:t>
      </w:r>
      <w:r w:rsidRPr="006448DF">
        <w:rPr>
          <w:rFonts w:eastAsia="+mn-ea"/>
        </w:rPr>
        <w:t xml:space="preserve">, and enhance planning and reporting. These reforms would be implemented at the same time as the two </w:t>
      </w:r>
      <w:r w:rsidR="00CF2855" w:rsidRPr="006448DF">
        <w:t xml:space="preserve">streams of </w:t>
      </w:r>
      <w:r w:rsidRPr="006448DF">
        <w:rPr>
          <w:rFonts w:eastAsia="+mn-ea"/>
        </w:rPr>
        <w:t xml:space="preserve">immediate reforms to the PHN Business Model. </w:t>
      </w:r>
    </w:p>
    <w:tbl>
      <w:tblPr>
        <w:tblStyle w:val="TableGrid"/>
        <w:tblW w:w="5035"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9117"/>
      </w:tblGrid>
      <w:tr w:rsidR="00A57B47" w:rsidRPr="00076428" w14:paraId="26DB0D30" w14:textId="77777777" w:rsidTr="00945D7B">
        <w:trPr>
          <w:trHeight w:val="484"/>
        </w:trPr>
        <w:tc>
          <w:tcPr>
            <w:tcW w:w="5000" w:type="pct"/>
            <w:shd w:val="clear" w:color="auto" w:fill="005EB8"/>
            <w:vAlign w:val="center"/>
          </w:tcPr>
          <w:p w14:paraId="1E3D0AFB" w14:textId="2F44B9F9" w:rsidR="00A57B47" w:rsidRPr="006448DF" w:rsidRDefault="00C0259B">
            <w:pPr>
              <w:spacing w:before="20" w:after="20"/>
              <w:rPr>
                <w:rFonts w:cs="Arial"/>
                <w:color w:val="auto"/>
                <w:sz w:val="21"/>
                <w:szCs w:val="21"/>
              </w:rPr>
            </w:pPr>
            <w:r w:rsidRPr="006448DF">
              <w:rPr>
                <w:rFonts w:cs="Arial"/>
                <w:b/>
                <w:color w:val="FFFFFF" w:themeColor="background1"/>
                <w:sz w:val="21"/>
                <w:szCs w:val="21"/>
              </w:rPr>
              <w:t>MH FFS Reform Stream – Streamline MH FFS funding</w:t>
            </w:r>
            <w:r w:rsidRPr="006448DF">
              <w:rPr>
                <w:rFonts w:cs="Arial"/>
                <w:color w:val="FFFFFF" w:themeColor="background1"/>
                <w:sz w:val="21"/>
                <w:szCs w:val="21"/>
              </w:rPr>
              <w:t xml:space="preserve"> </w:t>
            </w:r>
          </w:p>
        </w:tc>
      </w:tr>
      <w:tr w:rsidR="00A57B47" w:rsidRPr="00076428" w14:paraId="4BF55B0C" w14:textId="77777777" w:rsidTr="00945D7B">
        <w:trPr>
          <w:trHeight w:val="358"/>
        </w:trPr>
        <w:tc>
          <w:tcPr>
            <w:tcW w:w="5000" w:type="pct"/>
          </w:tcPr>
          <w:p w14:paraId="4CDCC16D" w14:textId="1C4DED34" w:rsidR="00A57B47" w:rsidRPr="006448DF" w:rsidDel="000276D1" w:rsidRDefault="00A57B47" w:rsidP="001E39A0">
            <w:pPr>
              <w:spacing w:before="0" w:after="0"/>
              <w:rPr>
                <w:rFonts w:cs="Arial"/>
                <w:sz w:val="21"/>
                <w:szCs w:val="21"/>
              </w:rPr>
            </w:pPr>
            <w:r w:rsidRPr="006448DF">
              <w:rPr>
                <w:b/>
                <w:sz w:val="21"/>
                <w:szCs w:val="21"/>
              </w:rPr>
              <w:t>MH FFS 1:</w:t>
            </w:r>
            <w:r w:rsidRPr="006448DF">
              <w:rPr>
                <w:sz w:val="21"/>
                <w:szCs w:val="21"/>
              </w:rPr>
              <w:t xml:space="preserve"> </w:t>
            </w:r>
            <w:r w:rsidR="00A72BBF" w:rsidRPr="00A72BBF">
              <w:rPr>
                <w:sz w:val="21"/>
                <w:szCs w:val="21"/>
              </w:rPr>
              <w:t>Consolidate MH FFS funding into a single stream</w:t>
            </w:r>
          </w:p>
        </w:tc>
      </w:tr>
      <w:tr w:rsidR="00A57B47" w:rsidRPr="00076428" w14:paraId="4783E811" w14:textId="77777777" w:rsidTr="00945D7B">
        <w:trPr>
          <w:trHeight w:val="642"/>
        </w:trPr>
        <w:tc>
          <w:tcPr>
            <w:tcW w:w="5000" w:type="pct"/>
          </w:tcPr>
          <w:p w14:paraId="5D816170" w14:textId="28DDBFA3" w:rsidR="00A57B47" w:rsidRPr="006448DF" w:rsidRDefault="00A57B47" w:rsidP="001A3AC3">
            <w:pPr>
              <w:spacing w:before="20" w:after="0"/>
              <w:rPr>
                <w:sz w:val="21"/>
                <w:szCs w:val="21"/>
              </w:rPr>
            </w:pPr>
            <w:r w:rsidRPr="006448DF">
              <w:rPr>
                <w:b/>
                <w:sz w:val="21"/>
                <w:szCs w:val="21"/>
              </w:rPr>
              <w:t xml:space="preserve">MH FFS 2: </w:t>
            </w:r>
            <w:r w:rsidR="00930065" w:rsidRPr="001A3AC3">
              <w:rPr>
                <w:sz w:val="21"/>
                <w:szCs w:val="21"/>
              </w:rPr>
              <w:t xml:space="preserve">Empower PHNs to spend </w:t>
            </w:r>
            <w:r w:rsidR="008D3478" w:rsidRPr="001A3AC3">
              <w:rPr>
                <w:sz w:val="21"/>
                <w:szCs w:val="21"/>
              </w:rPr>
              <w:t xml:space="preserve">MH FFS </w:t>
            </w:r>
            <w:r w:rsidR="00930065" w:rsidRPr="001A3AC3">
              <w:rPr>
                <w:sz w:val="21"/>
                <w:szCs w:val="21"/>
              </w:rPr>
              <w:t xml:space="preserve">across all aspects of </w:t>
            </w:r>
            <w:r w:rsidR="007F40CA" w:rsidRPr="001A3AC3">
              <w:rPr>
                <w:sz w:val="21"/>
                <w:szCs w:val="21"/>
              </w:rPr>
              <w:t>commissioning,</w:t>
            </w:r>
            <w:r w:rsidR="00930065" w:rsidRPr="001A3AC3">
              <w:rPr>
                <w:sz w:val="21"/>
                <w:szCs w:val="21"/>
              </w:rPr>
              <w:t xml:space="preserve"> </w:t>
            </w:r>
            <w:r w:rsidR="007F40CA" w:rsidRPr="001A3AC3">
              <w:rPr>
                <w:sz w:val="21"/>
                <w:szCs w:val="21"/>
              </w:rPr>
              <w:t>c</w:t>
            </w:r>
            <w:r w:rsidR="00930065" w:rsidRPr="001A3AC3">
              <w:rPr>
                <w:sz w:val="21"/>
                <w:szCs w:val="21"/>
              </w:rPr>
              <w:t>oordination and capacity bu</w:t>
            </w:r>
            <w:r w:rsidR="007F40CA" w:rsidRPr="001A3AC3">
              <w:rPr>
                <w:sz w:val="21"/>
                <w:szCs w:val="21"/>
              </w:rPr>
              <w:t>ilding</w:t>
            </w:r>
            <w:r w:rsidR="007F40CA">
              <w:rPr>
                <w:b/>
                <w:sz w:val="21"/>
                <w:szCs w:val="21"/>
              </w:rPr>
              <w:t xml:space="preserve"> </w:t>
            </w:r>
          </w:p>
        </w:tc>
      </w:tr>
      <w:tr w:rsidR="00A57B47" w:rsidRPr="00076428" w14:paraId="5CE4D451" w14:textId="77777777" w:rsidTr="00945D7B">
        <w:trPr>
          <w:trHeight w:val="642"/>
        </w:trPr>
        <w:tc>
          <w:tcPr>
            <w:tcW w:w="5000" w:type="pct"/>
          </w:tcPr>
          <w:p w14:paraId="61ED04FA" w14:textId="72CEFB1F" w:rsidR="00A57B47" w:rsidRPr="006448DF" w:rsidRDefault="002E74ED" w:rsidP="001A3AC3">
            <w:pPr>
              <w:rPr>
                <w:sz w:val="21"/>
                <w:szCs w:val="21"/>
              </w:rPr>
            </w:pPr>
            <w:r>
              <w:br w:type="page"/>
            </w:r>
            <w:r w:rsidR="00A57B47" w:rsidRPr="006448DF">
              <w:rPr>
                <w:b/>
                <w:sz w:val="21"/>
                <w:szCs w:val="21"/>
              </w:rPr>
              <w:t>MH FFS 3:</w:t>
            </w:r>
            <w:r w:rsidR="00A57B47" w:rsidRPr="006448DF">
              <w:rPr>
                <w:sz w:val="21"/>
                <w:szCs w:val="21"/>
              </w:rPr>
              <w:t xml:space="preserve"> </w:t>
            </w:r>
            <w:r w:rsidR="000C0CF1" w:rsidRPr="000C0CF1">
              <w:rPr>
                <w:sz w:val="21"/>
                <w:szCs w:val="21"/>
              </w:rPr>
              <w:t xml:space="preserve">Require PHNs to </w:t>
            </w:r>
            <w:r w:rsidR="00620DEF">
              <w:rPr>
                <w:sz w:val="21"/>
                <w:szCs w:val="21"/>
              </w:rPr>
              <w:t>align</w:t>
            </w:r>
            <w:r w:rsidR="000C0CF1" w:rsidRPr="000C0CF1">
              <w:rPr>
                <w:sz w:val="21"/>
                <w:szCs w:val="21"/>
              </w:rPr>
              <w:t xml:space="preserve"> their annual activity planning against their local Needs Assessment, Joint Regional Planning with LHNs/States</w:t>
            </w:r>
            <w:r w:rsidR="00BF5D1C">
              <w:rPr>
                <w:sz w:val="21"/>
                <w:szCs w:val="21"/>
              </w:rPr>
              <w:t xml:space="preserve"> and annual best practice guidance shared by The Department. </w:t>
            </w:r>
            <w:r w:rsidR="00F3782C">
              <w:rPr>
                <w:sz w:val="21"/>
                <w:szCs w:val="21"/>
              </w:rPr>
              <w:t>Activity p</w:t>
            </w:r>
            <w:r w:rsidR="001A03C7">
              <w:rPr>
                <w:sz w:val="21"/>
                <w:szCs w:val="21"/>
              </w:rPr>
              <w:t xml:space="preserve">lans should include </w:t>
            </w:r>
            <w:r w:rsidR="00FF2FFC" w:rsidDel="006B1D11">
              <w:rPr>
                <w:sz w:val="21"/>
                <w:szCs w:val="21"/>
              </w:rPr>
              <w:t>clear</w:t>
            </w:r>
            <w:r w:rsidR="000C0CF1" w:rsidRPr="000C0CF1" w:rsidDel="006B1D11">
              <w:rPr>
                <w:sz w:val="21"/>
                <w:szCs w:val="21"/>
              </w:rPr>
              <w:t xml:space="preserve"> </w:t>
            </w:r>
            <w:r w:rsidR="006B1D11">
              <w:rPr>
                <w:sz w:val="21"/>
                <w:szCs w:val="21"/>
              </w:rPr>
              <w:t xml:space="preserve">intended quantitative output or activity to enable the policy team to show what will be delivered for the MH FFS investment. </w:t>
            </w:r>
          </w:p>
        </w:tc>
      </w:tr>
    </w:tbl>
    <w:p w14:paraId="51B21E09" w14:textId="77777777" w:rsidR="00A57B47" w:rsidRPr="006448DF" w:rsidRDefault="00A57B47" w:rsidP="001E39A0">
      <w:pPr>
        <w:spacing w:before="0" w:after="0"/>
        <w:rPr>
          <w:b/>
        </w:rPr>
      </w:pPr>
    </w:p>
    <w:p w14:paraId="39372DB7" w14:textId="46BF2AD2" w:rsidR="00A57B47" w:rsidRPr="006448DF" w:rsidRDefault="00A57B47" w:rsidP="00A57B47">
      <w:pPr>
        <w:rPr>
          <w:sz w:val="6"/>
          <w:szCs w:val="8"/>
        </w:rPr>
      </w:pPr>
      <w:r w:rsidRPr="006448DF">
        <w:t>Reforms to the MH FFS would give PHNs greater flexibility to tailor services, reduce fragmentation across the care continuum, and improve the clarity and responsiveness of funding allocations. PHNs would be able to tailor services to meet their local needs more closely, as funds would not be apportioned to separate streams. Services across the stepped care continuum would be more coordinated and less fragmented as PHNs improve commissioning and capa</w:t>
      </w:r>
      <w:r w:rsidR="00DF16D9" w:rsidRPr="006448DF">
        <w:t xml:space="preserve">city </w:t>
      </w:r>
      <w:r w:rsidRPr="006448DF">
        <w:t xml:space="preserve">building. </w:t>
      </w:r>
      <w:r w:rsidRPr="006448DF">
        <w:rPr>
          <w:b/>
        </w:rPr>
        <w:br w:type="page"/>
      </w:r>
    </w:p>
    <w:p w14:paraId="14E19548" w14:textId="77777777" w:rsidR="00A57B47" w:rsidRPr="006448DF" w:rsidRDefault="00A57B47" w:rsidP="00A57B47">
      <w:pPr>
        <w:pStyle w:val="Heading1"/>
      </w:pPr>
      <w:bookmarkStart w:id="26" w:name="_Toc199782151"/>
      <w:r w:rsidRPr="006448DF">
        <w:lastRenderedPageBreak/>
        <w:t>List of acronyms</w:t>
      </w:r>
      <w:bookmarkEnd w:id="26"/>
      <w:r w:rsidRPr="006448DF">
        <w:t xml:space="preserve"> </w:t>
      </w:r>
    </w:p>
    <w:p w14:paraId="2D28AFCB" w14:textId="77777777" w:rsidR="00A57B47" w:rsidRPr="006448DF" w:rsidRDefault="00A57B47" w:rsidP="00A57B47"/>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5"/>
        <w:gridCol w:w="7505"/>
      </w:tblGrid>
      <w:tr w:rsidR="00A57B47" w:rsidRPr="00372CF5" w14:paraId="3EB0A333" w14:textId="77777777">
        <w:tc>
          <w:tcPr>
            <w:tcW w:w="1555" w:type="dxa"/>
            <w:shd w:val="clear" w:color="auto" w:fill="3F4A75" w:themeFill="accent1"/>
          </w:tcPr>
          <w:p w14:paraId="0CECC0E9" w14:textId="77777777" w:rsidR="00A57B47" w:rsidRPr="006448DF" w:rsidRDefault="00A57B47">
            <w:pPr>
              <w:spacing w:before="0" w:after="0"/>
              <w:rPr>
                <w:color w:val="FFFFFF" w:themeColor="background1"/>
                <w:szCs w:val="22"/>
              </w:rPr>
            </w:pPr>
            <w:r w:rsidRPr="006448DF">
              <w:rPr>
                <w:color w:val="FFFFFF" w:themeColor="background1"/>
                <w:szCs w:val="22"/>
              </w:rPr>
              <w:t>3Cs</w:t>
            </w:r>
          </w:p>
        </w:tc>
        <w:tc>
          <w:tcPr>
            <w:tcW w:w="7505" w:type="dxa"/>
          </w:tcPr>
          <w:p w14:paraId="71B16D07" w14:textId="448EE6C9" w:rsidR="00A57B47" w:rsidRPr="006448DF" w:rsidRDefault="00A57B47">
            <w:pPr>
              <w:spacing w:before="0" w:after="0"/>
              <w:rPr>
                <w:szCs w:val="22"/>
              </w:rPr>
            </w:pPr>
            <w:r w:rsidRPr="006448DF">
              <w:rPr>
                <w:szCs w:val="22"/>
              </w:rPr>
              <w:t>Coordination, Commissioning, Capa</w:t>
            </w:r>
            <w:r w:rsidR="00FE24B6" w:rsidRPr="006448DF">
              <w:rPr>
                <w:szCs w:val="22"/>
              </w:rPr>
              <w:t>city</w:t>
            </w:r>
            <w:r w:rsidRPr="006448DF">
              <w:rPr>
                <w:szCs w:val="22"/>
              </w:rPr>
              <w:t xml:space="preserve"> Building</w:t>
            </w:r>
          </w:p>
        </w:tc>
      </w:tr>
      <w:tr w:rsidR="00A57B47" w:rsidRPr="00372CF5" w14:paraId="1FAE7354" w14:textId="77777777">
        <w:tc>
          <w:tcPr>
            <w:tcW w:w="1555" w:type="dxa"/>
            <w:shd w:val="clear" w:color="auto" w:fill="3F4A75" w:themeFill="accent1"/>
          </w:tcPr>
          <w:p w14:paraId="1971A689" w14:textId="77777777" w:rsidR="00A57B47" w:rsidRPr="006448DF" w:rsidRDefault="00A57B47">
            <w:pPr>
              <w:spacing w:before="0" w:after="0"/>
              <w:rPr>
                <w:color w:val="FFFFFF" w:themeColor="background1"/>
                <w:szCs w:val="22"/>
              </w:rPr>
            </w:pPr>
            <w:r w:rsidRPr="006448DF">
              <w:rPr>
                <w:color w:val="FFFFFF" w:themeColor="background1"/>
                <w:szCs w:val="22"/>
              </w:rPr>
              <w:t>ACCHO</w:t>
            </w:r>
          </w:p>
        </w:tc>
        <w:tc>
          <w:tcPr>
            <w:tcW w:w="7505" w:type="dxa"/>
          </w:tcPr>
          <w:p w14:paraId="380E826D" w14:textId="77777777" w:rsidR="00A57B47" w:rsidRPr="006448DF" w:rsidRDefault="00A57B47">
            <w:pPr>
              <w:spacing w:before="0" w:after="0"/>
              <w:rPr>
                <w:szCs w:val="22"/>
              </w:rPr>
            </w:pPr>
            <w:r w:rsidRPr="006448DF">
              <w:rPr>
                <w:szCs w:val="22"/>
              </w:rPr>
              <w:t>Aboriginal Community Controlled Health Organisation</w:t>
            </w:r>
          </w:p>
        </w:tc>
      </w:tr>
      <w:tr w:rsidR="00A57B47" w:rsidRPr="00372CF5" w14:paraId="119E258F" w14:textId="77777777">
        <w:tc>
          <w:tcPr>
            <w:tcW w:w="1555" w:type="dxa"/>
            <w:shd w:val="clear" w:color="auto" w:fill="3F4A75" w:themeFill="accent1"/>
          </w:tcPr>
          <w:p w14:paraId="028B2E4B" w14:textId="77777777" w:rsidR="00A57B47" w:rsidRPr="006448DF" w:rsidRDefault="00A57B47">
            <w:pPr>
              <w:spacing w:before="0" w:after="0"/>
              <w:rPr>
                <w:color w:val="FFFFFF" w:themeColor="background1"/>
                <w:szCs w:val="22"/>
              </w:rPr>
            </w:pPr>
            <w:r w:rsidRPr="006448DF">
              <w:rPr>
                <w:color w:val="FFFFFF" w:themeColor="background1"/>
                <w:szCs w:val="22"/>
              </w:rPr>
              <w:t>ACNC</w:t>
            </w:r>
          </w:p>
        </w:tc>
        <w:tc>
          <w:tcPr>
            <w:tcW w:w="7505" w:type="dxa"/>
          </w:tcPr>
          <w:p w14:paraId="307B9F61" w14:textId="77777777" w:rsidR="00A57B47" w:rsidRPr="006448DF" w:rsidRDefault="00A57B47">
            <w:pPr>
              <w:spacing w:before="0" w:after="0"/>
              <w:rPr>
                <w:szCs w:val="22"/>
              </w:rPr>
            </w:pPr>
            <w:r w:rsidRPr="006448DF">
              <w:rPr>
                <w:szCs w:val="22"/>
              </w:rPr>
              <w:t>Australian Charities and Not-for-profits Commission</w:t>
            </w:r>
          </w:p>
        </w:tc>
      </w:tr>
      <w:tr w:rsidR="00A57B47" w:rsidRPr="00372CF5" w14:paraId="35DA6515" w14:textId="77777777">
        <w:tc>
          <w:tcPr>
            <w:tcW w:w="1555" w:type="dxa"/>
            <w:shd w:val="clear" w:color="auto" w:fill="3F4A75" w:themeFill="accent1"/>
          </w:tcPr>
          <w:p w14:paraId="7B1396D8" w14:textId="77777777" w:rsidR="00A57B47" w:rsidRPr="006448DF" w:rsidRDefault="00A57B47">
            <w:pPr>
              <w:spacing w:before="0" w:after="0"/>
              <w:rPr>
                <w:color w:val="FFFFFF" w:themeColor="background1"/>
                <w:szCs w:val="22"/>
              </w:rPr>
            </w:pPr>
            <w:r w:rsidRPr="006448DF">
              <w:rPr>
                <w:color w:val="FFFFFF" w:themeColor="background1"/>
                <w:szCs w:val="22"/>
              </w:rPr>
              <w:t>ANAO</w:t>
            </w:r>
          </w:p>
        </w:tc>
        <w:tc>
          <w:tcPr>
            <w:tcW w:w="7505" w:type="dxa"/>
          </w:tcPr>
          <w:p w14:paraId="398EC9A4" w14:textId="77777777" w:rsidR="00A57B47" w:rsidRPr="006448DF" w:rsidRDefault="00A57B47">
            <w:pPr>
              <w:spacing w:before="0" w:after="0"/>
              <w:rPr>
                <w:szCs w:val="22"/>
              </w:rPr>
            </w:pPr>
            <w:r w:rsidRPr="006448DF">
              <w:rPr>
                <w:szCs w:val="22"/>
              </w:rPr>
              <w:t>Australian National Audit Office</w:t>
            </w:r>
          </w:p>
        </w:tc>
      </w:tr>
      <w:tr w:rsidR="00B740C8" w:rsidRPr="00372CF5" w14:paraId="384C86FA" w14:textId="77777777">
        <w:tc>
          <w:tcPr>
            <w:tcW w:w="1555" w:type="dxa"/>
            <w:shd w:val="clear" w:color="auto" w:fill="3F4A75" w:themeFill="accent1"/>
          </w:tcPr>
          <w:p w14:paraId="132153C2" w14:textId="6F8412B2" w:rsidR="00B740C8" w:rsidRPr="006448DF" w:rsidRDefault="00B740C8" w:rsidP="00B740C8">
            <w:pPr>
              <w:spacing w:before="0" w:after="0"/>
              <w:rPr>
                <w:color w:val="FFFFFF" w:themeColor="background1"/>
                <w:szCs w:val="22"/>
              </w:rPr>
            </w:pPr>
            <w:r w:rsidRPr="006448DF">
              <w:rPr>
                <w:color w:val="FFFFFF" w:themeColor="background1"/>
                <w:szCs w:val="22"/>
              </w:rPr>
              <w:t>COI</w:t>
            </w:r>
          </w:p>
        </w:tc>
        <w:tc>
          <w:tcPr>
            <w:tcW w:w="7505" w:type="dxa"/>
          </w:tcPr>
          <w:p w14:paraId="0096E7F0" w14:textId="38CE264F" w:rsidR="00B740C8" w:rsidRPr="006448DF" w:rsidRDefault="00B740C8" w:rsidP="00B740C8">
            <w:pPr>
              <w:spacing w:before="0" w:after="0"/>
              <w:rPr>
                <w:szCs w:val="22"/>
              </w:rPr>
            </w:pPr>
            <w:r w:rsidRPr="006448DF">
              <w:rPr>
                <w:szCs w:val="22"/>
              </w:rPr>
              <w:t>Conflict of Interest</w:t>
            </w:r>
          </w:p>
        </w:tc>
      </w:tr>
      <w:tr w:rsidR="00A57B47" w:rsidRPr="00372CF5" w14:paraId="13F64B9A" w14:textId="77777777">
        <w:tc>
          <w:tcPr>
            <w:tcW w:w="1555" w:type="dxa"/>
            <w:shd w:val="clear" w:color="auto" w:fill="3F4A75" w:themeFill="accent1"/>
          </w:tcPr>
          <w:p w14:paraId="16649B91" w14:textId="77777777" w:rsidR="00A57B47" w:rsidRPr="006448DF" w:rsidRDefault="00A57B47">
            <w:pPr>
              <w:spacing w:before="0" w:after="0"/>
              <w:rPr>
                <w:color w:val="FFFFFF" w:themeColor="background1"/>
                <w:szCs w:val="22"/>
              </w:rPr>
            </w:pPr>
            <w:r w:rsidRPr="006448DF">
              <w:rPr>
                <w:color w:val="FFFFFF" w:themeColor="background1"/>
                <w:szCs w:val="22"/>
              </w:rPr>
              <w:t>GOG</w:t>
            </w:r>
          </w:p>
        </w:tc>
        <w:tc>
          <w:tcPr>
            <w:tcW w:w="7505" w:type="dxa"/>
          </w:tcPr>
          <w:p w14:paraId="2CB0C159" w14:textId="77777777" w:rsidR="00A57B47" w:rsidRPr="006448DF" w:rsidRDefault="00A57B47">
            <w:pPr>
              <w:spacing w:before="0" w:after="0"/>
              <w:rPr>
                <w:szCs w:val="22"/>
              </w:rPr>
            </w:pPr>
            <w:r w:rsidRPr="006448DF">
              <w:rPr>
                <w:szCs w:val="22"/>
              </w:rPr>
              <w:t xml:space="preserve">Grant Opportunity Guideline </w:t>
            </w:r>
          </w:p>
        </w:tc>
      </w:tr>
      <w:tr w:rsidR="00A57B47" w:rsidRPr="00372CF5" w14:paraId="0C488934" w14:textId="77777777">
        <w:tc>
          <w:tcPr>
            <w:tcW w:w="1555" w:type="dxa"/>
            <w:shd w:val="clear" w:color="auto" w:fill="3F4A75" w:themeFill="accent1"/>
          </w:tcPr>
          <w:p w14:paraId="6ABF055F" w14:textId="77777777" w:rsidR="00A57B47" w:rsidRPr="006448DF" w:rsidRDefault="00A57B47">
            <w:pPr>
              <w:spacing w:before="0" w:after="0"/>
              <w:rPr>
                <w:color w:val="FFFFFF" w:themeColor="background1"/>
                <w:szCs w:val="22"/>
              </w:rPr>
            </w:pPr>
            <w:r w:rsidRPr="006448DF">
              <w:rPr>
                <w:color w:val="FFFFFF" w:themeColor="background1"/>
                <w:szCs w:val="22"/>
              </w:rPr>
              <w:t>GP</w:t>
            </w:r>
          </w:p>
        </w:tc>
        <w:tc>
          <w:tcPr>
            <w:tcW w:w="7505" w:type="dxa"/>
          </w:tcPr>
          <w:p w14:paraId="3D3DF0B8" w14:textId="77777777" w:rsidR="00A57B47" w:rsidRPr="006448DF" w:rsidRDefault="00A57B47">
            <w:pPr>
              <w:spacing w:before="0" w:after="0"/>
              <w:rPr>
                <w:szCs w:val="22"/>
              </w:rPr>
            </w:pPr>
            <w:r w:rsidRPr="006448DF">
              <w:rPr>
                <w:szCs w:val="22"/>
              </w:rPr>
              <w:t xml:space="preserve">General Practitioner </w:t>
            </w:r>
          </w:p>
        </w:tc>
      </w:tr>
      <w:tr w:rsidR="00A57B47" w:rsidRPr="00372CF5" w14:paraId="4CBC8E4C" w14:textId="77777777">
        <w:tc>
          <w:tcPr>
            <w:tcW w:w="1555" w:type="dxa"/>
            <w:shd w:val="clear" w:color="auto" w:fill="3F4A75" w:themeFill="accent1"/>
          </w:tcPr>
          <w:p w14:paraId="55C458DF" w14:textId="0984D2E5" w:rsidR="00A57B47" w:rsidRPr="006448DF" w:rsidRDefault="00B740C8">
            <w:pPr>
              <w:spacing w:before="0" w:after="0"/>
              <w:rPr>
                <w:color w:val="FFFFFF" w:themeColor="background1"/>
                <w:szCs w:val="22"/>
              </w:rPr>
            </w:pPr>
            <w:r>
              <w:rPr>
                <w:color w:val="FFFFFF" w:themeColor="background1"/>
                <w:szCs w:val="22"/>
              </w:rPr>
              <w:t>ICT</w:t>
            </w:r>
          </w:p>
        </w:tc>
        <w:tc>
          <w:tcPr>
            <w:tcW w:w="7505" w:type="dxa"/>
          </w:tcPr>
          <w:p w14:paraId="689239B4" w14:textId="479B4DC5" w:rsidR="00A57B47" w:rsidRPr="006448DF" w:rsidRDefault="00B740C8">
            <w:pPr>
              <w:spacing w:before="0" w:after="0"/>
              <w:rPr>
                <w:szCs w:val="22"/>
              </w:rPr>
            </w:pPr>
            <w:r>
              <w:rPr>
                <w:szCs w:val="22"/>
              </w:rPr>
              <w:t xml:space="preserve">Information and Communications Technology </w:t>
            </w:r>
          </w:p>
        </w:tc>
      </w:tr>
      <w:tr w:rsidR="00A57B47" w:rsidRPr="00372CF5" w14:paraId="38105D2D" w14:textId="77777777">
        <w:tc>
          <w:tcPr>
            <w:tcW w:w="1555" w:type="dxa"/>
            <w:shd w:val="clear" w:color="auto" w:fill="3F4A75" w:themeFill="accent1"/>
          </w:tcPr>
          <w:p w14:paraId="78ABE6A0" w14:textId="77777777" w:rsidR="00A57B47" w:rsidRPr="006448DF" w:rsidRDefault="00A57B47">
            <w:pPr>
              <w:spacing w:before="0" w:after="0"/>
              <w:rPr>
                <w:color w:val="FFFFFF" w:themeColor="background1"/>
                <w:szCs w:val="22"/>
              </w:rPr>
            </w:pPr>
            <w:r w:rsidRPr="006448DF">
              <w:rPr>
                <w:color w:val="FFFFFF" w:themeColor="background1"/>
                <w:szCs w:val="22"/>
              </w:rPr>
              <w:t>LHN</w:t>
            </w:r>
          </w:p>
        </w:tc>
        <w:tc>
          <w:tcPr>
            <w:tcW w:w="7505" w:type="dxa"/>
          </w:tcPr>
          <w:p w14:paraId="75BB9357" w14:textId="77777777" w:rsidR="00A57B47" w:rsidRPr="006448DF" w:rsidRDefault="00A57B47">
            <w:pPr>
              <w:spacing w:before="0" w:after="0"/>
              <w:rPr>
                <w:szCs w:val="22"/>
              </w:rPr>
            </w:pPr>
            <w:r w:rsidRPr="006448DF">
              <w:rPr>
                <w:szCs w:val="22"/>
              </w:rPr>
              <w:t>Local Health Network</w:t>
            </w:r>
          </w:p>
        </w:tc>
      </w:tr>
      <w:tr w:rsidR="00B740C8" w:rsidRPr="00372CF5" w14:paraId="1E74620B" w14:textId="77777777">
        <w:tc>
          <w:tcPr>
            <w:tcW w:w="1555" w:type="dxa"/>
            <w:shd w:val="clear" w:color="auto" w:fill="3F4A75" w:themeFill="accent1"/>
          </w:tcPr>
          <w:p w14:paraId="4860636C" w14:textId="714A6BDB" w:rsidR="00B740C8" w:rsidRPr="006448DF" w:rsidRDefault="00B740C8">
            <w:pPr>
              <w:spacing w:before="0" w:after="0"/>
              <w:rPr>
                <w:color w:val="FFFFFF" w:themeColor="background1"/>
                <w:szCs w:val="22"/>
              </w:rPr>
            </w:pPr>
            <w:r>
              <w:rPr>
                <w:color w:val="FFFFFF" w:themeColor="background1"/>
                <w:szCs w:val="22"/>
              </w:rPr>
              <w:t>MBS</w:t>
            </w:r>
          </w:p>
        </w:tc>
        <w:tc>
          <w:tcPr>
            <w:tcW w:w="7505" w:type="dxa"/>
          </w:tcPr>
          <w:p w14:paraId="34D30505" w14:textId="73B052B8" w:rsidR="00B740C8" w:rsidRPr="006448DF" w:rsidRDefault="00B740C8">
            <w:pPr>
              <w:spacing w:before="0" w:after="0"/>
              <w:rPr>
                <w:szCs w:val="22"/>
              </w:rPr>
            </w:pPr>
            <w:r>
              <w:rPr>
                <w:szCs w:val="22"/>
              </w:rPr>
              <w:t>Medicare Benefits Scheme</w:t>
            </w:r>
          </w:p>
        </w:tc>
      </w:tr>
      <w:tr w:rsidR="00B740C8" w:rsidRPr="00372CF5" w14:paraId="257C1CC8" w14:textId="77777777">
        <w:tc>
          <w:tcPr>
            <w:tcW w:w="1555" w:type="dxa"/>
            <w:shd w:val="clear" w:color="auto" w:fill="3F4A75" w:themeFill="accent1"/>
            <w:vAlign w:val="center"/>
          </w:tcPr>
          <w:p w14:paraId="3F25C2E4" w14:textId="658CEC78" w:rsidR="00B740C8" w:rsidRPr="006448DF" w:rsidRDefault="00B740C8">
            <w:pPr>
              <w:spacing w:before="0" w:after="0"/>
              <w:rPr>
                <w:color w:val="FFFFFF" w:themeColor="background1"/>
                <w:szCs w:val="22"/>
              </w:rPr>
            </w:pPr>
            <w:r>
              <w:rPr>
                <w:color w:val="FFFFFF" w:themeColor="background1"/>
                <w:szCs w:val="22"/>
              </w:rPr>
              <w:t>MDS</w:t>
            </w:r>
          </w:p>
        </w:tc>
        <w:tc>
          <w:tcPr>
            <w:tcW w:w="7505" w:type="dxa"/>
          </w:tcPr>
          <w:p w14:paraId="26B2693D" w14:textId="743405E2" w:rsidR="00B740C8" w:rsidRPr="006448DF" w:rsidRDefault="00B740C8">
            <w:pPr>
              <w:spacing w:before="0" w:after="0"/>
              <w:rPr>
                <w:szCs w:val="22"/>
              </w:rPr>
            </w:pPr>
            <w:r>
              <w:rPr>
                <w:szCs w:val="22"/>
              </w:rPr>
              <w:t>Minimum Data Set</w:t>
            </w:r>
          </w:p>
        </w:tc>
      </w:tr>
      <w:tr w:rsidR="00A57B47" w:rsidRPr="00372CF5" w14:paraId="036A7C6A" w14:textId="77777777">
        <w:tc>
          <w:tcPr>
            <w:tcW w:w="1555" w:type="dxa"/>
            <w:shd w:val="clear" w:color="auto" w:fill="3F4A75" w:themeFill="accent1"/>
            <w:vAlign w:val="center"/>
          </w:tcPr>
          <w:p w14:paraId="66D368D4" w14:textId="77777777" w:rsidR="00A57B47" w:rsidRPr="006448DF" w:rsidRDefault="00A57B47">
            <w:pPr>
              <w:spacing w:before="0" w:after="0"/>
              <w:rPr>
                <w:color w:val="FFFFFF" w:themeColor="background1"/>
                <w:szCs w:val="22"/>
              </w:rPr>
            </w:pPr>
            <w:r w:rsidRPr="006448DF">
              <w:rPr>
                <w:color w:val="FFFFFF" w:themeColor="background1"/>
                <w:szCs w:val="22"/>
              </w:rPr>
              <w:t>MH FFS</w:t>
            </w:r>
          </w:p>
        </w:tc>
        <w:tc>
          <w:tcPr>
            <w:tcW w:w="7505" w:type="dxa"/>
          </w:tcPr>
          <w:p w14:paraId="576972EB" w14:textId="77777777" w:rsidR="00A57B47" w:rsidRPr="006448DF" w:rsidRDefault="00A57B47">
            <w:pPr>
              <w:spacing w:before="0" w:after="0"/>
              <w:rPr>
                <w:szCs w:val="22"/>
              </w:rPr>
            </w:pPr>
            <w:r w:rsidRPr="006448DF">
              <w:rPr>
                <w:szCs w:val="22"/>
              </w:rPr>
              <w:t>Mental Health Flexible Funding Stream</w:t>
            </w:r>
          </w:p>
        </w:tc>
      </w:tr>
      <w:tr w:rsidR="00A57B47" w:rsidRPr="00372CF5" w14:paraId="61CAD6E6" w14:textId="77777777">
        <w:tc>
          <w:tcPr>
            <w:tcW w:w="1555" w:type="dxa"/>
            <w:shd w:val="clear" w:color="auto" w:fill="3F4A75" w:themeFill="accent1"/>
          </w:tcPr>
          <w:p w14:paraId="27339639" w14:textId="77777777" w:rsidR="00A57B47" w:rsidRPr="006448DF" w:rsidRDefault="00A57B47">
            <w:pPr>
              <w:spacing w:before="0" w:after="0"/>
              <w:rPr>
                <w:color w:val="FFFFFF" w:themeColor="background1"/>
                <w:szCs w:val="22"/>
              </w:rPr>
            </w:pPr>
            <w:r w:rsidRPr="006448DF">
              <w:rPr>
                <w:color w:val="FFFFFF" w:themeColor="background1"/>
                <w:szCs w:val="22"/>
              </w:rPr>
              <w:t>PHN</w:t>
            </w:r>
          </w:p>
        </w:tc>
        <w:tc>
          <w:tcPr>
            <w:tcW w:w="7505" w:type="dxa"/>
          </w:tcPr>
          <w:p w14:paraId="0116C687" w14:textId="77777777" w:rsidR="00A57B47" w:rsidRPr="006448DF" w:rsidRDefault="00A57B47">
            <w:pPr>
              <w:spacing w:before="0" w:after="0"/>
              <w:rPr>
                <w:szCs w:val="22"/>
              </w:rPr>
            </w:pPr>
            <w:r w:rsidRPr="006448DF">
              <w:rPr>
                <w:szCs w:val="22"/>
              </w:rPr>
              <w:t>Primary Health Network</w:t>
            </w:r>
          </w:p>
        </w:tc>
      </w:tr>
      <w:tr w:rsidR="00BA24E8" w:rsidRPr="00372CF5" w14:paraId="78CCEBBF" w14:textId="77777777">
        <w:tc>
          <w:tcPr>
            <w:tcW w:w="1555" w:type="dxa"/>
            <w:shd w:val="clear" w:color="auto" w:fill="3F4A75" w:themeFill="accent1"/>
          </w:tcPr>
          <w:p w14:paraId="1563095A" w14:textId="7B4D9CE2" w:rsidR="00BA24E8" w:rsidRPr="006448DF" w:rsidRDefault="000D2439">
            <w:pPr>
              <w:spacing w:before="0" w:after="0"/>
              <w:rPr>
                <w:color w:val="FFFFFF" w:themeColor="background1"/>
                <w:szCs w:val="22"/>
              </w:rPr>
            </w:pPr>
            <w:r>
              <w:rPr>
                <w:color w:val="FFFFFF" w:themeColor="background1"/>
                <w:szCs w:val="22"/>
              </w:rPr>
              <w:t>PMRF</w:t>
            </w:r>
          </w:p>
        </w:tc>
        <w:tc>
          <w:tcPr>
            <w:tcW w:w="7505" w:type="dxa"/>
          </w:tcPr>
          <w:p w14:paraId="136A8715" w14:textId="054D7ED3" w:rsidR="00BA24E8" w:rsidRPr="008317BD" w:rsidRDefault="008317BD" w:rsidP="008317BD">
            <w:pPr>
              <w:spacing w:before="0" w:after="0"/>
              <w:rPr>
                <w:szCs w:val="22"/>
              </w:rPr>
            </w:pPr>
            <w:r w:rsidRPr="008317BD">
              <w:rPr>
                <w:szCs w:val="22"/>
              </w:rPr>
              <w:t>Performance Management and Reporting Framework</w:t>
            </w:r>
          </w:p>
        </w:tc>
      </w:tr>
      <w:bookmarkEnd w:id="0"/>
    </w:tbl>
    <w:p w14:paraId="3DA315B0" w14:textId="77777777" w:rsidR="00A57B47" w:rsidRPr="006448DF" w:rsidRDefault="00A57B47" w:rsidP="00F56DB9">
      <w:pPr>
        <w:pStyle w:val="Body"/>
      </w:pPr>
    </w:p>
    <w:sectPr w:rsidR="00A57B47" w:rsidRPr="006448DF" w:rsidSect="00F364F0">
      <w:headerReference w:type="even" r:id="rId32"/>
      <w:headerReference w:type="default" r:id="rId33"/>
      <w:footerReference w:type="default" r:id="rId34"/>
      <w:headerReference w:type="first" r:id="rId35"/>
      <w:footerReference w:type="first" r:id="rId36"/>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616F2" w14:textId="77777777" w:rsidR="000466AF" w:rsidRDefault="000466AF" w:rsidP="006B56BB">
      <w:r>
        <w:separator/>
      </w:r>
    </w:p>
    <w:p w14:paraId="4D8B0041" w14:textId="77777777" w:rsidR="000466AF" w:rsidRDefault="000466AF"/>
  </w:endnote>
  <w:endnote w:type="continuationSeparator" w:id="0">
    <w:p w14:paraId="4E980689" w14:textId="77777777" w:rsidR="000466AF" w:rsidRDefault="000466AF" w:rsidP="006B56BB">
      <w:r>
        <w:continuationSeparator/>
      </w:r>
    </w:p>
    <w:p w14:paraId="393F93F5" w14:textId="77777777" w:rsidR="000466AF" w:rsidRDefault="000466AF"/>
  </w:endnote>
  <w:endnote w:type="continuationNotice" w:id="1">
    <w:p w14:paraId="631A7804" w14:textId="77777777" w:rsidR="000466AF" w:rsidRDefault="00046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nd">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E08D" w14:textId="26052931" w:rsidR="00A57B47" w:rsidRDefault="00B70C31">
    <w:pPr>
      <w:pStyle w:val="Footer"/>
      <w:framePr w:wrap="none" w:vAnchor="text" w:hAnchor="margin" w:xAlign="right" w:y="1"/>
      <w:rPr>
        <w:rStyle w:val="PageNumber"/>
      </w:rPr>
    </w:pPr>
    <w:r>
      <w:rPr>
        <w:noProof/>
      </w:rPr>
      <mc:AlternateContent>
        <mc:Choice Requires="wps">
          <w:drawing>
            <wp:anchor distT="0" distB="0" distL="0" distR="0" simplePos="0" relativeHeight="251666435" behindDoc="0" locked="0" layoutInCell="1" allowOverlap="1" wp14:anchorId="2F0A0987" wp14:editId="2F1C59E2">
              <wp:simplePos x="635" y="635"/>
              <wp:positionH relativeFrom="page">
                <wp:align>center</wp:align>
              </wp:positionH>
              <wp:positionV relativeFrom="page">
                <wp:align>bottom</wp:align>
              </wp:positionV>
              <wp:extent cx="609600" cy="485775"/>
              <wp:effectExtent l="0" t="0" r="0" b="0"/>
              <wp:wrapNone/>
              <wp:docPr id="74500322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B10F952" w14:textId="15398D18"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A0987" id="_x0000_t202" coordsize="21600,21600" o:spt="202" path="m,l,21600r21600,l21600,xe">
              <v:stroke joinstyle="miter"/>
              <v:path gradientshapeok="t" o:connecttype="rect"/>
            </v:shapetype>
            <v:shape id="Text Box 8" o:spid="_x0000_s1031" type="#_x0000_t202" alt="OFFICIAL" style="position:absolute;left:0;text-align:left;margin-left:0;margin-top:0;width:48pt;height:38.25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3B10F952" w14:textId="15398D18"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v:textbox>
              <w10:wrap anchorx="page" anchory="page"/>
            </v:shape>
          </w:pict>
        </mc:Fallback>
      </mc:AlternateContent>
    </w:r>
  </w:p>
  <w:sdt>
    <w:sdtPr>
      <w:rPr>
        <w:rStyle w:val="PageNumber"/>
      </w:rPr>
      <w:id w:val="-66961391"/>
      <w:docPartObj>
        <w:docPartGallery w:val="Page Numbers (Bottom of Page)"/>
        <w:docPartUnique/>
      </w:docPartObj>
    </w:sdtPr>
    <w:sdtEndPr>
      <w:rPr>
        <w:rStyle w:val="PageNumber"/>
      </w:rPr>
    </w:sdtEndPr>
    <w:sdtContent>
      <w:p w14:paraId="73FE3719" w14:textId="77777777" w:rsidR="00A57B47" w:rsidRDefault="00A57B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552B2E" w14:textId="77777777" w:rsidR="00A57B47" w:rsidRDefault="00A57B47" w:rsidP="00AF7AAC">
    <w:pPr>
      <w:pStyle w:val="Footer"/>
      <w:ind w:right="360"/>
    </w:pPr>
  </w:p>
  <w:p w14:paraId="04667921" w14:textId="77777777" w:rsidR="00A57B47" w:rsidRDefault="00A57B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0019B" w14:textId="347F8D1F" w:rsidR="00A57B47" w:rsidRPr="00C22FE8" w:rsidRDefault="00B70C31" w:rsidP="00C13392">
    <w:pPr>
      <w:pStyle w:val="Footer"/>
      <w:jc w:val="left"/>
      <w:rPr>
        <w:sz w:val="16"/>
        <w:szCs w:val="20"/>
      </w:rPr>
    </w:pPr>
    <w:r>
      <w:rPr>
        <w:noProof/>
        <w:sz w:val="16"/>
        <w:szCs w:val="20"/>
      </w:rPr>
      <mc:AlternateContent>
        <mc:Choice Requires="wps">
          <w:drawing>
            <wp:anchor distT="0" distB="0" distL="0" distR="0" simplePos="0" relativeHeight="251667459" behindDoc="0" locked="0" layoutInCell="1" allowOverlap="1" wp14:anchorId="1C55BF85" wp14:editId="20A12251">
              <wp:simplePos x="635" y="635"/>
              <wp:positionH relativeFrom="page">
                <wp:align>center</wp:align>
              </wp:positionH>
              <wp:positionV relativeFrom="page">
                <wp:align>bottom</wp:align>
              </wp:positionV>
              <wp:extent cx="609600" cy="485775"/>
              <wp:effectExtent l="0" t="0" r="0" b="0"/>
              <wp:wrapNone/>
              <wp:docPr id="206609810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79F282F" w14:textId="4FD55B74"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5BF85" id="_x0000_t202" coordsize="21600,21600" o:spt="202" path="m,l,21600r21600,l21600,xe">
              <v:stroke joinstyle="miter"/>
              <v:path gradientshapeok="t" o:connecttype="rect"/>
            </v:shapetype>
            <v:shape id="Text Box 9" o:spid="_x0000_s1032" type="#_x0000_t202" alt="OFFICIAL" style="position:absolute;margin-left:0;margin-top:0;width:48pt;height:38.25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34wkCwwCAAAcBAAA&#10;DgAAAAAAAAAAAAAAAAAuAgAAZHJzL2Uyb0RvYy54bWxQSwECLQAUAAYACAAAACEAgBRPAtoAAAAD&#10;AQAADwAAAAAAAAAAAAAAAABmBAAAZHJzL2Rvd25yZXYueG1sUEsFBgAAAAAEAAQA8wAAAG0FAAAA&#10;AA==&#10;" filled="f" stroked="f">
              <v:textbox style="mso-fit-shape-to-text:t" inset="0,0,0,15pt">
                <w:txbxContent>
                  <w:p w14:paraId="179F282F" w14:textId="4FD55B74"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v:textbox>
              <w10:wrap anchorx="page" anchory="page"/>
            </v:shape>
          </w:pict>
        </mc:Fallback>
      </mc:AlternateContent>
    </w:r>
    <w:r w:rsidR="00A57B47" w:rsidRPr="00BF0229">
      <w:rPr>
        <w:sz w:val="16"/>
        <w:szCs w:val="20"/>
      </w:rPr>
      <w:t>Department of Health and Aged Care – PHN Business Model Review and Mental Health Flexible Funding Stream Review Findings and Options Paper</w:t>
    </w:r>
    <w:r w:rsidR="00A57B47">
      <w:rPr>
        <w:sz w:val="16"/>
        <w:szCs w:val="20"/>
      </w:rPr>
      <w:tab/>
    </w:r>
    <w:sdt>
      <w:sdtPr>
        <w:id w:val="-547376038"/>
        <w:docPartObj>
          <w:docPartGallery w:val="Page Numbers (Bottom of Page)"/>
          <w:docPartUnique/>
        </w:docPartObj>
      </w:sdtPr>
      <w:sdtEndPr>
        <w:rPr>
          <w:noProof/>
        </w:rPr>
      </w:sdtEndPr>
      <w:sdtContent>
        <w:r w:rsidR="00A57B47" w:rsidRPr="006448DF">
          <w:fldChar w:fldCharType="begin"/>
        </w:r>
        <w:r w:rsidR="00A57B47">
          <w:instrText xml:space="preserve"> PAGE   \* MERGEFORMAT </w:instrText>
        </w:r>
        <w:r w:rsidR="00A57B47" w:rsidRPr="006448DF">
          <w:fldChar w:fldCharType="separate"/>
        </w:r>
        <w:r w:rsidR="00A57B47">
          <w:t>2</w:t>
        </w:r>
        <w:r w:rsidR="00A57B47" w:rsidRPr="006448DF">
          <w:fldChar w:fldCharType="end"/>
        </w:r>
      </w:sdtContent>
    </w:sdt>
  </w:p>
  <w:p w14:paraId="12AA4A1D" w14:textId="77777777" w:rsidR="00A57B47" w:rsidRDefault="00A57B47" w:rsidP="00B539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A139" w14:textId="1A4EE1A5" w:rsidR="00A57B47" w:rsidRDefault="00B70C31" w:rsidP="00BF0229">
    <w:pPr>
      <w:pStyle w:val="Footer"/>
      <w:jc w:val="left"/>
      <w:rPr>
        <w:sz w:val="16"/>
        <w:szCs w:val="20"/>
      </w:rPr>
    </w:pPr>
    <w:r>
      <w:rPr>
        <w:noProof/>
        <w:sz w:val="16"/>
        <w:szCs w:val="20"/>
      </w:rPr>
      <mc:AlternateContent>
        <mc:Choice Requires="wps">
          <w:drawing>
            <wp:anchor distT="0" distB="0" distL="0" distR="0" simplePos="0" relativeHeight="251665411" behindDoc="0" locked="0" layoutInCell="1" allowOverlap="1" wp14:anchorId="5F333249" wp14:editId="4A1D05F7">
              <wp:simplePos x="635" y="635"/>
              <wp:positionH relativeFrom="page">
                <wp:align>center</wp:align>
              </wp:positionH>
              <wp:positionV relativeFrom="page">
                <wp:align>bottom</wp:align>
              </wp:positionV>
              <wp:extent cx="609600" cy="485775"/>
              <wp:effectExtent l="0" t="0" r="0" b="0"/>
              <wp:wrapNone/>
              <wp:docPr id="135000027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E3F896A" w14:textId="2EF714CB" w:rsidR="00B70C31" w:rsidRPr="00B70C31" w:rsidRDefault="00B70C31" w:rsidP="00B70C31">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333249" id="_x0000_t202" coordsize="21600,21600" o:spt="202" path="m,l,21600r21600,l21600,xe">
              <v:stroke joinstyle="miter"/>
              <v:path gradientshapeok="t" o:connecttype="rect"/>
            </v:shapetype>
            <v:shape id="Text Box 7" o:spid="_x0000_s1034" type="#_x0000_t202" alt="OFFICIAL" style="position:absolute;margin-left:0;margin-top:0;width:48pt;height:38.25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AF8kFwDgIAABwE&#10;AAAOAAAAAAAAAAAAAAAAAC4CAABkcnMvZTJvRG9jLnhtbFBLAQItABQABgAIAAAAIQCAFE8C2gAA&#10;AAMBAAAPAAAAAAAAAAAAAAAAAGgEAABkcnMvZG93bnJldi54bWxQSwUGAAAAAAQABADzAAAAbwUA&#10;AAAA&#10;" filled="f" stroked="f">
              <v:textbox style="mso-fit-shape-to-text:t" inset="0,0,0,15pt">
                <w:txbxContent>
                  <w:p w14:paraId="3E3F896A" w14:textId="2EF714CB" w:rsidR="00B70C31" w:rsidRPr="00B70C31" w:rsidRDefault="00B70C31" w:rsidP="00B70C31">
                    <w:pPr>
                      <w:spacing w:after="0"/>
                      <w:rPr>
                        <w:rFonts w:ascii="Aptos" w:eastAsia="Aptos" w:hAnsi="Aptos" w:cs="Aptos"/>
                        <w:noProof/>
                        <w:color w:val="FF0000"/>
                        <w:sz w:val="24"/>
                      </w:rPr>
                    </w:pPr>
                  </w:p>
                </w:txbxContent>
              </v:textbox>
              <w10:wrap anchorx="page" anchory="page"/>
            </v:shape>
          </w:pict>
        </mc:Fallback>
      </mc:AlternateContent>
    </w:r>
  </w:p>
  <w:p w14:paraId="02EFE18D" w14:textId="77777777" w:rsidR="00A57B47" w:rsidRPr="0018500F" w:rsidRDefault="00A57B47" w:rsidP="00BF022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01AC" w14:textId="29F29F22" w:rsidR="00BB68F4" w:rsidRDefault="00BB68F4">
    <w:pPr>
      <w:pStyle w:val="Footer"/>
    </w:pPr>
  </w:p>
  <w:p w14:paraId="25DE5F8A" w14:textId="35D41D97" w:rsidR="00B53987" w:rsidRPr="001C23E9" w:rsidRDefault="00B53987" w:rsidP="004B0A83">
    <w:pPr>
      <w:pStyle w:val="Footer"/>
      <w:ind w:right="360"/>
      <w:jc w:val="lef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D838" w14:textId="6D4B0F42" w:rsidR="001F5A24" w:rsidRDefault="001F5A24">
    <w:pPr>
      <w:pStyle w:val="Footer"/>
    </w:pPr>
  </w:p>
  <w:p w14:paraId="024959F6" w14:textId="386A1FB4" w:rsidR="00E025C6" w:rsidRPr="00A53A31" w:rsidRDefault="00E025C6" w:rsidP="00A53A31">
    <w:pPr>
      <w:pStyle w:val="Footer"/>
      <w:jc w:val="cen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9449E" w14:textId="77777777" w:rsidR="000466AF" w:rsidRDefault="000466AF" w:rsidP="006B56BB">
      <w:r>
        <w:separator/>
      </w:r>
    </w:p>
    <w:p w14:paraId="518A08CF" w14:textId="77777777" w:rsidR="000466AF" w:rsidRDefault="000466AF"/>
  </w:footnote>
  <w:footnote w:type="continuationSeparator" w:id="0">
    <w:p w14:paraId="657FB85A" w14:textId="77777777" w:rsidR="000466AF" w:rsidRDefault="000466AF" w:rsidP="006B56BB">
      <w:r>
        <w:continuationSeparator/>
      </w:r>
    </w:p>
    <w:p w14:paraId="6FD03354" w14:textId="77777777" w:rsidR="000466AF" w:rsidRDefault="000466AF"/>
  </w:footnote>
  <w:footnote w:type="continuationNotice" w:id="1">
    <w:p w14:paraId="4975B498" w14:textId="77777777" w:rsidR="000466AF" w:rsidRDefault="000466AF"/>
  </w:footnote>
  <w:footnote w:id="2">
    <w:p w14:paraId="4FBF0FFF" w14:textId="5A8239EB" w:rsidR="005157AF" w:rsidRDefault="005157AF" w:rsidP="008C6B0F">
      <w:pPr>
        <w:pStyle w:val="FootnoteText"/>
      </w:pPr>
      <w:r>
        <w:rPr>
          <w:rStyle w:val="FootnoteReference"/>
        </w:rPr>
        <w:footnoteRef/>
      </w:r>
      <w:r>
        <w:t xml:space="preserve"> </w:t>
      </w:r>
      <w:r w:rsidR="00D82BC9">
        <w:rPr>
          <w:lang w:val="en-US"/>
        </w:rPr>
        <w:t>Two</w:t>
      </w:r>
      <w:r w:rsidRPr="00693F44">
        <w:rPr>
          <w:lang w:val="en-US"/>
        </w:rPr>
        <w:t xml:space="preserve"> surveys were deployed – one for PHN CEOs &amp; Chairs, and one for other stakeholders. Some questions were common across these surveys, while others were tailored to each group's </w:t>
      </w:r>
      <w:r w:rsidR="007A572E">
        <w:rPr>
          <w:lang w:val="en-US"/>
        </w:rPr>
        <w:t>context</w:t>
      </w:r>
    </w:p>
  </w:footnote>
  <w:footnote w:id="3">
    <w:p w14:paraId="562ACF00" w14:textId="77777777" w:rsidR="005157AF" w:rsidRDefault="005157AF" w:rsidP="008C6B0F">
      <w:pPr>
        <w:pStyle w:val="FootnoteText"/>
      </w:pPr>
      <w:r>
        <w:rPr>
          <w:rStyle w:val="FootnoteReference"/>
        </w:rPr>
        <w:footnoteRef/>
      </w:r>
      <w:r>
        <w:t xml:space="preserve"> </w:t>
      </w:r>
      <w:r w:rsidRPr="00693F44">
        <w:rPr>
          <w:lang w:val="en-US"/>
        </w:rPr>
        <w:t>Other includes consumers, public hospitals, education providers and other Departments</w:t>
      </w:r>
    </w:p>
  </w:footnote>
  <w:footnote w:id="4">
    <w:p w14:paraId="750DF15D" w14:textId="77777777" w:rsidR="00A57B47" w:rsidRPr="00AF7AAC" w:rsidRDefault="00A57B47" w:rsidP="00A57B47">
      <w:pPr>
        <w:pStyle w:val="FootnoteText"/>
        <w:rPr>
          <w:sz w:val="16"/>
          <w:szCs w:val="16"/>
        </w:rPr>
      </w:pPr>
      <w:r w:rsidRPr="00AF7AAC">
        <w:rPr>
          <w:rStyle w:val="FootnoteReference"/>
          <w:sz w:val="16"/>
          <w:szCs w:val="16"/>
        </w:rPr>
        <w:footnoteRef/>
      </w:r>
      <w:r w:rsidRPr="00AF7AAC">
        <w:rPr>
          <w:sz w:val="16"/>
          <w:szCs w:val="16"/>
        </w:rPr>
        <w:t xml:space="preserve"> </w:t>
      </w:r>
      <w:r>
        <w:rPr>
          <w:sz w:val="16"/>
          <w:szCs w:val="16"/>
        </w:rPr>
        <w:t>31 PHNs in total include</w:t>
      </w:r>
      <w:r w:rsidRPr="00AF7AAC">
        <w:rPr>
          <w:sz w:val="16"/>
          <w:szCs w:val="16"/>
        </w:rPr>
        <w:t xml:space="preserve"> 10 in New South Wales, 6 in Victoria, 7 in Queensland, 2 in South Australia, 1 in Tasmania, 1 in the Northern Territory and 1 in the ACT. There are 29 </w:t>
      </w:r>
      <w:r>
        <w:rPr>
          <w:sz w:val="16"/>
          <w:szCs w:val="16"/>
        </w:rPr>
        <w:t>PHN Operator</w:t>
      </w:r>
      <w:r w:rsidRPr="00AF7AAC">
        <w:rPr>
          <w:sz w:val="16"/>
          <w:szCs w:val="16"/>
        </w:rPr>
        <w:t xml:space="preserve">s, as </w:t>
      </w:r>
      <w:r>
        <w:rPr>
          <w:sz w:val="16"/>
          <w:szCs w:val="16"/>
        </w:rPr>
        <w:t>1</w:t>
      </w:r>
      <w:r w:rsidRPr="00AF7AAC">
        <w:rPr>
          <w:sz w:val="16"/>
          <w:szCs w:val="16"/>
        </w:rPr>
        <w:t xml:space="preserve"> operator administers </w:t>
      </w:r>
      <w:r>
        <w:rPr>
          <w:sz w:val="16"/>
          <w:szCs w:val="16"/>
        </w:rPr>
        <w:t xml:space="preserve">all </w:t>
      </w:r>
      <w:r w:rsidRPr="00AF7AAC">
        <w:rPr>
          <w:sz w:val="16"/>
          <w:szCs w:val="16"/>
        </w:rPr>
        <w:t>3 PHNs in Western Australia</w:t>
      </w:r>
      <w:r>
        <w:rPr>
          <w:sz w:val="16"/>
          <w:szCs w:val="16"/>
        </w:rPr>
        <w:t>.</w:t>
      </w:r>
    </w:p>
  </w:footnote>
  <w:footnote w:id="5">
    <w:p w14:paraId="32F1617D" w14:textId="77777777" w:rsidR="00A57B47" w:rsidRDefault="00A57B47" w:rsidP="00A57B47">
      <w:pPr>
        <w:pStyle w:val="FootnoteText"/>
      </w:pPr>
      <w:r>
        <w:rPr>
          <w:rStyle w:val="FootnoteReference"/>
        </w:rPr>
        <w:footnoteRef/>
      </w:r>
      <w:r>
        <w:t xml:space="preserve"> </w:t>
      </w:r>
      <w:r w:rsidRPr="000117E9">
        <w:rPr>
          <w:sz w:val="16"/>
          <w:szCs w:val="16"/>
        </w:rPr>
        <w:t xml:space="preserve">Primary Health Networks (PHN) Strategy 2023–24, Department of Health, Disability and Ageing, </w:t>
      </w:r>
      <w:hyperlink r:id="rId1" w:history="1">
        <w:r w:rsidRPr="000117E9">
          <w:rPr>
            <w:sz w:val="16"/>
            <w:szCs w:val="16"/>
          </w:rPr>
          <w:t>https://www.health.gov.au/resources/publications/primary-health-networks-phn-strategy-2023-24?language=en</w:t>
        </w:r>
      </w:hyperlink>
      <w:r w:rsidRPr="000117E9">
        <w:rPr>
          <w:sz w:val="16"/>
          <w:szCs w:val="16"/>
        </w:rPr>
        <w:t xml:space="preserve">  </w:t>
      </w:r>
    </w:p>
  </w:footnote>
  <w:footnote w:id="6">
    <w:p w14:paraId="3987AAA5" w14:textId="77777777" w:rsidR="00A57B47" w:rsidRPr="00AF7AAC" w:rsidRDefault="00A57B47" w:rsidP="00A57B47">
      <w:pPr>
        <w:pStyle w:val="FootnoteText"/>
        <w:rPr>
          <w:sz w:val="16"/>
          <w:szCs w:val="16"/>
        </w:rPr>
      </w:pPr>
      <w:r w:rsidRPr="00AF7AAC">
        <w:rPr>
          <w:rStyle w:val="FootnoteReference"/>
          <w:sz w:val="16"/>
          <w:szCs w:val="16"/>
        </w:rPr>
        <w:footnoteRef/>
      </w:r>
      <w:r w:rsidRPr="00AF7AAC">
        <w:rPr>
          <w:sz w:val="16"/>
          <w:szCs w:val="16"/>
        </w:rPr>
        <w:t xml:space="preserve"> </w:t>
      </w:r>
      <w:r>
        <w:rPr>
          <w:sz w:val="16"/>
          <w:szCs w:val="16"/>
        </w:rPr>
        <w:t>31 PHNs in total include</w:t>
      </w:r>
      <w:r w:rsidRPr="00AF7AAC">
        <w:rPr>
          <w:sz w:val="16"/>
          <w:szCs w:val="16"/>
        </w:rPr>
        <w:t xml:space="preserve"> 10 in New South Wales, 6 in Victoria, 7 in Queensland, 2 in South Australia, 1 in Tasmania, 1 in the Northern Territory and 1 in the ACT. There are 29 </w:t>
      </w:r>
      <w:r>
        <w:rPr>
          <w:sz w:val="16"/>
          <w:szCs w:val="16"/>
        </w:rPr>
        <w:t>PHN Operator</w:t>
      </w:r>
      <w:r w:rsidRPr="00AF7AAC">
        <w:rPr>
          <w:sz w:val="16"/>
          <w:szCs w:val="16"/>
        </w:rPr>
        <w:t xml:space="preserve">s, as </w:t>
      </w:r>
      <w:r>
        <w:rPr>
          <w:sz w:val="16"/>
          <w:szCs w:val="16"/>
        </w:rPr>
        <w:t>1</w:t>
      </w:r>
      <w:r w:rsidRPr="00AF7AAC">
        <w:rPr>
          <w:sz w:val="16"/>
          <w:szCs w:val="16"/>
        </w:rPr>
        <w:t xml:space="preserve"> operator administers </w:t>
      </w:r>
      <w:r>
        <w:rPr>
          <w:sz w:val="16"/>
          <w:szCs w:val="16"/>
        </w:rPr>
        <w:t xml:space="preserve">all </w:t>
      </w:r>
      <w:r w:rsidRPr="00AF7AAC">
        <w:rPr>
          <w:sz w:val="16"/>
          <w:szCs w:val="16"/>
        </w:rPr>
        <w:t>3 PHNs in Western Australia</w:t>
      </w:r>
      <w:r>
        <w:rPr>
          <w:sz w:val="16"/>
          <w:szCs w:val="16"/>
        </w:rPr>
        <w:t>.</w:t>
      </w:r>
    </w:p>
  </w:footnote>
  <w:footnote w:id="7">
    <w:p w14:paraId="24AA5A21" w14:textId="77777777" w:rsidR="00A57B47" w:rsidRDefault="00A57B47" w:rsidP="00A57B47">
      <w:pPr>
        <w:pStyle w:val="FootnoteText"/>
      </w:pPr>
      <w:r>
        <w:rPr>
          <w:rStyle w:val="FootnoteReference"/>
        </w:rPr>
        <w:footnoteRef/>
      </w:r>
      <w:r>
        <w:t xml:space="preserve"> </w:t>
      </w:r>
      <w:r w:rsidRPr="000117E9">
        <w:rPr>
          <w:sz w:val="16"/>
          <w:szCs w:val="16"/>
        </w:rPr>
        <w:t xml:space="preserve">Primary Health Networks (PHN) Strategy 2023–24, Department of Health, Disability and Ageing, </w:t>
      </w:r>
      <w:hyperlink r:id="rId2" w:history="1">
        <w:r w:rsidRPr="000117E9">
          <w:rPr>
            <w:sz w:val="16"/>
            <w:szCs w:val="16"/>
          </w:rPr>
          <w:t>https://www.health.gov.au/resources/publications/primary-health-networks-phn-strategy-2023-24?language=en</w:t>
        </w:r>
      </w:hyperlink>
      <w:r w:rsidRPr="000117E9">
        <w:rPr>
          <w:sz w:val="16"/>
          <w:szCs w:val="16"/>
        </w:rPr>
        <w:t xml:space="preserve">  </w:t>
      </w:r>
    </w:p>
  </w:footnote>
  <w:footnote w:id="8">
    <w:p w14:paraId="4C482D34" w14:textId="69E0AE69" w:rsidR="007D0F94" w:rsidRPr="00ED11FC" w:rsidRDefault="007D0F94">
      <w:pPr>
        <w:pStyle w:val="FootnoteText"/>
        <w:rPr>
          <w:sz w:val="16"/>
          <w:szCs w:val="16"/>
        </w:rPr>
      </w:pPr>
      <w:r w:rsidRPr="00ED11FC">
        <w:rPr>
          <w:rStyle w:val="FootnoteReference"/>
          <w:sz w:val="16"/>
          <w:szCs w:val="16"/>
        </w:rPr>
        <w:footnoteRef/>
      </w:r>
      <w:r w:rsidRPr="00ED11FC">
        <w:rPr>
          <w:sz w:val="16"/>
          <w:szCs w:val="16"/>
        </w:rPr>
        <w:t xml:space="preserve"> </w:t>
      </w:r>
      <w:r w:rsidR="008D55BF" w:rsidRPr="00ED11FC">
        <w:rPr>
          <w:sz w:val="16"/>
          <w:szCs w:val="16"/>
        </w:rPr>
        <w:t>McGrathNicol</w:t>
      </w:r>
      <w:r w:rsidR="000B36CC" w:rsidRPr="00ED11FC">
        <w:rPr>
          <w:sz w:val="16"/>
          <w:szCs w:val="16"/>
        </w:rPr>
        <w:t xml:space="preserve"> Primary Health Networks Thematic Analysis 2024</w:t>
      </w:r>
    </w:p>
  </w:footnote>
  <w:footnote w:id="9">
    <w:p w14:paraId="1AC3DBBE" w14:textId="63F7E5F2" w:rsidR="00883DF8" w:rsidRDefault="00883DF8">
      <w:pPr>
        <w:pStyle w:val="FootnoteText"/>
      </w:pPr>
      <w:r>
        <w:rPr>
          <w:rStyle w:val="FootnoteReference"/>
        </w:rPr>
        <w:footnoteRef/>
      </w:r>
      <w:r>
        <w:t xml:space="preserve"> </w:t>
      </w:r>
      <w:r w:rsidR="00600CC6" w:rsidRPr="001A3AC3">
        <w:rPr>
          <w:lang w:val="en-US"/>
        </w:rPr>
        <w:t>PHN Cooperative</w:t>
      </w:r>
      <w:r w:rsidR="00600CC6" w:rsidRPr="00600CC6">
        <w:rPr>
          <w:b/>
          <w:bCs/>
          <w:lang w:val="en-US"/>
        </w:rPr>
        <w:t xml:space="preserve"> </w:t>
      </w:r>
      <w:r w:rsidR="00600CC6">
        <w:rPr>
          <w:lang w:val="en-US"/>
        </w:rPr>
        <w:t>is an u</w:t>
      </w:r>
      <w:r w:rsidR="00600CC6" w:rsidRPr="00600CC6">
        <w:rPr>
          <w:lang w:val="en-US"/>
        </w:rPr>
        <w:t>nincorporated JV</w:t>
      </w:r>
      <w:r w:rsidR="00600CC6">
        <w:rPr>
          <w:lang w:val="en-US"/>
        </w:rPr>
        <w:t>,</w:t>
      </w:r>
      <w:r w:rsidR="00600CC6" w:rsidRPr="00600CC6">
        <w:rPr>
          <w:lang w:val="en-US"/>
        </w:rPr>
        <w:t xml:space="preserve"> to oversee the shared projects funded to benefit all PHNs e.g., Primary Health Insights</w:t>
      </w:r>
      <w:r w:rsidR="00600CC6">
        <w:rPr>
          <w:lang w:val="en-US"/>
        </w:rPr>
        <w:t xml:space="preserve">. </w:t>
      </w:r>
      <w:r w:rsidR="00600CC6" w:rsidRPr="00600CC6">
        <w:rPr>
          <w:lang w:val="en-US"/>
        </w:rPr>
        <w:t>Members are elected by their state alliances to the PHN JVC Committee, holding positions on both Executive Committees to ensure alignment</w:t>
      </w:r>
      <w:r w:rsidR="00600CC6">
        <w:rPr>
          <w:lang w:val="en-US"/>
        </w:rPr>
        <w:t>.</w:t>
      </w:r>
      <w:r w:rsidR="00600CC6" w:rsidRPr="00600CC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5444" w14:textId="1D297EC1" w:rsidR="00A57B47" w:rsidRDefault="00B70C31">
    <w:pPr>
      <w:pStyle w:val="Header"/>
    </w:pPr>
    <w:r>
      <w:rPr>
        <w:noProof/>
      </w:rPr>
      <mc:AlternateContent>
        <mc:Choice Requires="wps">
          <w:drawing>
            <wp:anchor distT="0" distB="0" distL="0" distR="0" simplePos="0" relativeHeight="251660291" behindDoc="0" locked="0" layoutInCell="1" allowOverlap="1" wp14:anchorId="5BF07193" wp14:editId="2910B6D4">
              <wp:simplePos x="635" y="635"/>
              <wp:positionH relativeFrom="page">
                <wp:align>center</wp:align>
              </wp:positionH>
              <wp:positionV relativeFrom="page">
                <wp:align>top</wp:align>
              </wp:positionV>
              <wp:extent cx="609600" cy="485775"/>
              <wp:effectExtent l="0" t="0" r="0" b="9525"/>
              <wp:wrapNone/>
              <wp:docPr id="16320338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0644FFE" w14:textId="335D9B04"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07193" id="_x0000_t202" coordsize="21600,21600" o:spt="202" path="m,l,21600r21600,l21600,xe">
              <v:stroke joinstyle="miter"/>
              <v:path gradientshapeok="t" o:connecttype="rect"/>
            </v:shapetype>
            <v:shape id="Text Box 2" o:spid="_x0000_s1027" type="#_x0000_t202" alt="OFFICIAL" style="position:absolute;margin-left:0;margin-top:0;width:48pt;height:38.2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0644FFE" w14:textId="335D9B04"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v:textbox>
              <w10:wrap anchorx="page" anchory="page"/>
            </v:shape>
          </w:pict>
        </mc:Fallback>
      </mc:AlternateContent>
    </w:r>
    <w:r w:rsidR="00A57B47" w:rsidRPr="002658BB">
      <w:rPr>
        <w:noProof/>
      </w:rPr>
      <mc:AlternateContent>
        <mc:Choice Requires="wps">
          <w:drawing>
            <wp:anchor distT="0" distB="0" distL="114300" distR="114300" simplePos="0" relativeHeight="251658242" behindDoc="1" locked="0" layoutInCell="0" allowOverlap="1" wp14:anchorId="79C651AD" wp14:editId="4838661D">
              <wp:simplePos x="0" y="0"/>
              <wp:positionH relativeFrom="margin">
                <wp:align>center</wp:align>
              </wp:positionH>
              <wp:positionV relativeFrom="margin">
                <wp:align>center</wp:align>
              </wp:positionV>
              <wp:extent cx="6014720" cy="2105025"/>
              <wp:effectExtent l="0" t="0" r="0" b="0"/>
              <wp:wrapNone/>
              <wp:docPr id="1835043506" name="PowerPlusWaterMarkObject10641068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14720" cy="2105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5063D4" w14:textId="77777777" w:rsidR="00A57B47" w:rsidRPr="00B9685D" w:rsidRDefault="00A57B47" w:rsidP="0017045E">
                          <w:pPr>
                            <w:jc w:val="center"/>
                            <w:rPr>
                              <w:rFonts w:cs="Arial"/>
                              <w:sz w:val="72"/>
                              <w:szCs w:val="72"/>
                            </w:rPr>
                          </w:pPr>
                          <w:r w:rsidRPr="00B9685D">
                            <w:rPr>
                              <w:rFonts w:cs="Arial"/>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9C651AD" id="PowerPlusWaterMarkObject106410685" o:spid="_x0000_s1028" type="#_x0000_t202" style="position:absolute;margin-left:0;margin-top:0;width:473.6pt;height:165.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" o:allowincell="f" filled="f" stroked="f">
              <v:stroke joinstyle="round"/>
              <o:lock v:ext="edit" rotation="t" aspectratio="t" verticies="t" adjusthandles="t" grouping="t" shapetype="t"/>
              <v:textbox>
                <w:txbxContent>
                  <w:p w14:paraId="365063D4" w14:textId="77777777" w:rsidR="00A57B47" w:rsidRPr="00B9685D" w:rsidRDefault="00A57B47" w:rsidP="0017045E">
                    <w:pPr>
                      <w:jc w:val="center"/>
                      <w:rPr>
                        <w:rFonts w:cs="Arial"/>
                        <w:sz w:val="72"/>
                        <w:szCs w:val="72"/>
                      </w:rPr>
                    </w:pPr>
                    <w:r w:rsidRPr="00B9685D">
                      <w:rPr>
                        <w:rFonts w:cs="Arial"/>
                        <w:sz w:val="72"/>
                        <w:szCs w:val="72"/>
                      </w:rPr>
                      <w:t>DRAFT</w:t>
                    </w:r>
                  </w:p>
                </w:txbxContent>
              </v:textbox>
              <w10:wrap anchorx="margin" anchory="margin"/>
            </v:shape>
          </w:pict>
        </mc:Fallback>
      </mc:AlternateContent>
    </w:r>
  </w:p>
  <w:p w14:paraId="75589A61" w14:textId="77777777" w:rsidR="00A57B47" w:rsidRDefault="00A57B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9680" w14:textId="784E2F7C" w:rsidR="00A57B47" w:rsidRPr="001C23E9" w:rsidRDefault="00B70C31" w:rsidP="00AF7AAC">
    <w:pPr>
      <w:pStyle w:val="Footer"/>
      <w:jc w:val="center"/>
    </w:pPr>
    <w:r>
      <w:rPr>
        <w:noProof/>
      </w:rPr>
      <mc:AlternateContent>
        <mc:Choice Requires="wps">
          <w:drawing>
            <wp:anchor distT="0" distB="0" distL="0" distR="0" simplePos="0" relativeHeight="251661315" behindDoc="0" locked="0" layoutInCell="1" allowOverlap="1" wp14:anchorId="6A80B00A" wp14:editId="7A744CB7">
              <wp:simplePos x="635" y="635"/>
              <wp:positionH relativeFrom="page">
                <wp:align>center</wp:align>
              </wp:positionH>
              <wp:positionV relativeFrom="page">
                <wp:align>top</wp:align>
              </wp:positionV>
              <wp:extent cx="609600" cy="485775"/>
              <wp:effectExtent l="0" t="0" r="0" b="9525"/>
              <wp:wrapNone/>
              <wp:docPr id="57786322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8536FE" w14:textId="2F9B78C1"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80B00A" id="_x0000_t202" coordsize="21600,21600" o:spt="202" path="m,l,21600r21600,l21600,xe">
              <v:stroke joinstyle="miter"/>
              <v:path gradientshapeok="t" o:connecttype="rect"/>
            </v:shapetype>
            <v:shape id="Text Box 3" o:spid="_x0000_s1029" type="#_x0000_t202" alt="OFFICIAL" style="position:absolute;left:0;text-align:left;margin-left:0;margin-top:0;width:48pt;height:38.25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368536FE" w14:textId="2F9B78C1"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v:textbox>
              <w10:wrap anchorx="page" anchory="page"/>
            </v:shape>
          </w:pict>
        </mc:Fallback>
      </mc:AlternateContent>
    </w:r>
    <w:r w:rsidR="00A57B47" w:rsidRPr="002658BB">
      <w:rPr>
        <w:noProof/>
      </w:rPr>
      <mc:AlternateContent>
        <mc:Choice Requires="wps">
          <w:drawing>
            <wp:anchor distT="0" distB="0" distL="114300" distR="114300" simplePos="0" relativeHeight="251658241" behindDoc="1" locked="0" layoutInCell="0" allowOverlap="1" wp14:anchorId="25D1D2D9" wp14:editId="7D92A645">
              <wp:simplePos x="0" y="0"/>
              <wp:positionH relativeFrom="margin">
                <wp:align>center</wp:align>
              </wp:positionH>
              <wp:positionV relativeFrom="margin">
                <wp:align>center</wp:align>
              </wp:positionV>
              <wp:extent cx="6014720" cy="2105025"/>
              <wp:effectExtent l="0" t="0" r="0" b="0"/>
              <wp:wrapNone/>
              <wp:docPr id="1334699822" name="PowerPlusWaterMarkObject10641068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14720" cy="2105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B24193" w14:textId="77777777" w:rsidR="00A57B47" w:rsidRPr="006448DF" w:rsidRDefault="00A57B47" w:rsidP="0017045E">
                          <w:pPr>
                            <w:jc w:val="center"/>
                            <w:rPr>
                              <w:rFonts w:cs="Arial"/>
                              <w:sz w:val="72"/>
                              <w:szCs w:val="72"/>
                            </w:rPr>
                          </w:pPr>
                          <w:r w:rsidRPr="006448DF">
                            <w:rPr>
                              <w:rFonts w:cs="Arial"/>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D1D2D9" id="PowerPlusWaterMarkObject106410686" o:spid="_x0000_s1030" type="#_x0000_t202" style="position:absolute;left:0;text-align:left;margin-left:0;margin-top:0;width:473.6pt;height:165.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" o:allowincell="f" filled="f" stroked="f">
              <v:stroke joinstyle="round"/>
              <o:lock v:ext="edit" rotation="t" aspectratio="t" verticies="t" adjusthandles="t" grouping="t" shapetype="t"/>
              <v:textbox>
                <w:txbxContent>
                  <w:p w14:paraId="36B24193" w14:textId="77777777" w:rsidR="00A57B47" w:rsidRPr="006448DF" w:rsidRDefault="00A57B47" w:rsidP="0017045E">
                    <w:pPr>
                      <w:jc w:val="center"/>
                      <w:rPr>
                        <w:rFonts w:cs="Arial"/>
                        <w:sz w:val="72"/>
                        <w:szCs w:val="72"/>
                      </w:rPr>
                    </w:pPr>
                    <w:r w:rsidRPr="006448DF">
                      <w:rPr>
                        <w:rFonts w:cs="Arial"/>
                        <w:sz w:val="72"/>
                        <w:szCs w:val="72"/>
                      </w:rPr>
                      <w:t>DRAFT</w:t>
                    </w:r>
                  </w:p>
                </w:txbxContent>
              </v:textbox>
              <w10:wrap anchorx="margin" anchory="margin"/>
            </v:shape>
          </w:pict>
        </mc:Fallback>
      </mc:AlternateContent>
    </w:r>
    <w:r w:rsidR="00A57B47" w:rsidRPr="001C23E9">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A97A" w14:textId="5F2D0FB9" w:rsidR="00A57B47" w:rsidRDefault="00B70C31">
    <w:pPr>
      <w:pStyle w:val="Header"/>
    </w:pPr>
    <w:r>
      <w:rPr>
        <w:noProof/>
      </w:rPr>
      <mc:AlternateContent>
        <mc:Choice Requires="wps">
          <w:drawing>
            <wp:anchor distT="0" distB="0" distL="0" distR="0" simplePos="0" relativeHeight="251659267" behindDoc="0" locked="0" layoutInCell="1" allowOverlap="1" wp14:anchorId="5EC1128F" wp14:editId="395FE35C">
              <wp:simplePos x="635" y="635"/>
              <wp:positionH relativeFrom="page">
                <wp:align>center</wp:align>
              </wp:positionH>
              <wp:positionV relativeFrom="page">
                <wp:align>top</wp:align>
              </wp:positionV>
              <wp:extent cx="609600" cy="485775"/>
              <wp:effectExtent l="0" t="0" r="0" b="9525"/>
              <wp:wrapNone/>
              <wp:docPr id="10730135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F580BB3" w14:textId="50DFA62E" w:rsidR="00B70C31" w:rsidRPr="00B70C31" w:rsidRDefault="00B70C31" w:rsidP="00B70C31">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1128F" id="_x0000_t202" coordsize="21600,21600" o:spt="202" path="m,l,21600r21600,l21600,xe">
              <v:stroke joinstyle="miter"/>
              <v:path gradientshapeok="t" o:connecttype="rect"/>
            </v:shapetype>
            <v:shape id="_x0000_s1033" type="#_x0000_t202" alt="OFFICIAL" style="position:absolute;margin-left:0;margin-top:0;width:48pt;height:38.25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L5DQ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kbH7HVQnGsrDsO/g5Lqh0hsR8Fl4WjB1S6LF&#10;Jzq0ga7kcLY4q8H/+Js/5hPvFOWsI8GU3JKiOTPfLO0jaisZ09t8Fsnwo3s3GvbQ3gPJcEovwslk&#10;xjw0o6k9tK8k51UsRCFhJZUrOY7mPQ7Kpecg1WqVkkhGTuDGbp2M0JGuyOVL/yq8OxOOtKlHGNUk&#10;ine8D7nxZnCrAxL7aSmR2oHIM+MkwbTW83OJGv/1P2VdHvXyJwA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9oqi+Q0CAAAcBAAA&#10;DgAAAAAAAAAAAAAAAAAuAgAAZHJzL2Uyb0RvYy54bWxQSwECLQAUAAYACAAAACEAY+eTvdkAAAAD&#10;AQAADwAAAAAAAAAAAAAAAABnBAAAZHJzL2Rvd25yZXYueG1sUEsFBgAAAAAEAAQA8wAAAG0FAAAA&#10;AA==&#10;" filled="f" stroked="f">
              <v:textbox style="mso-fit-shape-to-text:t" inset="0,15pt,0,0">
                <w:txbxContent>
                  <w:p w14:paraId="2F580BB3" w14:textId="50DFA62E" w:rsidR="00B70C31" w:rsidRPr="00B70C31" w:rsidRDefault="00B70C31" w:rsidP="00B70C31">
                    <w:pPr>
                      <w:spacing w:after="0"/>
                      <w:rPr>
                        <w:rFonts w:ascii="Aptos" w:eastAsia="Aptos" w:hAnsi="Aptos" w:cs="Aptos"/>
                        <w:noProof/>
                        <w:color w:val="FF0000"/>
                        <w:sz w:val="24"/>
                      </w:rPr>
                    </w:pPr>
                  </w:p>
                </w:txbxContent>
              </v:textbox>
              <w10:wrap anchorx="page" anchory="page"/>
            </v:shape>
          </w:pict>
        </mc:Fallback>
      </mc:AlternateContent>
    </w:r>
    <w:r w:rsidR="00D20499">
      <w:rPr>
        <w:noProof/>
      </w:rPr>
      <w:drawing>
        <wp:anchor distT="0" distB="0" distL="114300" distR="114300" simplePos="0" relativeHeight="251658243" behindDoc="0" locked="0" layoutInCell="1" allowOverlap="1" wp14:anchorId="5B0328C0" wp14:editId="3FB7FAD3">
          <wp:simplePos x="0" y="0"/>
          <wp:positionH relativeFrom="column">
            <wp:posOffset>-1016000</wp:posOffset>
          </wp:positionH>
          <wp:positionV relativeFrom="paragraph">
            <wp:posOffset>-592546</wp:posOffset>
          </wp:positionV>
          <wp:extent cx="7774712" cy="10798084"/>
          <wp:effectExtent l="0" t="0" r="0" b="0"/>
          <wp:wrapNone/>
          <wp:docPr id="110630103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01033"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4712" cy="1079808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E4270" w14:textId="0B9C8886" w:rsidR="00DB23C2" w:rsidRDefault="00B70C31">
    <w:pPr>
      <w:pStyle w:val="Header"/>
    </w:pPr>
    <w:r>
      <w:rPr>
        <w:noProof/>
      </w:rPr>
      <mc:AlternateContent>
        <mc:Choice Requires="wps">
          <w:drawing>
            <wp:anchor distT="0" distB="0" distL="0" distR="0" simplePos="0" relativeHeight="251663363" behindDoc="0" locked="0" layoutInCell="1" allowOverlap="1" wp14:anchorId="0F2E3FAB" wp14:editId="445C03D2">
              <wp:simplePos x="635" y="635"/>
              <wp:positionH relativeFrom="page">
                <wp:align>center</wp:align>
              </wp:positionH>
              <wp:positionV relativeFrom="page">
                <wp:align>top</wp:align>
              </wp:positionV>
              <wp:extent cx="609600" cy="485775"/>
              <wp:effectExtent l="0" t="0" r="0" b="9525"/>
              <wp:wrapNone/>
              <wp:docPr id="16192331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360465A" w14:textId="4F77DCBC"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2E3FAB" id="_x0000_t202" coordsize="21600,21600" o:spt="202" path="m,l,21600r21600,l21600,xe">
              <v:stroke joinstyle="miter"/>
              <v:path gradientshapeok="t" o:connecttype="rect"/>
            </v:shapetype>
            <v:shape id="Text Box 5" o:spid="_x0000_s1035" type="#_x0000_t202" alt="OFFICIAL" style="position:absolute;margin-left:0;margin-top:0;width:48pt;height:38.25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sfTpQg0CAAAcBAAA&#10;DgAAAAAAAAAAAAAAAAAuAgAAZHJzL2Uyb0RvYy54bWxQSwECLQAUAAYACAAAACEAY+eTvdkAAAAD&#10;AQAADwAAAAAAAAAAAAAAAABnBAAAZHJzL2Rvd25yZXYueG1sUEsFBgAAAAAEAAQA8wAAAG0FAAAA&#10;AA==&#10;" filled="f" stroked="f">
              <v:textbox style="mso-fit-shape-to-text:t" inset="0,15pt,0,0">
                <w:txbxContent>
                  <w:p w14:paraId="7360465A" w14:textId="4F77DCBC" w:rsidR="00B70C31" w:rsidRPr="00B70C31" w:rsidRDefault="00B70C31" w:rsidP="00B70C31">
                    <w:pPr>
                      <w:spacing w:after="0"/>
                      <w:rPr>
                        <w:rFonts w:ascii="Aptos" w:eastAsia="Aptos" w:hAnsi="Aptos" w:cs="Aptos"/>
                        <w:noProof/>
                        <w:color w:val="FF0000"/>
                        <w:sz w:val="24"/>
                      </w:rPr>
                    </w:pPr>
                    <w:r w:rsidRPr="00B70C31">
                      <w:rPr>
                        <w:rFonts w:ascii="Aptos" w:eastAsia="Aptos" w:hAnsi="Aptos" w:cs="Aptos"/>
                        <w:noProof/>
                        <w:color w:val="FF0000"/>
                        <w:sz w:val="24"/>
                      </w:rPr>
                      <w:t>OFFICIAL</w:t>
                    </w:r>
                  </w:p>
                </w:txbxContent>
              </v:textbox>
              <w10:wrap anchorx="page" anchory="page"/>
            </v:shape>
          </w:pict>
        </mc:Fallback>
      </mc:AlternateContent>
    </w:r>
    <w:r w:rsidR="0017045E" w:rsidRPr="006448DF">
      <w:rPr>
        <w:noProof/>
      </w:rPr>
      <mc:AlternateContent>
        <mc:Choice Requires="wps">
          <w:drawing>
            <wp:anchor distT="0" distB="0" distL="114300" distR="114300" simplePos="0" relativeHeight="251658240" behindDoc="1" locked="0" layoutInCell="0" allowOverlap="1" wp14:anchorId="0905DCD7" wp14:editId="670E761F">
              <wp:simplePos x="0" y="0"/>
              <wp:positionH relativeFrom="margin">
                <wp:align>center</wp:align>
              </wp:positionH>
              <wp:positionV relativeFrom="margin">
                <wp:align>center</wp:align>
              </wp:positionV>
              <wp:extent cx="6014720" cy="2105025"/>
              <wp:effectExtent l="0" t="0" r="0" b="0"/>
              <wp:wrapNone/>
              <wp:docPr id="445086683" name="PowerPlusWaterMarkObject1064106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14720" cy="2105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3B6D12" w14:textId="77777777" w:rsidR="0017045E" w:rsidRPr="006448DF" w:rsidRDefault="0017045E" w:rsidP="0017045E">
                          <w:pPr>
                            <w:jc w:val="center"/>
                            <w:rPr>
                              <w:rFonts w:cs="Arial"/>
                              <w:sz w:val="72"/>
                              <w:szCs w:val="72"/>
                            </w:rPr>
                          </w:pPr>
                          <w:r w:rsidRPr="006448DF">
                            <w:rPr>
                              <w:rFonts w:cs="Arial"/>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05DCD7" id="PowerPlusWaterMarkObject106410688" o:spid="_x0000_s1036" type="#_x0000_t202" style="position:absolute;margin-left:0;margin-top:0;width:473.6pt;height:165.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" o:allowincell="f" filled="f" stroked="f">
              <v:stroke joinstyle="round"/>
              <o:lock v:ext="edit" rotation="t" aspectratio="t" verticies="t" adjusthandles="t" grouping="t" shapetype="t"/>
              <v:textbox>
                <w:txbxContent>
                  <w:p w14:paraId="033B6D12" w14:textId="77777777" w:rsidR="0017045E" w:rsidRPr="006448DF" w:rsidRDefault="0017045E" w:rsidP="0017045E">
                    <w:pPr>
                      <w:jc w:val="center"/>
                      <w:rPr>
                        <w:rFonts w:cs="Arial"/>
                        <w:sz w:val="72"/>
                        <w:szCs w:val="72"/>
                      </w:rPr>
                    </w:pPr>
                    <w:r w:rsidRPr="006448DF">
                      <w:rPr>
                        <w:rFonts w:cs="Arial"/>
                        <w:sz w:val="72"/>
                        <w:szCs w:val="72"/>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E88D" w14:textId="1021E895" w:rsidR="00BB68F4" w:rsidRDefault="00BB68F4">
    <w:pPr>
      <w:pStyle w:val="Header"/>
    </w:pPr>
  </w:p>
  <w:p w14:paraId="0E5C8F68" w14:textId="7A23F043" w:rsidR="00DB23C2" w:rsidRDefault="00DB23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57A4F60D02CE4934B55666875066A58B"/>
      </w:placeholder>
      <w:temporary/>
      <w:showingPlcHdr/>
      <w15:appearance w15:val="hidden"/>
    </w:sdtPr>
    <w:sdtEndPr/>
    <w:sdtContent>
      <w:p w14:paraId="1903A4F1" w14:textId="77777777" w:rsidR="001F5A24" w:rsidRDefault="001F5A24">
        <w:pPr>
          <w:pStyle w:val="Header"/>
        </w:pPr>
        <w:r>
          <w:rPr>
            <w:lang w:val="en-GB"/>
          </w:rPr>
          <w:t>[Type here]</w:t>
        </w:r>
      </w:p>
    </w:sdtContent>
  </w:sdt>
  <w:p w14:paraId="5033D011" w14:textId="45C45BD4" w:rsidR="00547B64" w:rsidRDefault="00547B64">
    <w:pPr>
      <w:pStyle w:val="Header"/>
    </w:pPr>
  </w:p>
</w:hdr>
</file>

<file path=word/intelligence2.xml><?xml version="1.0" encoding="utf-8"?>
<int2:intelligence xmlns:int2="http://schemas.microsoft.com/office/intelligence/2020/intelligence" xmlns:oel="http://schemas.microsoft.com/office/2019/extlst">
  <int2:observations>
    <int2:textHash int2:hashCode="NEJz2+LwoIKeB2" int2:id="9m9rJfL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DACA07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64A9B"/>
    <w:multiLevelType w:val="hybridMultilevel"/>
    <w:tmpl w:val="A71EA8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14797C"/>
    <w:multiLevelType w:val="multilevel"/>
    <w:tmpl w:val="92F2F55E"/>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3311526"/>
    <w:multiLevelType w:val="hybridMultilevel"/>
    <w:tmpl w:val="1A242556"/>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81202C"/>
    <w:multiLevelType w:val="hybridMultilevel"/>
    <w:tmpl w:val="5498B1D4"/>
    <w:lvl w:ilvl="0" w:tplc="31725CF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BE4C38"/>
    <w:multiLevelType w:val="hybridMultilevel"/>
    <w:tmpl w:val="AC4A10B2"/>
    <w:lvl w:ilvl="0" w:tplc="DB6E8706">
      <w:start w:val="1"/>
      <w:numFmt w:val="bullet"/>
      <w:lvlText w:val="•"/>
      <w:lvlJc w:val="left"/>
      <w:pPr>
        <w:tabs>
          <w:tab w:val="num" w:pos="720"/>
        </w:tabs>
        <w:ind w:left="720" w:hanging="360"/>
      </w:pPr>
      <w:rPr>
        <w:rFonts w:ascii="Arial" w:hAnsi="Arial" w:hint="default"/>
      </w:rPr>
    </w:lvl>
    <w:lvl w:ilvl="1" w:tplc="9914FB72" w:tentative="1">
      <w:start w:val="1"/>
      <w:numFmt w:val="bullet"/>
      <w:lvlText w:val="•"/>
      <w:lvlJc w:val="left"/>
      <w:pPr>
        <w:tabs>
          <w:tab w:val="num" w:pos="1440"/>
        </w:tabs>
        <w:ind w:left="1440" w:hanging="360"/>
      </w:pPr>
      <w:rPr>
        <w:rFonts w:ascii="Arial" w:hAnsi="Arial" w:hint="default"/>
      </w:rPr>
    </w:lvl>
    <w:lvl w:ilvl="2" w:tplc="F9EED598" w:tentative="1">
      <w:start w:val="1"/>
      <w:numFmt w:val="bullet"/>
      <w:lvlText w:val="•"/>
      <w:lvlJc w:val="left"/>
      <w:pPr>
        <w:tabs>
          <w:tab w:val="num" w:pos="2160"/>
        </w:tabs>
        <w:ind w:left="2160" w:hanging="360"/>
      </w:pPr>
      <w:rPr>
        <w:rFonts w:ascii="Arial" w:hAnsi="Arial" w:hint="default"/>
      </w:rPr>
    </w:lvl>
    <w:lvl w:ilvl="3" w:tplc="BC522324" w:tentative="1">
      <w:start w:val="1"/>
      <w:numFmt w:val="bullet"/>
      <w:lvlText w:val="•"/>
      <w:lvlJc w:val="left"/>
      <w:pPr>
        <w:tabs>
          <w:tab w:val="num" w:pos="2880"/>
        </w:tabs>
        <w:ind w:left="2880" w:hanging="360"/>
      </w:pPr>
      <w:rPr>
        <w:rFonts w:ascii="Arial" w:hAnsi="Arial" w:hint="default"/>
      </w:rPr>
    </w:lvl>
    <w:lvl w:ilvl="4" w:tplc="636C873C" w:tentative="1">
      <w:start w:val="1"/>
      <w:numFmt w:val="bullet"/>
      <w:lvlText w:val="•"/>
      <w:lvlJc w:val="left"/>
      <w:pPr>
        <w:tabs>
          <w:tab w:val="num" w:pos="3600"/>
        </w:tabs>
        <w:ind w:left="3600" w:hanging="360"/>
      </w:pPr>
      <w:rPr>
        <w:rFonts w:ascii="Arial" w:hAnsi="Arial" w:hint="default"/>
      </w:rPr>
    </w:lvl>
    <w:lvl w:ilvl="5" w:tplc="9EE07B3A" w:tentative="1">
      <w:start w:val="1"/>
      <w:numFmt w:val="bullet"/>
      <w:lvlText w:val="•"/>
      <w:lvlJc w:val="left"/>
      <w:pPr>
        <w:tabs>
          <w:tab w:val="num" w:pos="4320"/>
        </w:tabs>
        <w:ind w:left="4320" w:hanging="360"/>
      </w:pPr>
      <w:rPr>
        <w:rFonts w:ascii="Arial" w:hAnsi="Arial" w:hint="default"/>
      </w:rPr>
    </w:lvl>
    <w:lvl w:ilvl="6" w:tplc="C6FC4096" w:tentative="1">
      <w:start w:val="1"/>
      <w:numFmt w:val="bullet"/>
      <w:lvlText w:val="•"/>
      <w:lvlJc w:val="left"/>
      <w:pPr>
        <w:tabs>
          <w:tab w:val="num" w:pos="5040"/>
        </w:tabs>
        <w:ind w:left="5040" w:hanging="360"/>
      </w:pPr>
      <w:rPr>
        <w:rFonts w:ascii="Arial" w:hAnsi="Arial" w:hint="default"/>
      </w:rPr>
    </w:lvl>
    <w:lvl w:ilvl="7" w:tplc="3AE25CBE" w:tentative="1">
      <w:start w:val="1"/>
      <w:numFmt w:val="bullet"/>
      <w:lvlText w:val="•"/>
      <w:lvlJc w:val="left"/>
      <w:pPr>
        <w:tabs>
          <w:tab w:val="num" w:pos="5760"/>
        </w:tabs>
        <w:ind w:left="5760" w:hanging="360"/>
      </w:pPr>
      <w:rPr>
        <w:rFonts w:ascii="Arial" w:hAnsi="Arial" w:hint="default"/>
      </w:rPr>
    </w:lvl>
    <w:lvl w:ilvl="8" w:tplc="697C37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D1500F"/>
    <w:multiLevelType w:val="multilevel"/>
    <w:tmpl w:val="19ECEF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B3B1574"/>
    <w:multiLevelType w:val="hybridMultilevel"/>
    <w:tmpl w:val="84DC66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0D731D"/>
    <w:multiLevelType w:val="hybridMultilevel"/>
    <w:tmpl w:val="5498B1D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6D1F69"/>
    <w:multiLevelType w:val="hybridMultilevel"/>
    <w:tmpl w:val="FA760460"/>
    <w:lvl w:ilvl="0" w:tplc="81A8A59E">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7F371F"/>
    <w:multiLevelType w:val="hybridMultilevel"/>
    <w:tmpl w:val="9FEA825A"/>
    <w:lvl w:ilvl="0" w:tplc="58040D22">
      <w:start w:val="1"/>
      <w:numFmt w:val="bullet"/>
      <w:lvlText w:val="•"/>
      <w:lvlJc w:val="left"/>
      <w:pPr>
        <w:tabs>
          <w:tab w:val="num" w:pos="720"/>
        </w:tabs>
        <w:ind w:left="720" w:hanging="360"/>
      </w:pPr>
      <w:rPr>
        <w:rFonts w:ascii="Arial" w:hAnsi="Arial" w:hint="default"/>
      </w:rPr>
    </w:lvl>
    <w:lvl w:ilvl="1" w:tplc="36782362" w:tentative="1">
      <w:start w:val="1"/>
      <w:numFmt w:val="bullet"/>
      <w:lvlText w:val="•"/>
      <w:lvlJc w:val="left"/>
      <w:pPr>
        <w:tabs>
          <w:tab w:val="num" w:pos="1440"/>
        </w:tabs>
        <w:ind w:left="1440" w:hanging="360"/>
      </w:pPr>
      <w:rPr>
        <w:rFonts w:ascii="Arial" w:hAnsi="Arial" w:hint="default"/>
      </w:rPr>
    </w:lvl>
    <w:lvl w:ilvl="2" w:tplc="C81218D8" w:tentative="1">
      <w:start w:val="1"/>
      <w:numFmt w:val="bullet"/>
      <w:lvlText w:val="•"/>
      <w:lvlJc w:val="left"/>
      <w:pPr>
        <w:tabs>
          <w:tab w:val="num" w:pos="2160"/>
        </w:tabs>
        <w:ind w:left="2160" w:hanging="360"/>
      </w:pPr>
      <w:rPr>
        <w:rFonts w:ascii="Arial" w:hAnsi="Arial" w:hint="default"/>
      </w:rPr>
    </w:lvl>
    <w:lvl w:ilvl="3" w:tplc="59E8A0BC">
      <w:start w:val="1"/>
      <w:numFmt w:val="bullet"/>
      <w:lvlText w:val="•"/>
      <w:lvlJc w:val="left"/>
      <w:pPr>
        <w:tabs>
          <w:tab w:val="num" w:pos="2880"/>
        </w:tabs>
        <w:ind w:left="2880" w:hanging="360"/>
      </w:pPr>
      <w:rPr>
        <w:rFonts w:ascii="Arial" w:hAnsi="Arial" w:hint="default"/>
      </w:rPr>
    </w:lvl>
    <w:lvl w:ilvl="4" w:tplc="C632DF84" w:tentative="1">
      <w:start w:val="1"/>
      <w:numFmt w:val="bullet"/>
      <w:lvlText w:val="•"/>
      <w:lvlJc w:val="left"/>
      <w:pPr>
        <w:tabs>
          <w:tab w:val="num" w:pos="3600"/>
        </w:tabs>
        <w:ind w:left="3600" w:hanging="360"/>
      </w:pPr>
      <w:rPr>
        <w:rFonts w:ascii="Arial" w:hAnsi="Arial" w:hint="default"/>
      </w:rPr>
    </w:lvl>
    <w:lvl w:ilvl="5" w:tplc="5B02E14C" w:tentative="1">
      <w:start w:val="1"/>
      <w:numFmt w:val="bullet"/>
      <w:lvlText w:val="•"/>
      <w:lvlJc w:val="left"/>
      <w:pPr>
        <w:tabs>
          <w:tab w:val="num" w:pos="4320"/>
        </w:tabs>
        <w:ind w:left="4320" w:hanging="360"/>
      </w:pPr>
      <w:rPr>
        <w:rFonts w:ascii="Arial" w:hAnsi="Arial" w:hint="default"/>
      </w:rPr>
    </w:lvl>
    <w:lvl w:ilvl="6" w:tplc="D0B0762C" w:tentative="1">
      <w:start w:val="1"/>
      <w:numFmt w:val="bullet"/>
      <w:lvlText w:val="•"/>
      <w:lvlJc w:val="left"/>
      <w:pPr>
        <w:tabs>
          <w:tab w:val="num" w:pos="5040"/>
        </w:tabs>
        <w:ind w:left="5040" w:hanging="360"/>
      </w:pPr>
      <w:rPr>
        <w:rFonts w:ascii="Arial" w:hAnsi="Arial" w:hint="default"/>
      </w:rPr>
    </w:lvl>
    <w:lvl w:ilvl="7" w:tplc="D02A5F66" w:tentative="1">
      <w:start w:val="1"/>
      <w:numFmt w:val="bullet"/>
      <w:lvlText w:val="•"/>
      <w:lvlJc w:val="left"/>
      <w:pPr>
        <w:tabs>
          <w:tab w:val="num" w:pos="5760"/>
        </w:tabs>
        <w:ind w:left="5760" w:hanging="360"/>
      </w:pPr>
      <w:rPr>
        <w:rFonts w:ascii="Arial" w:hAnsi="Arial" w:hint="default"/>
      </w:rPr>
    </w:lvl>
    <w:lvl w:ilvl="8" w:tplc="2F1A85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1841917"/>
    <w:multiLevelType w:val="multilevel"/>
    <w:tmpl w:val="1FCE718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color w:val="000000" w:themeColor="text1"/>
        <w:sz w:val="20"/>
      </w:rPr>
    </w:lvl>
    <w:lvl w:ilvl="3">
      <w:start w:val="1"/>
      <w:numFmt w:val="bullet"/>
      <w:lvlText w:val=""/>
      <w:lvlJc w:val="left"/>
      <w:pPr>
        <w:ind w:left="1800" w:hanging="360"/>
      </w:pPr>
      <w:rPr>
        <w:rFonts w:ascii="Symbol" w:hAnsi="Symbol" w:hint="default"/>
        <w:color w:val="000000" w:themeColor="text1"/>
        <w:sz w:val="2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118A01F2"/>
    <w:multiLevelType w:val="hybridMultilevel"/>
    <w:tmpl w:val="2742808E"/>
    <w:lvl w:ilvl="0" w:tplc="3B269FD4">
      <w:start w:val="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001648"/>
    <w:multiLevelType w:val="hybridMultilevel"/>
    <w:tmpl w:val="0D245B3E"/>
    <w:lvl w:ilvl="0" w:tplc="C0FAB604">
      <w:start w:val="1"/>
      <w:numFmt w:val="decimal"/>
      <w:lvlText w:val="%1."/>
      <w:lvlJc w:val="left"/>
      <w:pPr>
        <w:tabs>
          <w:tab w:val="num" w:pos="360"/>
        </w:tabs>
        <w:ind w:left="360" w:hanging="360"/>
      </w:pPr>
    </w:lvl>
    <w:lvl w:ilvl="1" w:tplc="4C00FE4A">
      <w:start w:val="1"/>
      <w:numFmt w:val="decimal"/>
      <w:lvlText w:val="%2."/>
      <w:lvlJc w:val="left"/>
      <w:pPr>
        <w:tabs>
          <w:tab w:val="num" w:pos="1080"/>
        </w:tabs>
        <w:ind w:left="1080" w:hanging="360"/>
      </w:pPr>
    </w:lvl>
    <w:lvl w:ilvl="2" w:tplc="EDFED90A" w:tentative="1">
      <w:start w:val="1"/>
      <w:numFmt w:val="decimal"/>
      <w:lvlText w:val="%3."/>
      <w:lvlJc w:val="left"/>
      <w:pPr>
        <w:tabs>
          <w:tab w:val="num" w:pos="1800"/>
        </w:tabs>
        <w:ind w:left="1800" w:hanging="360"/>
      </w:pPr>
    </w:lvl>
    <w:lvl w:ilvl="3" w:tplc="07E42EDE" w:tentative="1">
      <w:start w:val="1"/>
      <w:numFmt w:val="decimal"/>
      <w:lvlText w:val="%4."/>
      <w:lvlJc w:val="left"/>
      <w:pPr>
        <w:tabs>
          <w:tab w:val="num" w:pos="2520"/>
        </w:tabs>
        <w:ind w:left="2520" w:hanging="360"/>
      </w:pPr>
    </w:lvl>
    <w:lvl w:ilvl="4" w:tplc="89EA6E3C" w:tentative="1">
      <w:start w:val="1"/>
      <w:numFmt w:val="decimal"/>
      <w:lvlText w:val="%5."/>
      <w:lvlJc w:val="left"/>
      <w:pPr>
        <w:tabs>
          <w:tab w:val="num" w:pos="3240"/>
        </w:tabs>
        <w:ind w:left="3240" w:hanging="360"/>
      </w:pPr>
    </w:lvl>
    <w:lvl w:ilvl="5" w:tplc="897A7A02" w:tentative="1">
      <w:start w:val="1"/>
      <w:numFmt w:val="decimal"/>
      <w:lvlText w:val="%6."/>
      <w:lvlJc w:val="left"/>
      <w:pPr>
        <w:tabs>
          <w:tab w:val="num" w:pos="3960"/>
        </w:tabs>
        <w:ind w:left="3960" w:hanging="360"/>
      </w:pPr>
    </w:lvl>
    <w:lvl w:ilvl="6" w:tplc="1C6A8F44" w:tentative="1">
      <w:start w:val="1"/>
      <w:numFmt w:val="decimal"/>
      <w:lvlText w:val="%7."/>
      <w:lvlJc w:val="left"/>
      <w:pPr>
        <w:tabs>
          <w:tab w:val="num" w:pos="4680"/>
        </w:tabs>
        <w:ind w:left="4680" w:hanging="360"/>
      </w:pPr>
    </w:lvl>
    <w:lvl w:ilvl="7" w:tplc="945C0B34" w:tentative="1">
      <w:start w:val="1"/>
      <w:numFmt w:val="decimal"/>
      <w:lvlText w:val="%8."/>
      <w:lvlJc w:val="left"/>
      <w:pPr>
        <w:tabs>
          <w:tab w:val="num" w:pos="5400"/>
        </w:tabs>
        <w:ind w:left="5400" w:hanging="360"/>
      </w:pPr>
    </w:lvl>
    <w:lvl w:ilvl="8" w:tplc="2974B0E0" w:tentative="1">
      <w:start w:val="1"/>
      <w:numFmt w:val="decimal"/>
      <w:lvlText w:val="%9."/>
      <w:lvlJc w:val="left"/>
      <w:pPr>
        <w:tabs>
          <w:tab w:val="num" w:pos="6120"/>
        </w:tabs>
        <w:ind w:left="6120" w:hanging="360"/>
      </w:pPr>
    </w:lvl>
  </w:abstractNum>
  <w:abstractNum w:abstractNumId="14" w15:restartNumberingAfterBreak="0">
    <w:nsid w:val="13C108C8"/>
    <w:multiLevelType w:val="hybridMultilevel"/>
    <w:tmpl w:val="FCE6CDE4"/>
    <w:lvl w:ilvl="0" w:tplc="826E163E">
      <w:numFmt w:val="bullet"/>
      <w:lvlText w:val="•"/>
      <w:lvlJc w:val="left"/>
      <w:pPr>
        <w:ind w:left="720" w:hanging="360"/>
      </w:pPr>
      <w:rPr>
        <w:rFonts w:ascii="Hind" w:eastAsiaTheme="minorEastAsia" w:hAnsi="Hind" w:cs="Hi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271D14"/>
    <w:multiLevelType w:val="multilevel"/>
    <w:tmpl w:val="92F2F55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1DA91F3C"/>
    <w:multiLevelType w:val="multilevel"/>
    <w:tmpl w:val="F216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BB4670"/>
    <w:multiLevelType w:val="hybridMultilevel"/>
    <w:tmpl w:val="8CA65824"/>
    <w:lvl w:ilvl="0" w:tplc="3B269FD4">
      <w:start w:val="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2862632"/>
    <w:multiLevelType w:val="hybridMultilevel"/>
    <w:tmpl w:val="03A64752"/>
    <w:lvl w:ilvl="0" w:tplc="6B7A9736">
      <w:start w:val="1"/>
      <w:numFmt w:val="bullet"/>
      <w:lvlText w:val="​"/>
      <w:lvlJc w:val="left"/>
      <w:pPr>
        <w:tabs>
          <w:tab w:val="num" w:pos="720"/>
        </w:tabs>
        <w:ind w:left="720" w:hanging="360"/>
      </w:pPr>
      <w:rPr>
        <w:rFonts w:ascii="Arial" w:hAnsi="Arial" w:hint="default"/>
      </w:rPr>
    </w:lvl>
    <w:lvl w:ilvl="1" w:tplc="6DDAD9D2" w:tentative="1">
      <w:start w:val="1"/>
      <w:numFmt w:val="bullet"/>
      <w:lvlText w:val="​"/>
      <w:lvlJc w:val="left"/>
      <w:pPr>
        <w:tabs>
          <w:tab w:val="num" w:pos="1440"/>
        </w:tabs>
        <w:ind w:left="1440" w:hanging="360"/>
      </w:pPr>
      <w:rPr>
        <w:rFonts w:ascii="Arial" w:hAnsi="Arial" w:hint="default"/>
      </w:rPr>
    </w:lvl>
    <w:lvl w:ilvl="2" w:tplc="008C3E96" w:tentative="1">
      <w:start w:val="1"/>
      <w:numFmt w:val="bullet"/>
      <w:lvlText w:val="​"/>
      <w:lvlJc w:val="left"/>
      <w:pPr>
        <w:tabs>
          <w:tab w:val="num" w:pos="2160"/>
        </w:tabs>
        <w:ind w:left="2160" w:hanging="360"/>
      </w:pPr>
      <w:rPr>
        <w:rFonts w:ascii="Arial" w:hAnsi="Arial" w:hint="default"/>
      </w:rPr>
    </w:lvl>
    <w:lvl w:ilvl="3" w:tplc="8BDE5E26">
      <w:start w:val="1"/>
      <w:numFmt w:val="bullet"/>
      <w:lvlText w:val="​"/>
      <w:lvlJc w:val="left"/>
      <w:pPr>
        <w:tabs>
          <w:tab w:val="num" w:pos="2880"/>
        </w:tabs>
        <w:ind w:left="2880" w:hanging="360"/>
      </w:pPr>
      <w:rPr>
        <w:rFonts w:ascii="Arial" w:hAnsi="Arial" w:hint="default"/>
      </w:rPr>
    </w:lvl>
    <w:lvl w:ilvl="4" w:tplc="37D8AE88" w:tentative="1">
      <w:start w:val="1"/>
      <w:numFmt w:val="bullet"/>
      <w:lvlText w:val="​"/>
      <w:lvlJc w:val="left"/>
      <w:pPr>
        <w:tabs>
          <w:tab w:val="num" w:pos="3600"/>
        </w:tabs>
        <w:ind w:left="3600" w:hanging="360"/>
      </w:pPr>
      <w:rPr>
        <w:rFonts w:ascii="Arial" w:hAnsi="Arial" w:hint="default"/>
      </w:rPr>
    </w:lvl>
    <w:lvl w:ilvl="5" w:tplc="12709794" w:tentative="1">
      <w:start w:val="1"/>
      <w:numFmt w:val="bullet"/>
      <w:lvlText w:val="​"/>
      <w:lvlJc w:val="left"/>
      <w:pPr>
        <w:tabs>
          <w:tab w:val="num" w:pos="4320"/>
        </w:tabs>
        <w:ind w:left="4320" w:hanging="360"/>
      </w:pPr>
      <w:rPr>
        <w:rFonts w:ascii="Arial" w:hAnsi="Arial" w:hint="default"/>
      </w:rPr>
    </w:lvl>
    <w:lvl w:ilvl="6" w:tplc="7472C3C6" w:tentative="1">
      <w:start w:val="1"/>
      <w:numFmt w:val="bullet"/>
      <w:lvlText w:val="​"/>
      <w:lvlJc w:val="left"/>
      <w:pPr>
        <w:tabs>
          <w:tab w:val="num" w:pos="5040"/>
        </w:tabs>
        <w:ind w:left="5040" w:hanging="360"/>
      </w:pPr>
      <w:rPr>
        <w:rFonts w:ascii="Arial" w:hAnsi="Arial" w:hint="default"/>
      </w:rPr>
    </w:lvl>
    <w:lvl w:ilvl="7" w:tplc="2988C71E" w:tentative="1">
      <w:start w:val="1"/>
      <w:numFmt w:val="bullet"/>
      <w:lvlText w:val="​"/>
      <w:lvlJc w:val="left"/>
      <w:pPr>
        <w:tabs>
          <w:tab w:val="num" w:pos="5760"/>
        </w:tabs>
        <w:ind w:left="5760" w:hanging="360"/>
      </w:pPr>
      <w:rPr>
        <w:rFonts w:ascii="Arial" w:hAnsi="Arial" w:hint="default"/>
      </w:rPr>
    </w:lvl>
    <w:lvl w:ilvl="8" w:tplc="4AF069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AF0457"/>
    <w:multiLevelType w:val="hybridMultilevel"/>
    <w:tmpl w:val="1BE23002"/>
    <w:lvl w:ilvl="0" w:tplc="3B269FD4">
      <w:start w:val="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6DC70D1"/>
    <w:multiLevelType w:val="multilevel"/>
    <w:tmpl w:val="A10492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74D61A0"/>
    <w:multiLevelType w:val="multilevel"/>
    <w:tmpl w:val="EBF818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90E2951"/>
    <w:multiLevelType w:val="multilevel"/>
    <w:tmpl w:val="63AC1B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CB2630B"/>
    <w:multiLevelType w:val="hybridMultilevel"/>
    <w:tmpl w:val="AFDC1CC4"/>
    <w:lvl w:ilvl="0" w:tplc="15B64B54">
      <w:start w:val="1"/>
      <w:numFmt w:val="bullet"/>
      <w:lvlText w:val="•"/>
      <w:lvlJc w:val="left"/>
      <w:pPr>
        <w:tabs>
          <w:tab w:val="num" w:pos="720"/>
        </w:tabs>
        <w:ind w:left="720" w:hanging="360"/>
      </w:pPr>
      <w:rPr>
        <w:rFonts w:ascii="Arial" w:hAnsi="Arial" w:hint="default"/>
      </w:rPr>
    </w:lvl>
    <w:lvl w:ilvl="1" w:tplc="48C629B2">
      <w:start w:val="1"/>
      <w:numFmt w:val="bullet"/>
      <w:lvlText w:val="•"/>
      <w:lvlJc w:val="left"/>
      <w:pPr>
        <w:tabs>
          <w:tab w:val="num" w:pos="1440"/>
        </w:tabs>
        <w:ind w:left="1440" w:hanging="360"/>
      </w:pPr>
      <w:rPr>
        <w:rFonts w:ascii="Arial" w:hAnsi="Arial" w:hint="default"/>
      </w:rPr>
    </w:lvl>
    <w:lvl w:ilvl="2" w:tplc="E912E636" w:tentative="1">
      <w:start w:val="1"/>
      <w:numFmt w:val="bullet"/>
      <w:lvlText w:val="•"/>
      <w:lvlJc w:val="left"/>
      <w:pPr>
        <w:tabs>
          <w:tab w:val="num" w:pos="2160"/>
        </w:tabs>
        <w:ind w:left="2160" w:hanging="360"/>
      </w:pPr>
      <w:rPr>
        <w:rFonts w:ascii="Arial" w:hAnsi="Arial" w:hint="default"/>
      </w:rPr>
    </w:lvl>
    <w:lvl w:ilvl="3" w:tplc="2E5E33BA" w:tentative="1">
      <w:start w:val="1"/>
      <w:numFmt w:val="bullet"/>
      <w:lvlText w:val="•"/>
      <w:lvlJc w:val="left"/>
      <w:pPr>
        <w:tabs>
          <w:tab w:val="num" w:pos="2880"/>
        </w:tabs>
        <w:ind w:left="2880" w:hanging="360"/>
      </w:pPr>
      <w:rPr>
        <w:rFonts w:ascii="Arial" w:hAnsi="Arial" w:hint="default"/>
      </w:rPr>
    </w:lvl>
    <w:lvl w:ilvl="4" w:tplc="F864AFC8" w:tentative="1">
      <w:start w:val="1"/>
      <w:numFmt w:val="bullet"/>
      <w:lvlText w:val="•"/>
      <w:lvlJc w:val="left"/>
      <w:pPr>
        <w:tabs>
          <w:tab w:val="num" w:pos="3600"/>
        </w:tabs>
        <w:ind w:left="3600" w:hanging="360"/>
      </w:pPr>
      <w:rPr>
        <w:rFonts w:ascii="Arial" w:hAnsi="Arial" w:hint="default"/>
      </w:rPr>
    </w:lvl>
    <w:lvl w:ilvl="5" w:tplc="23689C22" w:tentative="1">
      <w:start w:val="1"/>
      <w:numFmt w:val="bullet"/>
      <w:lvlText w:val="•"/>
      <w:lvlJc w:val="left"/>
      <w:pPr>
        <w:tabs>
          <w:tab w:val="num" w:pos="4320"/>
        </w:tabs>
        <w:ind w:left="4320" w:hanging="360"/>
      </w:pPr>
      <w:rPr>
        <w:rFonts w:ascii="Arial" w:hAnsi="Arial" w:hint="default"/>
      </w:rPr>
    </w:lvl>
    <w:lvl w:ilvl="6" w:tplc="739C9EA2" w:tentative="1">
      <w:start w:val="1"/>
      <w:numFmt w:val="bullet"/>
      <w:lvlText w:val="•"/>
      <w:lvlJc w:val="left"/>
      <w:pPr>
        <w:tabs>
          <w:tab w:val="num" w:pos="5040"/>
        </w:tabs>
        <w:ind w:left="5040" w:hanging="360"/>
      </w:pPr>
      <w:rPr>
        <w:rFonts w:ascii="Arial" w:hAnsi="Arial" w:hint="default"/>
      </w:rPr>
    </w:lvl>
    <w:lvl w:ilvl="7" w:tplc="2968F8FA" w:tentative="1">
      <w:start w:val="1"/>
      <w:numFmt w:val="bullet"/>
      <w:lvlText w:val="•"/>
      <w:lvlJc w:val="left"/>
      <w:pPr>
        <w:tabs>
          <w:tab w:val="num" w:pos="5760"/>
        </w:tabs>
        <w:ind w:left="5760" w:hanging="360"/>
      </w:pPr>
      <w:rPr>
        <w:rFonts w:ascii="Arial" w:hAnsi="Arial" w:hint="default"/>
      </w:rPr>
    </w:lvl>
    <w:lvl w:ilvl="8" w:tplc="222687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116DD5"/>
    <w:multiLevelType w:val="multilevel"/>
    <w:tmpl w:val="92F2F55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30B71D7F"/>
    <w:multiLevelType w:val="hybridMultilevel"/>
    <w:tmpl w:val="4C4A251E"/>
    <w:lvl w:ilvl="0" w:tplc="81A8A59E">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6C6011C"/>
    <w:multiLevelType w:val="multilevel"/>
    <w:tmpl w:val="125E27B8"/>
    <w:lvl w:ilvl="0">
      <w:start w:val="1"/>
      <w:numFmt w:val="bullet"/>
      <w:lvlText w:val=""/>
      <w:lvlJc w:val="left"/>
      <w:pPr>
        <w:ind w:left="558" w:hanging="360"/>
      </w:pPr>
      <w:rPr>
        <w:rFonts w:ascii="Symbol" w:hAnsi="Symbol" w:hint="default"/>
        <w:color w:val="3F4A75" w:themeColor="text2"/>
        <w:sz w:val="20"/>
      </w:rPr>
    </w:lvl>
    <w:lvl w:ilvl="1">
      <w:start w:val="1"/>
      <w:numFmt w:val="bullet"/>
      <w:lvlText w:val="–"/>
      <w:lvlJc w:val="left"/>
      <w:pPr>
        <w:ind w:left="936" w:hanging="369"/>
      </w:pPr>
      <w:rPr>
        <w:rFonts w:ascii="Times New Roman" w:hAnsi="Times New Roman" w:cs="Times New Roman" w:hint="default"/>
        <w:color w:val="auto"/>
      </w:rPr>
    </w:lvl>
    <w:lvl w:ilvl="2">
      <w:start w:val="1"/>
      <w:numFmt w:val="bullet"/>
      <w:lvlText w:val=""/>
      <w:lvlJc w:val="left"/>
      <w:pPr>
        <w:ind w:left="1304" w:hanging="368"/>
      </w:pPr>
      <w:rPr>
        <w:rFonts w:ascii="Symbol" w:hAnsi="Symbol" w:hint="default"/>
        <w:color w:val="3F4A75" w:themeColor="text2"/>
      </w:rPr>
    </w:lvl>
    <w:lvl w:ilvl="3">
      <w:start w:val="1"/>
      <w:numFmt w:val="bullet"/>
      <w:lvlText w:val=""/>
      <w:lvlJc w:val="left"/>
      <w:pPr>
        <w:ind w:left="1673" w:hanging="369"/>
      </w:pPr>
      <w:rPr>
        <w:rFonts w:ascii="Symbol" w:hAnsi="Symbol" w:hint="default"/>
        <w:color w:val="3F4A75" w:themeColor="text2"/>
      </w:rPr>
    </w:lvl>
    <w:lvl w:ilvl="4">
      <w:start w:val="1"/>
      <w:numFmt w:val="bullet"/>
      <w:lvlText w:val="o"/>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o"/>
      <w:lvlJc w:val="left"/>
      <w:pPr>
        <w:tabs>
          <w:tab w:val="num" w:pos="5760"/>
        </w:tabs>
        <w:ind w:left="5760" w:hanging="360"/>
      </w:pPr>
      <w:rPr>
        <w:rFonts w:hint="default"/>
      </w:rPr>
    </w:lvl>
    <w:lvl w:ilvl="8">
      <w:start w:val="1"/>
      <w:numFmt w:val="bullet"/>
      <w:lvlText w:val=""/>
      <w:lvlJc w:val="left"/>
      <w:pPr>
        <w:tabs>
          <w:tab w:val="num" w:pos="6480"/>
        </w:tabs>
        <w:ind w:left="6480" w:hanging="360"/>
      </w:pPr>
      <w:rPr>
        <w:rFonts w:hint="default"/>
      </w:rPr>
    </w:lvl>
  </w:abstractNum>
  <w:abstractNum w:abstractNumId="27" w15:restartNumberingAfterBreak="0">
    <w:nsid w:val="39110DB9"/>
    <w:multiLevelType w:val="hybridMultilevel"/>
    <w:tmpl w:val="F02ECDA4"/>
    <w:lvl w:ilvl="0" w:tplc="81F0643C">
      <w:start w:val="1"/>
      <w:numFmt w:val="bullet"/>
      <w:pStyle w:val="TableBullet"/>
      <w:lvlText w:val=""/>
      <w:lvlJc w:val="left"/>
      <w:pPr>
        <w:ind w:left="908" w:hanging="360"/>
      </w:pPr>
      <w:rPr>
        <w:rFonts w:ascii="Symbol" w:hAnsi="Symbol" w:hint="default"/>
      </w:rPr>
    </w:lvl>
    <w:lvl w:ilvl="1" w:tplc="08090003">
      <w:start w:val="1"/>
      <w:numFmt w:val="bullet"/>
      <w:lvlText w:val="o"/>
      <w:lvlJc w:val="left"/>
      <w:pPr>
        <w:ind w:left="1628" w:hanging="360"/>
      </w:pPr>
      <w:rPr>
        <w:rFonts w:ascii="Courier New" w:hAnsi="Courier New" w:cs="Courier New" w:hint="default"/>
      </w:rPr>
    </w:lvl>
    <w:lvl w:ilvl="2" w:tplc="08090005">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abstractNum w:abstractNumId="28" w15:restartNumberingAfterBreak="0">
    <w:nsid w:val="3E940634"/>
    <w:multiLevelType w:val="hybridMultilevel"/>
    <w:tmpl w:val="53BE1860"/>
    <w:lvl w:ilvl="0" w:tplc="81AC22A0">
      <w:start w:val="1"/>
      <w:numFmt w:val="bullet"/>
      <w:lvlText w:val="•"/>
      <w:lvlJc w:val="left"/>
      <w:pPr>
        <w:tabs>
          <w:tab w:val="num" w:pos="720"/>
        </w:tabs>
        <w:ind w:left="720" w:hanging="360"/>
      </w:pPr>
      <w:rPr>
        <w:rFonts w:ascii="Arial" w:hAnsi="Arial" w:hint="default"/>
      </w:rPr>
    </w:lvl>
    <w:lvl w:ilvl="1" w:tplc="CABC3422" w:tentative="1">
      <w:start w:val="1"/>
      <w:numFmt w:val="bullet"/>
      <w:lvlText w:val="•"/>
      <w:lvlJc w:val="left"/>
      <w:pPr>
        <w:tabs>
          <w:tab w:val="num" w:pos="1440"/>
        </w:tabs>
        <w:ind w:left="1440" w:hanging="360"/>
      </w:pPr>
      <w:rPr>
        <w:rFonts w:ascii="Arial" w:hAnsi="Arial" w:hint="default"/>
      </w:rPr>
    </w:lvl>
    <w:lvl w:ilvl="2" w:tplc="49EC7AA2" w:tentative="1">
      <w:start w:val="1"/>
      <w:numFmt w:val="bullet"/>
      <w:lvlText w:val="•"/>
      <w:lvlJc w:val="left"/>
      <w:pPr>
        <w:tabs>
          <w:tab w:val="num" w:pos="2160"/>
        </w:tabs>
        <w:ind w:left="2160" w:hanging="360"/>
      </w:pPr>
      <w:rPr>
        <w:rFonts w:ascii="Arial" w:hAnsi="Arial" w:hint="default"/>
      </w:rPr>
    </w:lvl>
    <w:lvl w:ilvl="3" w:tplc="1D6C383C" w:tentative="1">
      <w:start w:val="1"/>
      <w:numFmt w:val="bullet"/>
      <w:lvlText w:val="•"/>
      <w:lvlJc w:val="left"/>
      <w:pPr>
        <w:tabs>
          <w:tab w:val="num" w:pos="2880"/>
        </w:tabs>
        <w:ind w:left="2880" w:hanging="360"/>
      </w:pPr>
      <w:rPr>
        <w:rFonts w:ascii="Arial" w:hAnsi="Arial" w:hint="default"/>
      </w:rPr>
    </w:lvl>
    <w:lvl w:ilvl="4" w:tplc="A32E8D38" w:tentative="1">
      <w:start w:val="1"/>
      <w:numFmt w:val="bullet"/>
      <w:lvlText w:val="•"/>
      <w:lvlJc w:val="left"/>
      <w:pPr>
        <w:tabs>
          <w:tab w:val="num" w:pos="3600"/>
        </w:tabs>
        <w:ind w:left="3600" w:hanging="360"/>
      </w:pPr>
      <w:rPr>
        <w:rFonts w:ascii="Arial" w:hAnsi="Arial" w:hint="default"/>
      </w:rPr>
    </w:lvl>
    <w:lvl w:ilvl="5" w:tplc="119E2CF4" w:tentative="1">
      <w:start w:val="1"/>
      <w:numFmt w:val="bullet"/>
      <w:lvlText w:val="•"/>
      <w:lvlJc w:val="left"/>
      <w:pPr>
        <w:tabs>
          <w:tab w:val="num" w:pos="4320"/>
        </w:tabs>
        <w:ind w:left="4320" w:hanging="360"/>
      </w:pPr>
      <w:rPr>
        <w:rFonts w:ascii="Arial" w:hAnsi="Arial" w:hint="default"/>
      </w:rPr>
    </w:lvl>
    <w:lvl w:ilvl="6" w:tplc="D6121808" w:tentative="1">
      <w:start w:val="1"/>
      <w:numFmt w:val="bullet"/>
      <w:lvlText w:val="•"/>
      <w:lvlJc w:val="left"/>
      <w:pPr>
        <w:tabs>
          <w:tab w:val="num" w:pos="5040"/>
        </w:tabs>
        <w:ind w:left="5040" w:hanging="360"/>
      </w:pPr>
      <w:rPr>
        <w:rFonts w:ascii="Arial" w:hAnsi="Arial" w:hint="default"/>
      </w:rPr>
    </w:lvl>
    <w:lvl w:ilvl="7" w:tplc="4380FE06" w:tentative="1">
      <w:start w:val="1"/>
      <w:numFmt w:val="bullet"/>
      <w:lvlText w:val="•"/>
      <w:lvlJc w:val="left"/>
      <w:pPr>
        <w:tabs>
          <w:tab w:val="num" w:pos="5760"/>
        </w:tabs>
        <w:ind w:left="5760" w:hanging="360"/>
      </w:pPr>
      <w:rPr>
        <w:rFonts w:ascii="Arial" w:hAnsi="Arial" w:hint="default"/>
      </w:rPr>
    </w:lvl>
    <w:lvl w:ilvl="8" w:tplc="B69C0F3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7F3D25"/>
    <w:multiLevelType w:val="multilevel"/>
    <w:tmpl w:val="EFA411D2"/>
    <w:lvl w:ilvl="0">
      <w:start w:val="1"/>
      <w:numFmt w:val="bullet"/>
      <w:pStyle w:val="Bullet1"/>
      <w:lvlText w:val=""/>
      <w:lvlJc w:val="left"/>
      <w:pPr>
        <w:ind w:left="511" w:hanging="369"/>
      </w:pPr>
      <w:rPr>
        <w:rFonts w:ascii="Symbol" w:hAnsi="Symbol" w:hint="default"/>
        <w:color w:val="3F4A75" w:themeColor="text2"/>
        <w:sz w:val="20"/>
      </w:rPr>
    </w:lvl>
    <w:lvl w:ilvl="1">
      <w:start w:val="1"/>
      <w:numFmt w:val="bullet"/>
      <w:pStyle w:val="Bullet2"/>
      <w:lvlText w:val="–"/>
      <w:lvlJc w:val="left"/>
      <w:pPr>
        <w:ind w:left="880" w:hanging="369"/>
      </w:pPr>
      <w:rPr>
        <w:rFonts w:ascii="Times New Roman" w:hAnsi="Times New Roman" w:cs="Times New Roman" w:hint="default"/>
        <w:color w:val="auto"/>
      </w:rPr>
    </w:lvl>
    <w:lvl w:ilvl="2">
      <w:start w:val="1"/>
      <w:numFmt w:val="bullet"/>
      <w:pStyle w:val="Bullet3"/>
      <w:lvlText w:val=""/>
      <w:lvlJc w:val="left"/>
      <w:pPr>
        <w:ind w:left="1248" w:hanging="368"/>
      </w:pPr>
      <w:rPr>
        <w:rFonts w:ascii="Symbol" w:hAnsi="Symbol" w:hint="default"/>
        <w:color w:val="3F4A75" w:themeColor="text2"/>
      </w:rPr>
    </w:lvl>
    <w:lvl w:ilvl="3">
      <w:start w:val="1"/>
      <w:numFmt w:val="bullet"/>
      <w:pStyle w:val="Bullet4"/>
      <w:lvlText w:val=""/>
      <w:lvlJc w:val="left"/>
      <w:pPr>
        <w:ind w:left="1617" w:hanging="369"/>
      </w:pPr>
      <w:rPr>
        <w:rFonts w:ascii="Symbol" w:hAnsi="Symbol" w:hint="default"/>
        <w:color w:val="3F4A75" w:themeColor="text2"/>
      </w:rPr>
    </w:lvl>
    <w:lvl w:ilvl="4">
      <w:start w:val="1"/>
      <w:numFmt w:val="bullet"/>
      <w:lvlText w:val="o"/>
      <w:lvlJc w:val="left"/>
      <w:pPr>
        <w:tabs>
          <w:tab w:val="num" w:pos="3544"/>
        </w:tabs>
        <w:ind w:left="3544" w:hanging="360"/>
      </w:pPr>
      <w:rPr>
        <w:rFonts w:hint="default"/>
      </w:rPr>
    </w:lvl>
    <w:lvl w:ilvl="5">
      <w:start w:val="1"/>
      <w:numFmt w:val="bullet"/>
      <w:lvlText w:val=""/>
      <w:lvlJc w:val="left"/>
      <w:pPr>
        <w:tabs>
          <w:tab w:val="num" w:pos="4264"/>
        </w:tabs>
        <w:ind w:left="4264" w:hanging="360"/>
      </w:pPr>
      <w:rPr>
        <w:rFonts w:hint="default"/>
      </w:rPr>
    </w:lvl>
    <w:lvl w:ilvl="6">
      <w:start w:val="1"/>
      <w:numFmt w:val="bullet"/>
      <w:lvlText w:val=""/>
      <w:lvlJc w:val="left"/>
      <w:pPr>
        <w:tabs>
          <w:tab w:val="num" w:pos="4984"/>
        </w:tabs>
        <w:ind w:left="4984" w:hanging="360"/>
      </w:pPr>
      <w:rPr>
        <w:rFonts w:hint="default"/>
      </w:rPr>
    </w:lvl>
    <w:lvl w:ilvl="7">
      <w:start w:val="1"/>
      <w:numFmt w:val="bullet"/>
      <w:lvlText w:val="o"/>
      <w:lvlJc w:val="left"/>
      <w:pPr>
        <w:tabs>
          <w:tab w:val="num" w:pos="5704"/>
        </w:tabs>
        <w:ind w:left="5704" w:hanging="360"/>
      </w:pPr>
      <w:rPr>
        <w:rFonts w:hint="default"/>
      </w:rPr>
    </w:lvl>
    <w:lvl w:ilvl="8">
      <w:start w:val="1"/>
      <w:numFmt w:val="bullet"/>
      <w:lvlText w:val=""/>
      <w:lvlJc w:val="left"/>
      <w:pPr>
        <w:tabs>
          <w:tab w:val="num" w:pos="6424"/>
        </w:tabs>
        <w:ind w:left="6424" w:hanging="360"/>
      </w:pPr>
      <w:rPr>
        <w:rFonts w:hint="default"/>
      </w:rPr>
    </w:lvl>
  </w:abstractNum>
  <w:abstractNum w:abstractNumId="30" w15:restartNumberingAfterBreak="0">
    <w:nsid w:val="473A314F"/>
    <w:multiLevelType w:val="hybridMultilevel"/>
    <w:tmpl w:val="B48E325E"/>
    <w:lvl w:ilvl="0" w:tplc="C966C854">
      <w:start w:val="1"/>
      <w:numFmt w:val="bullet"/>
      <w:lvlText w:val="​"/>
      <w:lvlJc w:val="left"/>
      <w:pPr>
        <w:tabs>
          <w:tab w:val="num" w:pos="720"/>
        </w:tabs>
        <w:ind w:left="720" w:hanging="360"/>
      </w:pPr>
      <w:rPr>
        <w:rFonts w:ascii="Arial" w:hAnsi="Arial" w:hint="default"/>
      </w:rPr>
    </w:lvl>
    <w:lvl w:ilvl="1" w:tplc="E2C8B048" w:tentative="1">
      <w:start w:val="1"/>
      <w:numFmt w:val="bullet"/>
      <w:lvlText w:val="​"/>
      <w:lvlJc w:val="left"/>
      <w:pPr>
        <w:tabs>
          <w:tab w:val="num" w:pos="1440"/>
        </w:tabs>
        <w:ind w:left="1440" w:hanging="360"/>
      </w:pPr>
      <w:rPr>
        <w:rFonts w:ascii="Arial" w:hAnsi="Arial" w:hint="default"/>
      </w:rPr>
    </w:lvl>
    <w:lvl w:ilvl="2" w:tplc="353A6D0A" w:tentative="1">
      <w:start w:val="1"/>
      <w:numFmt w:val="bullet"/>
      <w:lvlText w:val="​"/>
      <w:lvlJc w:val="left"/>
      <w:pPr>
        <w:tabs>
          <w:tab w:val="num" w:pos="2160"/>
        </w:tabs>
        <w:ind w:left="2160" w:hanging="360"/>
      </w:pPr>
      <w:rPr>
        <w:rFonts w:ascii="Arial" w:hAnsi="Arial" w:hint="default"/>
      </w:rPr>
    </w:lvl>
    <w:lvl w:ilvl="3" w:tplc="7352A804">
      <w:start w:val="1"/>
      <w:numFmt w:val="bullet"/>
      <w:lvlText w:val="​"/>
      <w:lvlJc w:val="left"/>
      <w:pPr>
        <w:tabs>
          <w:tab w:val="num" w:pos="2880"/>
        </w:tabs>
        <w:ind w:left="2880" w:hanging="360"/>
      </w:pPr>
      <w:rPr>
        <w:rFonts w:ascii="Arial" w:hAnsi="Arial" w:hint="default"/>
      </w:rPr>
    </w:lvl>
    <w:lvl w:ilvl="4" w:tplc="1824768E" w:tentative="1">
      <w:start w:val="1"/>
      <w:numFmt w:val="bullet"/>
      <w:lvlText w:val="​"/>
      <w:lvlJc w:val="left"/>
      <w:pPr>
        <w:tabs>
          <w:tab w:val="num" w:pos="3600"/>
        </w:tabs>
        <w:ind w:left="3600" w:hanging="360"/>
      </w:pPr>
      <w:rPr>
        <w:rFonts w:ascii="Arial" w:hAnsi="Arial" w:hint="default"/>
      </w:rPr>
    </w:lvl>
    <w:lvl w:ilvl="5" w:tplc="A97457E4" w:tentative="1">
      <w:start w:val="1"/>
      <w:numFmt w:val="bullet"/>
      <w:lvlText w:val="​"/>
      <w:lvlJc w:val="left"/>
      <w:pPr>
        <w:tabs>
          <w:tab w:val="num" w:pos="4320"/>
        </w:tabs>
        <w:ind w:left="4320" w:hanging="360"/>
      </w:pPr>
      <w:rPr>
        <w:rFonts w:ascii="Arial" w:hAnsi="Arial" w:hint="default"/>
      </w:rPr>
    </w:lvl>
    <w:lvl w:ilvl="6" w:tplc="36B66278" w:tentative="1">
      <w:start w:val="1"/>
      <w:numFmt w:val="bullet"/>
      <w:lvlText w:val="​"/>
      <w:lvlJc w:val="left"/>
      <w:pPr>
        <w:tabs>
          <w:tab w:val="num" w:pos="5040"/>
        </w:tabs>
        <w:ind w:left="5040" w:hanging="360"/>
      </w:pPr>
      <w:rPr>
        <w:rFonts w:ascii="Arial" w:hAnsi="Arial" w:hint="default"/>
      </w:rPr>
    </w:lvl>
    <w:lvl w:ilvl="7" w:tplc="1FFC7CDC" w:tentative="1">
      <w:start w:val="1"/>
      <w:numFmt w:val="bullet"/>
      <w:lvlText w:val="​"/>
      <w:lvlJc w:val="left"/>
      <w:pPr>
        <w:tabs>
          <w:tab w:val="num" w:pos="5760"/>
        </w:tabs>
        <w:ind w:left="5760" w:hanging="360"/>
      </w:pPr>
      <w:rPr>
        <w:rFonts w:ascii="Arial" w:hAnsi="Arial" w:hint="default"/>
      </w:rPr>
    </w:lvl>
    <w:lvl w:ilvl="8" w:tplc="6C42C1A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8B052C2"/>
    <w:multiLevelType w:val="hybridMultilevel"/>
    <w:tmpl w:val="4C222988"/>
    <w:lvl w:ilvl="0" w:tplc="BAB2B06C">
      <w:start w:val="1"/>
      <w:numFmt w:val="bullet"/>
      <w:lvlText w:val="•"/>
      <w:lvlJc w:val="left"/>
      <w:pPr>
        <w:tabs>
          <w:tab w:val="num" w:pos="720"/>
        </w:tabs>
        <w:ind w:left="720" w:hanging="360"/>
      </w:pPr>
      <w:rPr>
        <w:rFonts w:ascii="Arial" w:hAnsi="Arial" w:hint="default"/>
      </w:rPr>
    </w:lvl>
    <w:lvl w:ilvl="1" w:tplc="B32AC5DE" w:tentative="1">
      <w:start w:val="1"/>
      <w:numFmt w:val="bullet"/>
      <w:lvlText w:val="•"/>
      <w:lvlJc w:val="left"/>
      <w:pPr>
        <w:tabs>
          <w:tab w:val="num" w:pos="1440"/>
        </w:tabs>
        <w:ind w:left="1440" w:hanging="360"/>
      </w:pPr>
      <w:rPr>
        <w:rFonts w:ascii="Arial" w:hAnsi="Arial" w:hint="default"/>
      </w:rPr>
    </w:lvl>
    <w:lvl w:ilvl="2" w:tplc="8A5C5B54" w:tentative="1">
      <w:start w:val="1"/>
      <w:numFmt w:val="bullet"/>
      <w:lvlText w:val="•"/>
      <w:lvlJc w:val="left"/>
      <w:pPr>
        <w:tabs>
          <w:tab w:val="num" w:pos="2160"/>
        </w:tabs>
        <w:ind w:left="2160" w:hanging="360"/>
      </w:pPr>
      <w:rPr>
        <w:rFonts w:ascii="Arial" w:hAnsi="Arial" w:hint="default"/>
      </w:rPr>
    </w:lvl>
    <w:lvl w:ilvl="3" w:tplc="383EF686" w:tentative="1">
      <w:start w:val="1"/>
      <w:numFmt w:val="bullet"/>
      <w:lvlText w:val="•"/>
      <w:lvlJc w:val="left"/>
      <w:pPr>
        <w:tabs>
          <w:tab w:val="num" w:pos="2880"/>
        </w:tabs>
        <w:ind w:left="2880" w:hanging="360"/>
      </w:pPr>
      <w:rPr>
        <w:rFonts w:ascii="Arial" w:hAnsi="Arial" w:hint="default"/>
      </w:rPr>
    </w:lvl>
    <w:lvl w:ilvl="4" w:tplc="287ECE58" w:tentative="1">
      <w:start w:val="1"/>
      <w:numFmt w:val="bullet"/>
      <w:lvlText w:val="•"/>
      <w:lvlJc w:val="left"/>
      <w:pPr>
        <w:tabs>
          <w:tab w:val="num" w:pos="3600"/>
        </w:tabs>
        <w:ind w:left="3600" w:hanging="360"/>
      </w:pPr>
      <w:rPr>
        <w:rFonts w:ascii="Arial" w:hAnsi="Arial" w:hint="default"/>
      </w:rPr>
    </w:lvl>
    <w:lvl w:ilvl="5" w:tplc="B694FF6E" w:tentative="1">
      <w:start w:val="1"/>
      <w:numFmt w:val="bullet"/>
      <w:lvlText w:val="•"/>
      <w:lvlJc w:val="left"/>
      <w:pPr>
        <w:tabs>
          <w:tab w:val="num" w:pos="4320"/>
        </w:tabs>
        <w:ind w:left="4320" w:hanging="360"/>
      </w:pPr>
      <w:rPr>
        <w:rFonts w:ascii="Arial" w:hAnsi="Arial" w:hint="default"/>
      </w:rPr>
    </w:lvl>
    <w:lvl w:ilvl="6" w:tplc="A7F6224C" w:tentative="1">
      <w:start w:val="1"/>
      <w:numFmt w:val="bullet"/>
      <w:lvlText w:val="•"/>
      <w:lvlJc w:val="left"/>
      <w:pPr>
        <w:tabs>
          <w:tab w:val="num" w:pos="5040"/>
        </w:tabs>
        <w:ind w:left="5040" w:hanging="360"/>
      </w:pPr>
      <w:rPr>
        <w:rFonts w:ascii="Arial" w:hAnsi="Arial" w:hint="default"/>
      </w:rPr>
    </w:lvl>
    <w:lvl w:ilvl="7" w:tplc="0380C782" w:tentative="1">
      <w:start w:val="1"/>
      <w:numFmt w:val="bullet"/>
      <w:lvlText w:val="•"/>
      <w:lvlJc w:val="left"/>
      <w:pPr>
        <w:tabs>
          <w:tab w:val="num" w:pos="5760"/>
        </w:tabs>
        <w:ind w:left="5760" w:hanging="360"/>
      </w:pPr>
      <w:rPr>
        <w:rFonts w:ascii="Arial" w:hAnsi="Arial" w:hint="default"/>
      </w:rPr>
    </w:lvl>
    <w:lvl w:ilvl="8" w:tplc="393886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B177124"/>
    <w:multiLevelType w:val="multilevel"/>
    <w:tmpl w:val="92F2F55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15:restartNumberingAfterBreak="0">
    <w:nsid w:val="4E15366D"/>
    <w:multiLevelType w:val="hybridMultilevel"/>
    <w:tmpl w:val="9AA648B6"/>
    <w:lvl w:ilvl="0" w:tplc="05CCAC68">
      <w:start w:val="1"/>
      <w:numFmt w:val="bullet"/>
      <w:pStyle w:val="TableSub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FE6AEA"/>
    <w:multiLevelType w:val="hybridMultilevel"/>
    <w:tmpl w:val="0D245B3E"/>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35" w15:restartNumberingAfterBreak="0">
    <w:nsid w:val="51E0409D"/>
    <w:multiLevelType w:val="hybridMultilevel"/>
    <w:tmpl w:val="B9020172"/>
    <w:lvl w:ilvl="0" w:tplc="C3703A4A">
      <w:start w:val="1"/>
      <w:numFmt w:val="bullet"/>
      <w:pStyle w:val="ListNumber3"/>
      <w:lvlText w:val=""/>
      <w:lvlJc w:val="left"/>
      <w:pPr>
        <w:ind w:left="360" w:hanging="360"/>
      </w:pPr>
      <w:rPr>
        <w:rFonts w:ascii="Wingdings" w:hAnsi="Wingdings" w:hint="default"/>
      </w:rPr>
    </w:lvl>
    <w:lvl w:ilvl="1" w:tplc="9F84F752" w:tentative="1">
      <w:start w:val="1"/>
      <w:numFmt w:val="bullet"/>
      <w:lvlText w:val="o"/>
      <w:lvlJc w:val="left"/>
      <w:pPr>
        <w:ind w:left="1080" w:hanging="360"/>
      </w:pPr>
      <w:rPr>
        <w:rFonts w:ascii="Courier New" w:hAnsi="Courier New" w:hint="default"/>
      </w:rPr>
    </w:lvl>
    <w:lvl w:ilvl="2" w:tplc="8B1E5DC8" w:tentative="1">
      <w:start w:val="1"/>
      <w:numFmt w:val="bullet"/>
      <w:lvlText w:val=""/>
      <w:lvlJc w:val="left"/>
      <w:pPr>
        <w:ind w:left="1800" w:hanging="360"/>
      </w:pPr>
      <w:rPr>
        <w:rFonts w:ascii="Wingdings" w:hAnsi="Wingdings" w:hint="default"/>
      </w:rPr>
    </w:lvl>
    <w:lvl w:ilvl="3" w:tplc="22269166" w:tentative="1">
      <w:start w:val="1"/>
      <w:numFmt w:val="bullet"/>
      <w:lvlText w:val=""/>
      <w:lvlJc w:val="left"/>
      <w:pPr>
        <w:ind w:left="2520" w:hanging="360"/>
      </w:pPr>
      <w:rPr>
        <w:rFonts w:ascii="Symbol" w:hAnsi="Symbol" w:hint="default"/>
      </w:rPr>
    </w:lvl>
    <w:lvl w:ilvl="4" w:tplc="88221986" w:tentative="1">
      <w:start w:val="1"/>
      <w:numFmt w:val="bullet"/>
      <w:lvlText w:val="o"/>
      <w:lvlJc w:val="left"/>
      <w:pPr>
        <w:ind w:left="3240" w:hanging="360"/>
      </w:pPr>
      <w:rPr>
        <w:rFonts w:ascii="Courier New" w:hAnsi="Courier New" w:hint="default"/>
      </w:rPr>
    </w:lvl>
    <w:lvl w:ilvl="5" w:tplc="8F10C4D0" w:tentative="1">
      <w:start w:val="1"/>
      <w:numFmt w:val="bullet"/>
      <w:lvlText w:val=""/>
      <w:lvlJc w:val="left"/>
      <w:pPr>
        <w:ind w:left="3960" w:hanging="360"/>
      </w:pPr>
      <w:rPr>
        <w:rFonts w:ascii="Wingdings" w:hAnsi="Wingdings" w:hint="default"/>
      </w:rPr>
    </w:lvl>
    <w:lvl w:ilvl="6" w:tplc="D32A689E" w:tentative="1">
      <w:start w:val="1"/>
      <w:numFmt w:val="bullet"/>
      <w:lvlText w:val=""/>
      <w:lvlJc w:val="left"/>
      <w:pPr>
        <w:ind w:left="4680" w:hanging="360"/>
      </w:pPr>
      <w:rPr>
        <w:rFonts w:ascii="Symbol" w:hAnsi="Symbol" w:hint="default"/>
      </w:rPr>
    </w:lvl>
    <w:lvl w:ilvl="7" w:tplc="F8C2D882" w:tentative="1">
      <w:start w:val="1"/>
      <w:numFmt w:val="bullet"/>
      <w:lvlText w:val="o"/>
      <w:lvlJc w:val="left"/>
      <w:pPr>
        <w:ind w:left="5400" w:hanging="360"/>
      </w:pPr>
      <w:rPr>
        <w:rFonts w:ascii="Courier New" w:hAnsi="Courier New" w:hint="default"/>
      </w:rPr>
    </w:lvl>
    <w:lvl w:ilvl="8" w:tplc="8342DE08" w:tentative="1">
      <w:start w:val="1"/>
      <w:numFmt w:val="bullet"/>
      <w:lvlText w:val=""/>
      <w:lvlJc w:val="left"/>
      <w:pPr>
        <w:ind w:left="6120" w:hanging="360"/>
      </w:pPr>
      <w:rPr>
        <w:rFonts w:ascii="Wingdings" w:hAnsi="Wingdings" w:hint="default"/>
      </w:rPr>
    </w:lvl>
  </w:abstractNum>
  <w:abstractNum w:abstractNumId="36" w15:restartNumberingAfterBreak="0">
    <w:nsid w:val="54AE7097"/>
    <w:multiLevelType w:val="hybridMultilevel"/>
    <w:tmpl w:val="2AB6D2AC"/>
    <w:lvl w:ilvl="0" w:tplc="CC2C464C">
      <w:start w:val="1"/>
      <w:numFmt w:val="bullet"/>
      <w:lvlText w:val="•"/>
      <w:lvlJc w:val="left"/>
      <w:pPr>
        <w:tabs>
          <w:tab w:val="num" w:pos="720"/>
        </w:tabs>
        <w:ind w:left="720" w:hanging="360"/>
      </w:pPr>
      <w:rPr>
        <w:rFonts w:ascii="Arial" w:hAnsi="Arial" w:hint="default"/>
      </w:rPr>
    </w:lvl>
    <w:lvl w:ilvl="1" w:tplc="373EAB40" w:tentative="1">
      <w:start w:val="1"/>
      <w:numFmt w:val="bullet"/>
      <w:lvlText w:val="•"/>
      <w:lvlJc w:val="left"/>
      <w:pPr>
        <w:tabs>
          <w:tab w:val="num" w:pos="1440"/>
        </w:tabs>
        <w:ind w:left="1440" w:hanging="360"/>
      </w:pPr>
      <w:rPr>
        <w:rFonts w:ascii="Arial" w:hAnsi="Arial" w:hint="default"/>
      </w:rPr>
    </w:lvl>
    <w:lvl w:ilvl="2" w:tplc="494080CE" w:tentative="1">
      <w:start w:val="1"/>
      <w:numFmt w:val="bullet"/>
      <w:lvlText w:val="•"/>
      <w:lvlJc w:val="left"/>
      <w:pPr>
        <w:tabs>
          <w:tab w:val="num" w:pos="2160"/>
        </w:tabs>
        <w:ind w:left="2160" w:hanging="360"/>
      </w:pPr>
      <w:rPr>
        <w:rFonts w:ascii="Arial" w:hAnsi="Arial" w:hint="default"/>
      </w:rPr>
    </w:lvl>
    <w:lvl w:ilvl="3" w:tplc="EBD02B54" w:tentative="1">
      <w:start w:val="1"/>
      <w:numFmt w:val="bullet"/>
      <w:lvlText w:val="•"/>
      <w:lvlJc w:val="left"/>
      <w:pPr>
        <w:tabs>
          <w:tab w:val="num" w:pos="2880"/>
        </w:tabs>
        <w:ind w:left="2880" w:hanging="360"/>
      </w:pPr>
      <w:rPr>
        <w:rFonts w:ascii="Arial" w:hAnsi="Arial" w:hint="default"/>
      </w:rPr>
    </w:lvl>
    <w:lvl w:ilvl="4" w:tplc="805CE992" w:tentative="1">
      <w:start w:val="1"/>
      <w:numFmt w:val="bullet"/>
      <w:lvlText w:val="•"/>
      <w:lvlJc w:val="left"/>
      <w:pPr>
        <w:tabs>
          <w:tab w:val="num" w:pos="3600"/>
        </w:tabs>
        <w:ind w:left="3600" w:hanging="360"/>
      </w:pPr>
      <w:rPr>
        <w:rFonts w:ascii="Arial" w:hAnsi="Arial" w:hint="default"/>
      </w:rPr>
    </w:lvl>
    <w:lvl w:ilvl="5" w:tplc="2C1EEF04" w:tentative="1">
      <w:start w:val="1"/>
      <w:numFmt w:val="bullet"/>
      <w:lvlText w:val="•"/>
      <w:lvlJc w:val="left"/>
      <w:pPr>
        <w:tabs>
          <w:tab w:val="num" w:pos="4320"/>
        </w:tabs>
        <w:ind w:left="4320" w:hanging="360"/>
      </w:pPr>
      <w:rPr>
        <w:rFonts w:ascii="Arial" w:hAnsi="Arial" w:hint="default"/>
      </w:rPr>
    </w:lvl>
    <w:lvl w:ilvl="6" w:tplc="F1588406" w:tentative="1">
      <w:start w:val="1"/>
      <w:numFmt w:val="bullet"/>
      <w:lvlText w:val="•"/>
      <w:lvlJc w:val="left"/>
      <w:pPr>
        <w:tabs>
          <w:tab w:val="num" w:pos="5040"/>
        </w:tabs>
        <w:ind w:left="5040" w:hanging="360"/>
      </w:pPr>
      <w:rPr>
        <w:rFonts w:ascii="Arial" w:hAnsi="Arial" w:hint="default"/>
      </w:rPr>
    </w:lvl>
    <w:lvl w:ilvl="7" w:tplc="751AE792" w:tentative="1">
      <w:start w:val="1"/>
      <w:numFmt w:val="bullet"/>
      <w:lvlText w:val="•"/>
      <w:lvlJc w:val="left"/>
      <w:pPr>
        <w:tabs>
          <w:tab w:val="num" w:pos="5760"/>
        </w:tabs>
        <w:ind w:left="5760" w:hanging="360"/>
      </w:pPr>
      <w:rPr>
        <w:rFonts w:ascii="Arial" w:hAnsi="Arial" w:hint="default"/>
      </w:rPr>
    </w:lvl>
    <w:lvl w:ilvl="8" w:tplc="5EA089F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4DA784D"/>
    <w:multiLevelType w:val="multilevel"/>
    <w:tmpl w:val="E154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A8223B"/>
    <w:multiLevelType w:val="hybridMultilevel"/>
    <w:tmpl w:val="DEF870E4"/>
    <w:lvl w:ilvl="0" w:tplc="743EF7E8">
      <w:start w:val="1"/>
      <w:numFmt w:val="bullet"/>
      <w:lvlText w:val="•"/>
      <w:lvlJc w:val="left"/>
      <w:pPr>
        <w:tabs>
          <w:tab w:val="num" w:pos="720"/>
        </w:tabs>
        <w:ind w:left="720" w:hanging="360"/>
      </w:pPr>
      <w:rPr>
        <w:rFonts w:ascii="Arial" w:hAnsi="Arial" w:hint="default"/>
      </w:rPr>
    </w:lvl>
    <w:lvl w:ilvl="1" w:tplc="32F44186" w:tentative="1">
      <w:start w:val="1"/>
      <w:numFmt w:val="bullet"/>
      <w:lvlText w:val="•"/>
      <w:lvlJc w:val="left"/>
      <w:pPr>
        <w:tabs>
          <w:tab w:val="num" w:pos="1440"/>
        </w:tabs>
        <w:ind w:left="1440" w:hanging="360"/>
      </w:pPr>
      <w:rPr>
        <w:rFonts w:ascii="Arial" w:hAnsi="Arial" w:hint="default"/>
      </w:rPr>
    </w:lvl>
    <w:lvl w:ilvl="2" w:tplc="046A9A32" w:tentative="1">
      <w:start w:val="1"/>
      <w:numFmt w:val="bullet"/>
      <w:lvlText w:val="•"/>
      <w:lvlJc w:val="left"/>
      <w:pPr>
        <w:tabs>
          <w:tab w:val="num" w:pos="2160"/>
        </w:tabs>
        <w:ind w:left="2160" w:hanging="360"/>
      </w:pPr>
      <w:rPr>
        <w:rFonts w:ascii="Arial" w:hAnsi="Arial" w:hint="default"/>
      </w:rPr>
    </w:lvl>
    <w:lvl w:ilvl="3" w:tplc="FF32E5AC" w:tentative="1">
      <w:start w:val="1"/>
      <w:numFmt w:val="bullet"/>
      <w:lvlText w:val="•"/>
      <w:lvlJc w:val="left"/>
      <w:pPr>
        <w:tabs>
          <w:tab w:val="num" w:pos="2880"/>
        </w:tabs>
        <w:ind w:left="2880" w:hanging="360"/>
      </w:pPr>
      <w:rPr>
        <w:rFonts w:ascii="Arial" w:hAnsi="Arial" w:hint="default"/>
      </w:rPr>
    </w:lvl>
    <w:lvl w:ilvl="4" w:tplc="BD00311C" w:tentative="1">
      <w:start w:val="1"/>
      <w:numFmt w:val="bullet"/>
      <w:lvlText w:val="•"/>
      <w:lvlJc w:val="left"/>
      <w:pPr>
        <w:tabs>
          <w:tab w:val="num" w:pos="3600"/>
        </w:tabs>
        <w:ind w:left="3600" w:hanging="360"/>
      </w:pPr>
      <w:rPr>
        <w:rFonts w:ascii="Arial" w:hAnsi="Arial" w:hint="default"/>
      </w:rPr>
    </w:lvl>
    <w:lvl w:ilvl="5" w:tplc="7C0674E0" w:tentative="1">
      <w:start w:val="1"/>
      <w:numFmt w:val="bullet"/>
      <w:lvlText w:val="•"/>
      <w:lvlJc w:val="left"/>
      <w:pPr>
        <w:tabs>
          <w:tab w:val="num" w:pos="4320"/>
        </w:tabs>
        <w:ind w:left="4320" w:hanging="360"/>
      </w:pPr>
      <w:rPr>
        <w:rFonts w:ascii="Arial" w:hAnsi="Arial" w:hint="default"/>
      </w:rPr>
    </w:lvl>
    <w:lvl w:ilvl="6" w:tplc="1D70A12A" w:tentative="1">
      <w:start w:val="1"/>
      <w:numFmt w:val="bullet"/>
      <w:lvlText w:val="•"/>
      <w:lvlJc w:val="left"/>
      <w:pPr>
        <w:tabs>
          <w:tab w:val="num" w:pos="5040"/>
        </w:tabs>
        <w:ind w:left="5040" w:hanging="360"/>
      </w:pPr>
      <w:rPr>
        <w:rFonts w:ascii="Arial" w:hAnsi="Arial" w:hint="default"/>
      </w:rPr>
    </w:lvl>
    <w:lvl w:ilvl="7" w:tplc="6BD2F64E" w:tentative="1">
      <w:start w:val="1"/>
      <w:numFmt w:val="bullet"/>
      <w:lvlText w:val="•"/>
      <w:lvlJc w:val="left"/>
      <w:pPr>
        <w:tabs>
          <w:tab w:val="num" w:pos="5760"/>
        </w:tabs>
        <w:ind w:left="5760" w:hanging="360"/>
      </w:pPr>
      <w:rPr>
        <w:rFonts w:ascii="Arial" w:hAnsi="Arial" w:hint="default"/>
      </w:rPr>
    </w:lvl>
    <w:lvl w:ilvl="8" w:tplc="A10E238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6BC32ED"/>
    <w:multiLevelType w:val="multilevel"/>
    <w:tmpl w:val="B19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2B0DF6"/>
    <w:multiLevelType w:val="multilevel"/>
    <w:tmpl w:val="ABF2E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DC25D7"/>
    <w:multiLevelType w:val="multilevel"/>
    <w:tmpl w:val="6B3EA7F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rPr>
        <w:rFonts w:hint="default"/>
      </w:rPr>
    </w:lvl>
    <w:lvl w:ilvl="3">
      <w:start w:val="1"/>
      <w:numFmt w:val="bullet"/>
      <w:lvlText w:val=""/>
      <w:lvlJc w:val="left"/>
      <w:pPr>
        <w:ind w:left="1800" w:hanging="360"/>
      </w:pPr>
      <w:rPr>
        <w:rFonts w:ascii="Symbol" w:hAnsi="Symbol" w:hint="default"/>
        <w:color w:val="000000" w:themeColor="text1"/>
        <w:sz w:val="20"/>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2" w15:restartNumberingAfterBreak="0">
    <w:nsid w:val="5A47138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BC3237B"/>
    <w:multiLevelType w:val="multilevel"/>
    <w:tmpl w:val="E2A0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A83097"/>
    <w:multiLevelType w:val="hybridMultilevel"/>
    <w:tmpl w:val="9FDAE346"/>
    <w:lvl w:ilvl="0" w:tplc="A0EC0668">
      <w:start w:val="1"/>
      <w:numFmt w:val="bullet"/>
      <w:lvlText w:val="•"/>
      <w:lvlJc w:val="left"/>
      <w:pPr>
        <w:tabs>
          <w:tab w:val="num" w:pos="720"/>
        </w:tabs>
        <w:ind w:left="720" w:hanging="360"/>
      </w:pPr>
      <w:rPr>
        <w:rFonts w:ascii="Arial" w:hAnsi="Arial" w:hint="default"/>
      </w:rPr>
    </w:lvl>
    <w:lvl w:ilvl="1" w:tplc="21FADD0A" w:tentative="1">
      <w:start w:val="1"/>
      <w:numFmt w:val="bullet"/>
      <w:lvlText w:val="•"/>
      <w:lvlJc w:val="left"/>
      <w:pPr>
        <w:tabs>
          <w:tab w:val="num" w:pos="1440"/>
        </w:tabs>
        <w:ind w:left="1440" w:hanging="360"/>
      </w:pPr>
      <w:rPr>
        <w:rFonts w:ascii="Arial" w:hAnsi="Arial" w:hint="default"/>
      </w:rPr>
    </w:lvl>
    <w:lvl w:ilvl="2" w:tplc="60ECC4E2" w:tentative="1">
      <w:start w:val="1"/>
      <w:numFmt w:val="bullet"/>
      <w:lvlText w:val="•"/>
      <w:lvlJc w:val="left"/>
      <w:pPr>
        <w:tabs>
          <w:tab w:val="num" w:pos="2160"/>
        </w:tabs>
        <w:ind w:left="2160" w:hanging="360"/>
      </w:pPr>
      <w:rPr>
        <w:rFonts w:ascii="Arial" w:hAnsi="Arial" w:hint="default"/>
      </w:rPr>
    </w:lvl>
    <w:lvl w:ilvl="3" w:tplc="B9CC5038" w:tentative="1">
      <w:start w:val="1"/>
      <w:numFmt w:val="bullet"/>
      <w:lvlText w:val="•"/>
      <w:lvlJc w:val="left"/>
      <w:pPr>
        <w:tabs>
          <w:tab w:val="num" w:pos="2880"/>
        </w:tabs>
        <w:ind w:left="2880" w:hanging="360"/>
      </w:pPr>
      <w:rPr>
        <w:rFonts w:ascii="Arial" w:hAnsi="Arial" w:hint="default"/>
      </w:rPr>
    </w:lvl>
    <w:lvl w:ilvl="4" w:tplc="EF60E7A2" w:tentative="1">
      <w:start w:val="1"/>
      <w:numFmt w:val="bullet"/>
      <w:lvlText w:val="•"/>
      <w:lvlJc w:val="left"/>
      <w:pPr>
        <w:tabs>
          <w:tab w:val="num" w:pos="3600"/>
        </w:tabs>
        <w:ind w:left="3600" w:hanging="360"/>
      </w:pPr>
      <w:rPr>
        <w:rFonts w:ascii="Arial" w:hAnsi="Arial" w:hint="default"/>
      </w:rPr>
    </w:lvl>
    <w:lvl w:ilvl="5" w:tplc="C7CC7EDA" w:tentative="1">
      <w:start w:val="1"/>
      <w:numFmt w:val="bullet"/>
      <w:lvlText w:val="•"/>
      <w:lvlJc w:val="left"/>
      <w:pPr>
        <w:tabs>
          <w:tab w:val="num" w:pos="4320"/>
        </w:tabs>
        <w:ind w:left="4320" w:hanging="360"/>
      </w:pPr>
      <w:rPr>
        <w:rFonts w:ascii="Arial" w:hAnsi="Arial" w:hint="default"/>
      </w:rPr>
    </w:lvl>
    <w:lvl w:ilvl="6" w:tplc="01E8959A" w:tentative="1">
      <w:start w:val="1"/>
      <w:numFmt w:val="bullet"/>
      <w:lvlText w:val="•"/>
      <w:lvlJc w:val="left"/>
      <w:pPr>
        <w:tabs>
          <w:tab w:val="num" w:pos="5040"/>
        </w:tabs>
        <w:ind w:left="5040" w:hanging="360"/>
      </w:pPr>
      <w:rPr>
        <w:rFonts w:ascii="Arial" w:hAnsi="Arial" w:hint="default"/>
      </w:rPr>
    </w:lvl>
    <w:lvl w:ilvl="7" w:tplc="A42828A2" w:tentative="1">
      <w:start w:val="1"/>
      <w:numFmt w:val="bullet"/>
      <w:lvlText w:val="•"/>
      <w:lvlJc w:val="left"/>
      <w:pPr>
        <w:tabs>
          <w:tab w:val="num" w:pos="5760"/>
        </w:tabs>
        <w:ind w:left="5760" w:hanging="360"/>
      </w:pPr>
      <w:rPr>
        <w:rFonts w:ascii="Arial" w:hAnsi="Arial" w:hint="default"/>
      </w:rPr>
    </w:lvl>
    <w:lvl w:ilvl="8" w:tplc="45F4FDB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F4F1687"/>
    <w:multiLevelType w:val="hybridMultilevel"/>
    <w:tmpl w:val="0AE2D9A6"/>
    <w:lvl w:ilvl="0" w:tplc="3B269FD4">
      <w:start w:val="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A160B20"/>
    <w:multiLevelType w:val="hybridMultilevel"/>
    <w:tmpl w:val="52F026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B1316A3"/>
    <w:multiLevelType w:val="hybridMultilevel"/>
    <w:tmpl w:val="15DE2EB8"/>
    <w:lvl w:ilvl="0" w:tplc="81A8A59E">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CF8287E"/>
    <w:multiLevelType w:val="hybridMultilevel"/>
    <w:tmpl w:val="A44C6632"/>
    <w:lvl w:ilvl="0" w:tplc="B33818E0">
      <w:start w:val="1"/>
      <w:numFmt w:val="bullet"/>
      <w:pStyle w:val="Tablelistbullet"/>
      <w:lvlText w:val=""/>
      <w:lvlJc w:val="left"/>
      <w:pPr>
        <w:ind w:left="720" w:hanging="360"/>
      </w:pPr>
      <w:rPr>
        <w:rFonts w:ascii="Symbol" w:hAnsi="Symbol" w:hint="default"/>
      </w:rPr>
    </w:lvl>
    <w:lvl w:ilvl="1" w:tplc="CF70A6AC" w:tentative="1">
      <w:start w:val="1"/>
      <w:numFmt w:val="bullet"/>
      <w:lvlText w:val="o"/>
      <w:lvlJc w:val="left"/>
      <w:pPr>
        <w:ind w:left="1440" w:hanging="360"/>
      </w:pPr>
      <w:rPr>
        <w:rFonts w:ascii="Courier New" w:hAnsi="Courier New" w:hint="default"/>
      </w:rPr>
    </w:lvl>
    <w:lvl w:ilvl="2" w:tplc="9ADC6838" w:tentative="1">
      <w:start w:val="1"/>
      <w:numFmt w:val="bullet"/>
      <w:lvlText w:val=""/>
      <w:lvlJc w:val="left"/>
      <w:pPr>
        <w:ind w:left="2160" w:hanging="360"/>
      </w:pPr>
      <w:rPr>
        <w:rFonts w:ascii="Wingdings" w:hAnsi="Wingdings" w:hint="default"/>
      </w:rPr>
    </w:lvl>
    <w:lvl w:ilvl="3" w:tplc="9CE45014" w:tentative="1">
      <w:start w:val="1"/>
      <w:numFmt w:val="bullet"/>
      <w:lvlText w:val=""/>
      <w:lvlJc w:val="left"/>
      <w:pPr>
        <w:ind w:left="2880" w:hanging="360"/>
      </w:pPr>
      <w:rPr>
        <w:rFonts w:ascii="Symbol" w:hAnsi="Symbol" w:hint="default"/>
      </w:rPr>
    </w:lvl>
    <w:lvl w:ilvl="4" w:tplc="96665254" w:tentative="1">
      <w:start w:val="1"/>
      <w:numFmt w:val="bullet"/>
      <w:lvlText w:val="o"/>
      <w:lvlJc w:val="left"/>
      <w:pPr>
        <w:ind w:left="3600" w:hanging="360"/>
      </w:pPr>
      <w:rPr>
        <w:rFonts w:ascii="Courier New" w:hAnsi="Courier New" w:hint="default"/>
      </w:rPr>
    </w:lvl>
    <w:lvl w:ilvl="5" w:tplc="C0B0986E" w:tentative="1">
      <w:start w:val="1"/>
      <w:numFmt w:val="bullet"/>
      <w:lvlText w:val=""/>
      <w:lvlJc w:val="left"/>
      <w:pPr>
        <w:ind w:left="4320" w:hanging="360"/>
      </w:pPr>
      <w:rPr>
        <w:rFonts w:ascii="Wingdings" w:hAnsi="Wingdings" w:hint="default"/>
      </w:rPr>
    </w:lvl>
    <w:lvl w:ilvl="6" w:tplc="4AB0AC48" w:tentative="1">
      <w:start w:val="1"/>
      <w:numFmt w:val="bullet"/>
      <w:lvlText w:val=""/>
      <w:lvlJc w:val="left"/>
      <w:pPr>
        <w:ind w:left="5040" w:hanging="360"/>
      </w:pPr>
      <w:rPr>
        <w:rFonts w:ascii="Symbol" w:hAnsi="Symbol" w:hint="default"/>
      </w:rPr>
    </w:lvl>
    <w:lvl w:ilvl="7" w:tplc="B226EBA4" w:tentative="1">
      <w:start w:val="1"/>
      <w:numFmt w:val="bullet"/>
      <w:lvlText w:val="o"/>
      <w:lvlJc w:val="left"/>
      <w:pPr>
        <w:ind w:left="5760" w:hanging="360"/>
      </w:pPr>
      <w:rPr>
        <w:rFonts w:ascii="Courier New" w:hAnsi="Courier New" w:hint="default"/>
      </w:rPr>
    </w:lvl>
    <w:lvl w:ilvl="8" w:tplc="B308BA4A" w:tentative="1">
      <w:start w:val="1"/>
      <w:numFmt w:val="bullet"/>
      <w:lvlText w:val=""/>
      <w:lvlJc w:val="left"/>
      <w:pPr>
        <w:ind w:left="6480" w:hanging="360"/>
      </w:pPr>
      <w:rPr>
        <w:rFonts w:ascii="Wingdings" w:hAnsi="Wingdings" w:hint="default"/>
      </w:rPr>
    </w:lvl>
  </w:abstractNum>
  <w:abstractNum w:abstractNumId="49" w15:restartNumberingAfterBreak="0">
    <w:nsid w:val="7523017C"/>
    <w:multiLevelType w:val="hybridMultilevel"/>
    <w:tmpl w:val="48A2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6372C4"/>
    <w:multiLevelType w:val="multilevel"/>
    <w:tmpl w:val="267A65C0"/>
    <w:lvl w:ilvl="0">
      <w:start w:val="1"/>
      <w:numFmt w:val="decimal"/>
      <w:lvlText w:val="%1."/>
      <w:lvlJc w:val="left"/>
      <w:pPr>
        <w:ind w:left="558" w:hanging="360"/>
      </w:pPr>
      <w:rPr>
        <w:rFonts w:hint="default"/>
        <w:color w:val="3F4A75" w:themeColor="text2"/>
        <w:sz w:val="20"/>
      </w:rPr>
    </w:lvl>
    <w:lvl w:ilvl="1">
      <w:start w:val="1"/>
      <w:numFmt w:val="bullet"/>
      <w:lvlText w:val="–"/>
      <w:lvlJc w:val="left"/>
      <w:pPr>
        <w:ind w:left="936" w:hanging="369"/>
      </w:pPr>
      <w:rPr>
        <w:rFonts w:ascii="Times New Roman" w:hAnsi="Times New Roman" w:cs="Times New Roman" w:hint="default"/>
        <w:color w:val="auto"/>
      </w:rPr>
    </w:lvl>
    <w:lvl w:ilvl="2">
      <w:start w:val="1"/>
      <w:numFmt w:val="bullet"/>
      <w:lvlText w:val=""/>
      <w:lvlJc w:val="left"/>
      <w:pPr>
        <w:ind w:left="1304" w:hanging="368"/>
      </w:pPr>
      <w:rPr>
        <w:rFonts w:ascii="Symbol" w:hAnsi="Symbol" w:hint="default"/>
        <w:color w:val="3F4A75" w:themeColor="text2"/>
      </w:rPr>
    </w:lvl>
    <w:lvl w:ilvl="3">
      <w:start w:val="1"/>
      <w:numFmt w:val="bullet"/>
      <w:lvlText w:val=""/>
      <w:lvlJc w:val="left"/>
      <w:pPr>
        <w:ind w:left="1673" w:hanging="369"/>
      </w:pPr>
      <w:rPr>
        <w:rFonts w:ascii="Symbol" w:hAnsi="Symbol" w:hint="default"/>
        <w:color w:val="3F4A75" w:themeColor="text2"/>
      </w:rPr>
    </w:lvl>
    <w:lvl w:ilvl="4">
      <w:start w:val="1"/>
      <w:numFmt w:val="bullet"/>
      <w:lvlText w:val="o"/>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o"/>
      <w:lvlJc w:val="left"/>
      <w:pPr>
        <w:tabs>
          <w:tab w:val="num" w:pos="5760"/>
        </w:tabs>
        <w:ind w:left="5760" w:hanging="360"/>
      </w:pPr>
      <w:rPr>
        <w:rFonts w:hint="default"/>
      </w:rPr>
    </w:lvl>
    <w:lvl w:ilvl="8">
      <w:start w:val="1"/>
      <w:numFmt w:val="bullet"/>
      <w:lvlText w:val=""/>
      <w:lvlJc w:val="left"/>
      <w:pPr>
        <w:tabs>
          <w:tab w:val="num" w:pos="6480"/>
        </w:tabs>
        <w:ind w:left="6480" w:hanging="360"/>
      </w:pPr>
      <w:rPr>
        <w:rFonts w:hint="default"/>
      </w:rPr>
    </w:lvl>
  </w:abstractNum>
  <w:abstractNum w:abstractNumId="51" w15:restartNumberingAfterBreak="0">
    <w:nsid w:val="7A6961C4"/>
    <w:multiLevelType w:val="hybridMultilevel"/>
    <w:tmpl w:val="BED0D650"/>
    <w:lvl w:ilvl="0" w:tplc="6D46A69C">
      <w:start w:val="1"/>
      <w:numFmt w:val="bullet"/>
      <w:lvlText w:val="•"/>
      <w:lvlJc w:val="left"/>
      <w:pPr>
        <w:tabs>
          <w:tab w:val="num" w:pos="720"/>
        </w:tabs>
        <w:ind w:left="720" w:hanging="360"/>
      </w:pPr>
      <w:rPr>
        <w:rFonts w:ascii="Arial" w:hAnsi="Arial" w:hint="default"/>
      </w:rPr>
    </w:lvl>
    <w:lvl w:ilvl="1" w:tplc="3EEC6EE6">
      <w:start w:val="1"/>
      <w:numFmt w:val="bullet"/>
      <w:lvlText w:val="•"/>
      <w:lvlJc w:val="left"/>
      <w:pPr>
        <w:tabs>
          <w:tab w:val="num" w:pos="1440"/>
        </w:tabs>
        <w:ind w:left="1440" w:hanging="360"/>
      </w:pPr>
      <w:rPr>
        <w:rFonts w:ascii="Arial" w:hAnsi="Arial" w:hint="default"/>
      </w:rPr>
    </w:lvl>
    <w:lvl w:ilvl="2" w:tplc="087CE96E" w:tentative="1">
      <w:start w:val="1"/>
      <w:numFmt w:val="bullet"/>
      <w:lvlText w:val="•"/>
      <w:lvlJc w:val="left"/>
      <w:pPr>
        <w:tabs>
          <w:tab w:val="num" w:pos="2160"/>
        </w:tabs>
        <w:ind w:left="2160" w:hanging="360"/>
      </w:pPr>
      <w:rPr>
        <w:rFonts w:ascii="Arial" w:hAnsi="Arial" w:hint="default"/>
      </w:rPr>
    </w:lvl>
    <w:lvl w:ilvl="3" w:tplc="BC6AA726" w:tentative="1">
      <w:start w:val="1"/>
      <w:numFmt w:val="bullet"/>
      <w:lvlText w:val="•"/>
      <w:lvlJc w:val="left"/>
      <w:pPr>
        <w:tabs>
          <w:tab w:val="num" w:pos="2880"/>
        </w:tabs>
        <w:ind w:left="2880" w:hanging="360"/>
      </w:pPr>
      <w:rPr>
        <w:rFonts w:ascii="Arial" w:hAnsi="Arial" w:hint="default"/>
      </w:rPr>
    </w:lvl>
    <w:lvl w:ilvl="4" w:tplc="EB68B67C" w:tentative="1">
      <w:start w:val="1"/>
      <w:numFmt w:val="bullet"/>
      <w:lvlText w:val="•"/>
      <w:lvlJc w:val="left"/>
      <w:pPr>
        <w:tabs>
          <w:tab w:val="num" w:pos="3600"/>
        </w:tabs>
        <w:ind w:left="3600" w:hanging="360"/>
      </w:pPr>
      <w:rPr>
        <w:rFonts w:ascii="Arial" w:hAnsi="Arial" w:hint="default"/>
      </w:rPr>
    </w:lvl>
    <w:lvl w:ilvl="5" w:tplc="5DF263A6" w:tentative="1">
      <w:start w:val="1"/>
      <w:numFmt w:val="bullet"/>
      <w:lvlText w:val="•"/>
      <w:lvlJc w:val="left"/>
      <w:pPr>
        <w:tabs>
          <w:tab w:val="num" w:pos="4320"/>
        </w:tabs>
        <w:ind w:left="4320" w:hanging="360"/>
      </w:pPr>
      <w:rPr>
        <w:rFonts w:ascii="Arial" w:hAnsi="Arial" w:hint="default"/>
      </w:rPr>
    </w:lvl>
    <w:lvl w:ilvl="6" w:tplc="5A060A42" w:tentative="1">
      <w:start w:val="1"/>
      <w:numFmt w:val="bullet"/>
      <w:lvlText w:val="•"/>
      <w:lvlJc w:val="left"/>
      <w:pPr>
        <w:tabs>
          <w:tab w:val="num" w:pos="5040"/>
        </w:tabs>
        <w:ind w:left="5040" w:hanging="360"/>
      </w:pPr>
      <w:rPr>
        <w:rFonts w:ascii="Arial" w:hAnsi="Arial" w:hint="default"/>
      </w:rPr>
    </w:lvl>
    <w:lvl w:ilvl="7" w:tplc="033C7E60" w:tentative="1">
      <w:start w:val="1"/>
      <w:numFmt w:val="bullet"/>
      <w:lvlText w:val="•"/>
      <w:lvlJc w:val="left"/>
      <w:pPr>
        <w:tabs>
          <w:tab w:val="num" w:pos="5760"/>
        </w:tabs>
        <w:ind w:left="5760" w:hanging="360"/>
      </w:pPr>
      <w:rPr>
        <w:rFonts w:ascii="Arial" w:hAnsi="Arial" w:hint="default"/>
      </w:rPr>
    </w:lvl>
    <w:lvl w:ilvl="8" w:tplc="C5BA20E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A97420A"/>
    <w:multiLevelType w:val="hybridMultilevel"/>
    <w:tmpl w:val="C02E58BC"/>
    <w:lvl w:ilvl="0" w:tplc="3B269FD4">
      <w:start w:val="1"/>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AC65724"/>
    <w:multiLevelType w:val="hybridMultilevel"/>
    <w:tmpl w:val="C9F42878"/>
    <w:lvl w:ilvl="0" w:tplc="DEE0E56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A204C2"/>
    <w:multiLevelType w:val="multilevel"/>
    <w:tmpl w:val="267A65C0"/>
    <w:lvl w:ilvl="0">
      <w:start w:val="1"/>
      <w:numFmt w:val="decimal"/>
      <w:lvlText w:val="%1."/>
      <w:lvlJc w:val="left"/>
      <w:pPr>
        <w:ind w:left="558" w:hanging="360"/>
      </w:pPr>
      <w:rPr>
        <w:rFonts w:hint="default"/>
        <w:color w:val="3F4A75" w:themeColor="text2"/>
        <w:sz w:val="20"/>
      </w:rPr>
    </w:lvl>
    <w:lvl w:ilvl="1">
      <w:start w:val="1"/>
      <w:numFmt w:val="bullet"/>
      <w:lvlText w:val="–"/>
      <w:lvlJc w:val="left"/>
      <w:pPr>
        <w:ind w:left="936" w:hanging="369"/>
      </w:pPr>
      <w:rPr>
        <w:rFonts w:ascii="Times New Roman" w:hAnsi="Times New Roman" w:cs="Times New Roman" w:hint="default"/>
        <w:color w:val="auto"/>
      </w:rPr>
    </w:lvl>
    <w:lvl w:ilvl="2">
      <w:start w:val="1"/>
      <w:numFmt w:val="bullet"/>
      <w:lvlText w:val=""/>
      <w:lvlJc w:val="left"/>
      <w:pPr>
        <w:ind w:left="1304" w:hanging="368"/>
      </w:pPr>
      <w:rPr>
        <w:rFonts w:ascii="Symbol" w:hAnsi="Symbol" w:hint="default"/>
        <w:color w:val="3F4A75" w:themeColor="text2"/>
      </w:rPr>
    </w:lvl>
    <w:lvl w:ilvl="3">
      <w:start w:val="1"/>
      <w:numFmt w:val="bullet"/>
      <w:lvlText w:val=""/>
      <w:lvlJc w:val="left"/>
      <w:pPr>
        <w:ind w:left="1673" w:hanging="369"/>
      </w:pPr>
      <w:rPr>
        <w:rFonts w:ascii="Symbol" w:hAnsi="Symbol" w:hint="default"/>
        <w:color w:val="3F4A75" w:themeColor="text2"/>
      </w:rPr>
    </w:lvl>
    <w:lvl w:ilvl="4">
      <w:start w:val="1"/>
      <w:numFmt w:val="bullet"/>
      <w:lvlText w:val="o"/>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o"/>
      <w:lvlJc w:val="left"/>
      <w:pPr>
        <w:tabs>
          <w:tab w:val="num" w:pos="5760"/>
        </w:tabs>
        <w:ind w:left="5760" w:hanging="360"/>
      </w:pPr>
      <w:rPr>
        <w:rFonts w:hint="default"/>
      </w:rPr>
    </w:lvl>
    <w:lvl w:ilvl="8">
      <w:start w:val="1"/>
      <w:numFmt w:val="bullet"/>
      <w:lvlText w:val=""/>
      <w:lvlJc w:val="left"/>
      <w:pPr>
        <w:tabs>
          <w:tab w:val="num" w:pos="6480"/>
        </w:tabs>
        <w:ind w:left="6480" w:hanging="360"/>
      </w:pPr>
      <w:rPr>
        <w:rFonts w:hint="default"/>
      </w:rPr>
    </w:lvl>
  </w:abstractNum>
  <w:num w:numId="1" w16cid:durableId="638191149">
    <w:abstractNumId w:val="35"/>
  </w:num>
  <w:num w:numId="2" w16cid:durableId="503975017">
    <w:abstractNumId w:val="48"/>
  </w:num>
  <w:num w:numId="3" w16cid:durableId="215359669">
    <w:abstractNumId w:val="3"/>
  </w:num>
  <w:num w:numId="4" w16cid:durableId="1602563032">
    <w:abstractNumId w:val="29"/>
  </w:num>
  <w:num w:numId="5" w16cid:durableId="1208296818">
    <w:abstractNumId w:val="27"/>
  </w:num>
  <w:num w:numId="6" w16cid:durableId="2063015131">
    <w:abstractNumId w:val="0"/>
  </w:num>
  <w:num w:numId="7" w16cid:durableId="967321005">
    <w:abstractNumId w:val="25"/>
  </w:num>
  <w:num w:numId="8" w16cid:durableId="638262848">
    <w:abstractNumId w:val="33"/>
  </w:num>
  <w:num w:numId="9" w16cid:durableId="2135784519">
    <w:abstractNumId w:val="45"/>
  </w:num>
  <w:num w:numId="10" w16cid:durableId="1949503456">
    <w:abstractNumId w:val="17"/>
  </w:num>
  <w:num w:numId="11" w16cid:durableId="1024092363">
    <w:abstractNumId w:val="12"/>
  </w:num>
  <w:num w:numId="12" w16cid:durableId="1078554063">
    <w:abstractNumId w:val="52"/>
  </w:num>
  <w:num w:numId="13" w16cid:durableId="476991907">
    <w:abstractNumId w:val="19"/>
  </w:num>
  <w:num w:numId="14" w16cid:durableId="738677328">
    <w:abstractNumId w:val="47"/>
  </w:num>
  <w:num w:numId="15" w16cid:durableId="1150754740">
    <w:abstractNumId w:val="9"/>
  </w:num>
  <w:num w:numId="16" w16cid:durableId="1807623660">
    <w:abstractNumId w:val="14"/>
  </w:num>
  <w:num w:numId="17" w16cid:durableId="557786711">
    <w:abstractNumId w:val="50"/>
  </w:num>
  <w:num w:numId="18" w16cid:durableId="1146047086">
    <w:abstractNumId w:val="54"/>
  </w:num>
  <w:num w:numId="19" w16cid:durableId="1102457988">
    <w:abstractNumId w:val="30"/>
  </w:num>
  <w:num w:numId="20" w16cid:durableId="617764800">
    <w:abstractNumId w:val="44"/>
  </w:num>
  <w:num w:numId="21" w16cid:durableId="1780637213">
    <w:abstractNumId w:val="5"/>
  </w:num>
  <w:num w:numId="22" w16cid:durableId="2012950206">
    <w:abstractNumId w:val="29"/>
  </w:num>
  <w:num w:numId="23" w16cid:durableId="1139767618">
    <w:abstractNumId w:val="29"/>
  </w:num>
  <w:num w:numId="24" w16cid:durableId="810908309">
    <w:abstractNumId w:val="26"/>
  </w:num>
  <w:num w:numId="25" w16cid:durableId="1096942831">
    <w:abstractNumId w:val="27"/>
  </w:num>
  <w:num w:numId="26" w16cid:durableId="1392996961">
    <w:abstractNumId w:val="27"/>
  </w:num>
  <w:num w:numId="27" w16cid:durableId="218519498">
    <w:abstractNumId w:val="27"/>
  </w:num>
  <w:num w:numId="28" w16cid:durableId="201787987">
    <w:abstractNumId w:val="27"/>
  </w:num>
  <w:num w:numId="29" w16cid:durableId="176232419">
    <w:abstractNumId w:val="13"/>
  </w:num>
  <w:num w:numId="30" w16cid:durableId="1592079808">
    <w:abstractNumId w:val="32"/>
  </w:num>
  <w:num w:numId="31" w16cid:durableId="1880358945">
    <w:abstractNumId w:val="40"/>
  </w:num>
  <w:num w:numId="32" w16cid:durableId="1065836320">
    <w:abstractNumId w:val="7"/>
  </w:num>
  <w:num w:numId="33" w16cid:durableId="1794245909">
    <w:abstractNumId w:val="46"/>
  </w:num>
  <w:num w:numId="34" w16cid:durableId="1158614427">
    <w:abstractNumId w:val="18"/>
  </w:num>
  <w:num w:numId="35" w16cid:durableId="1048915962">
    <w:abstractNumId w:val="51"/>
  </w:num>
  <w:num w:numId="36" w16cid:durableId="1890993595">
    <w:abstractNumId w:val="36"/>
  </w:num>
  <w:num w:numId="37" w16cid:durableId="1640109183">
    <w:abstractNumId w:val="23"/>
  </w:num>
  <w:num w:numId="38" w16cid:durableId="96291645">
    <w:abstractNumId w:val="10"/>
  </w:num>
  <w:num w:numId="39" w16cid:durableId="1260675292">
    <w:abstractNumId w:val="38"/>
  </w:num>
  <w:num w:numId="40" w16cid:durableId="17976698">
    <w:abstractNumId w:val="49"/>
  </w:num>
  <w:num w:numId="41" w16cid:durableId="1485048825">
    <w:abstractNumId w:val="34"/>
  </w:num>
  <w:num w:numId="42" w16cid:durableId="200441357">
    <w:abstractNumId w:val="42"/>
  </w:num>
  <w:num w:numId="43" w16cid:durableId="13587790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71761709">
    <w:abstractNumId w:val="6"/>
  </w:num>
  <w:num w:numId="45" w16cid:durableId="251088229">
    <w:abstractNumId w:val="22"/>
  </w:num>
  <w:num w:numId="46" w16cid:durableId="775977876">
    <w:abstractNumId w:val="21"/>
  </w:num>
  <w:num w:numId="47" w16cid:durableId="1549799236">
    <w:abstractNumId w:val="20"/>
  </w:num>
  <w:num w:numId="48" w16cid:durableId="734351755">
    <w:abstractNumId w:val="15"/>
  </w:num>
  <w:num w:numId="49" w16cid:durableId="237372175">
    <w:abstractNumId w:val="2"/>
  </w:num>
  <w:num w:numId="50" w16cid:durableId="1723943958">
    <w:abstractNumId w:val="24"/>
  </w:num>
  <w:num w:numId="51" w16cid:durableId="356545964">
    <w:abstractNumId w:val="4"/>
  </w:num>
  <w:num w:numId="52" w16cid:durableId="1848671039">
    <w:abstractNumId w:val="1"/>
  </w:num>
  <w:num w:numId="53" w16cid:durableId="765931055">
    <w:abstractNumId w:val="53"/>
  </w:num>
  <w:num w:numId="54" w16cid:durableId="1839538212">
    <w:abstractNumId w:val="41"/>
  </w:num>
  <w:num w:numId="55" w16cid:durableId="1244297614">
    <w:abstractNumId w:val="11"/>
  </w:num>
  <w:num w:numId="56" w16cid:durableId="448822750">
    <w:abstractNumId w:val="28"/>
  </w:num>
  <w:num w:numId="57" w16cid:durableId="1957369005">
    <w:abstractNumId w:val="8"/>
  </w:num>
  <w:num w:numId="58" w16cid:durableId="1579562077">
    <w:abstractNumId w:val="31"/>
  </w:num>
  <w:num w:numId="59" w16cid:durableId="863597110">
    <w:abstractNumId w:val="37"/>
  </w:num>
  <w:num w:numId="60" w16cid:durableId="1451780882">
    <w:abstractNumId w:val="39"/>
  </w:num>
  <w:num w:numId="61" w16cid:durableId="36006397">
    <w:abstractNumId w:val="43"/>
  </w:num>
  <w:num w:numId="62" w16cid:durableId="1383795774">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A"/>
    <w:rsid w:val="0000001D"/>
    <w:rsid w:val="0000009A"/>
    <w:rsid w:val="0000014C"/>
    <w:rsid w:val="00000310"/>
    <w:rsid w:val="00000334"/>
    <w:rsid w:val="000003E7"/>
    <w:rsid w:val="000003F9"/>
    <w:rsid w:val="00000412"/>
    <w:rsid w:val="0000042D"/>
    <w:rsid w:val="0000049D"/>
    <w:rsid w:val="0000050D"/>
    <w:rsid w:val="0000059B"/>
    <w:rsid w:val="00000647"/>
    <w:rsid w:val="00000682"/>
    <w:rsid w:val="000006B3"/>
    <w:rsid w:val="000006B7"/>
    <w:rsid w:val="00000731"/>
    <w:rsid w:val="0000088D"/>
    <w:rsid w:val="00000A64"/>
    <w:rsid w:val="00000AAC"/>
    <w:rsid w:val="00000C65"/>
    <w:rsid w:val="00000CBF"/>
    <w:rsid w:val="00000D13"/>
    <w:rsid w:val="00000DFF"/>
    <w:rsid w:val="00000E1F"/>
    <w:rsid w:val="00000E34"/>
    <w:rsid w:val="00000F5B"/>
    <w:rsid w:val="00001049"/>
    <w:rsid w:val="000010B0"/>
    <w:rsid w:val="0000129C"/>
    <w:rsid w:val="00001597"/>
    <w:rsid w:val="000015FE"/>
    <w:rsid w:val="000016AC"/>
    <w:rsid w:val="0000174F"/>
    <w:rsid w:val="0000188A"/>
    <w:rsid w:val="000018D4"/>
    <w:rsid w:val="0000199B"/>
    <w:rsid w:val="00001A49"/>
    <w:rsid w:val="00001C6C"/>
    <w:rsid w:val="00001CF9"/>
    <w:rsid w:val="00001D21"/>
    <w:rsid w:val="00001E3E"/>
    <w:rsid w:val="00001E6A"/>
    <w:rsid w:val="00001F4A"/>
    <w:rsid w:val="00001FD3"/>
    <w:rsid w:val="000020B6"/>
    <w:rsid w:val="0000216F"/>
    <w:rsid w:val="0000220C"/>
    <w:rsid w:val="0000239F"/>
    <w:rsid w:val="000023D1"/>
    <w:rsid w:val="0000268B"/>
    <w:rsid w:val="0000283F"/>
    <w:rsid w:val="00002872"/>
    <w:rsid w:val="00002886"/>
    <w:rsid w:val="00002935"/>
    <w:rsid w:val="00002957"/>
    <w:rsid w:val="000029C7"/>
    <w:rsid w:val="00002ACC"/>
    <w:rsid w:val="00002CD8"/>
    <w:rsid w:val="00002DE1"/>
    <w:rsid w:val="00002E16"/>
    <w:rsid w:val="00002F7D"/>
    <w:rsid w:val="00003016"/>
    <w:rsid w:val="00003151"/>
    <w:rsid w:val="0000320D"/>
    <w:rsid w:val="0000327E"/>
    <w:rsid w:val="000032B7"/>
    <w:rsid w:val="0000336C"/>
    <w:rsid w:val="00003372"/>
    <w:rsid w:val="000033DF"/>
    <w:rsid w:val="00003402"/>
    <w:rsid w:val="00003403"/>
    <w:rsid w:val="00003493"/>
    <w:rsid w:val="00003515"/>
    <w:rsid w:val="00003584"/>
    <w:rsid w:val="00003608"/>
    <w:rsid w:val="0000367E"/>
    <w:rsid w:val="00003743"/>
    <w:rsid w:val="00003810"/>
    <w:rsid w:val="0000384D"/>
    <w:rsid w:val="000039BB"/>
    <w:rsid w:val="00003AA2"/>
    <w:rsid w:val="00003BDC"/>
    <w:rsid w:val="00003C45"/>
    <w:rsid w:val="00003CF4"/>
    <w:rsid w:val="00003D19"/>
    <w:rsid w:val="00003E7F"/>
    <w:rsid w:val="00003E9B"/>
    <w:rsid w:val="00003EDC"/>
    <w:rsid w:val="00003F48"/>
    <w:rsid w:val="00003F53"/>
    <w:rsid w:val="0000405F"/>
    <w:rsid w:val="000040AF"/>
    <w:rsid w:val="000040F8"/>
    <w:rsid w:val="0000417C"/>
    <w:rsid w:val="00004307"/>
    <w:rsid w:val="00004413"/>
    <w:rsid w:val="00004417"/>
    <w:rsid w:val="00004422"/>
    <w:rsid w:val="00004456"/>
    <w:rsid w:val="00004561"/>
    <w:rsid w:val="00004570"/>
    <w:rsid w:val="0000478D"/>
    <w:rsid w:val="000047B4"/>
    <w:rsid w:val="00004812"/>
    <w:rsid w:val="00004867"/>
    <w:rsid w:val="000048DE"/>
    <w:rsid w:val="000048E9"/>
    <w:rsid w:val="000048F9"/>
    <w:rsid w:val="00004BF1"/>
    <w:rsid w:val="00004D45"/>
    <w:rsid w:val="00004F98"/>
    <w:rsid w:val="00004FFD"/>
    <w:rsid w:val="0000509A"/>
    <w:rsid w:val="000051DA"/>
    <w:rsid w:val="000052AB"/>
    <w:rsid w:val="00005323"/>
    <w:rsid w:val="000054A4"/>
    <w:rsid w:val="0000558A"/>
    <w:rsid w:val="00005656"/>
    <w:rsid w:val="00005687"/>
    <w:rsid w:val="000056D8"/>
    <w:rsid w:val="000056F4"/>
    <w:rsid w:val="00005712"/>
    <w:rsid w:val="00005781"/>
    <w:rsid w:val="000057C9"/>
    <w:rsid w:val="0000580D"/>
    <w:rsid w:val="000058CF"/>
    <w:rsid w:val="00005A93"/>
    <w:rsid w:val="00005B08"/>
    <w:rsid w:val="00005CE4"/>
    <w:rsid w:val="00005E60"/>
    <w:rsid w:val="00005F35"/>
    <w:rsid w:val="00006110"/>
    <w:rsid w:val="000061C2"/>
    <w:rsid w:val="000063FB"/>
    <w:rsid w:val="000064E4"/>
    <w:rsid w:val="00006513"/>
    <w:rsid w:val="0000672C"/>
    <w:rsid w:val="000067DD"/>
    <w:rsid w:val="0000682D"/>
    <w:rsid w:val="00006914"/>
    <w:rsid w:val="00006965"/>
    <w:rsid w:val="00006971"/>
    <w:rsid w:val="00006AD7"/>
    <w:rsid w:val="00006B6B"/>
    <w:rsid w:val="00006C2D"/>
    <w:rsid w:val="00006D3E"/>
    <w:rsid w:val="00006D87"/>
    <w:rsid w:val="00006E2E"/>
    <w:rsid w:val="00006FF5"/>
    <w:rsid w:val="00007030"/>
    <w:rsid w:val="000070F3"/>
    <w:rsid w:val="0000716A"/>
    <w:rsid w:val="000071E1"/>
    <w:rsid w:val="00007399"/>
    <w:rsid w:val="0000749A"/>
    <w:rsid w:val="000075AF"/>
    <w:rsid w:val="000076B5"/>
    <w:rsid w:val="00007766"/>
    <w:rsid w:val="00007AAB"/>
    <w:rsid w:val="00007B4B"/>
    <w:rsid w:val="00007C70"/>
    <w:rsid w:val="00007D68"/>
    <w:rsid w:val="00007DEF"/>
    <w:rsid w:val="00007E67"/>
    <w:rsid w:val="00007E84"/>
    <w:rsid w:val="00007F77"/>
    <w:rsid w:val="00007FC1"/>
    <w:rsid w:val="00007FD8"/>
    <w:rsid w:val="00007FE4"/>
    <w:rsid w:val="00010030"/>
    <w:rsid w:val="00010153"/>
    <w:rsid w:val="00010556"/>
    <w:rsid w:val="000105CF"/>
    <w:rsid w:val="00010672"/>
    <w:rsid w:val="0001087B"/>
    <w:rsid w:val="00010A8A"/>
    <w:rsid w:val="00010D26"/>
    <w:rsid w:val="00010DEA"/>
    <w:rsid w:val="00010ED9"/>
    <w:rsid w:val="00011031"/>
    <w:rsid w:val="00011205"/>
    <w:rsid w:val="000112C9"/>
    <w:rsid w:val="00011308"/>
    <w:rsid w:val="00011457"/>
    <w:rsid w:val="00011492"/>
    <w:rsid w:val="000114FD"/>
    <w:rsid w:val="000115C0"/>
    <w:rsid w:val="0001165E"/>
    <w:rsid w:val="000116E9"/>
    <w:rsid w:val="000116EC"/>
    <w:rsid w:val="000117F8"/>
    <w:rsid w:val="00011825"/>
    <w:rsid w:val="00011963"/>
    <w:rsid w:val="000119CE"/>
    <w:rsid w:val="00011B2E"/>
    <w:rsid w:val="00011B79"/>
    <w:rsid w:val="00011B9F"/>
    <w:rsid w:val="00011C5C"/>
    <w:rsid w:val="00011C8E"/>
    <w:rsid w:val="00011F10"/>
    <w:rsid w:val="00011F55"/>
    <w:rsid w:val="00012036"/>
    <w:rsid w:val="00012305"/>
    <w:rsid w:val="00012311"/>
    <w:rsid w:val="00012457"/>
    <w:rsid w:val="000124A2"/>
    <w:rsid w:val="0001267A"/>
    <w:rsid w:val="0001272B"/>
    <w:rsid w:val="0001273B"/>
    <w:rsid w:val="000127AE"/>
    <w:rsid w:val="000128D7"/>
    <w:rsid w:val="000128EB"/>
    <w:rsid w:val="00012B1B"/>
    <w:rsid w:val="00012B35"/>
    <w:rsid w:val="00012BD8"/>
    <w:rsid w:val="00012BEC"/>
    <w:rsid w:val="00012C1C"/>
    <w:rsid w:val="00012CC7"/>
    <w:rsid w:val="00012D49"/>
    <w:rsid w:val="00012D68"/>
    <w:rsid w:val="00012F56"/>
    <w:rsid w:val="0001301E"/>
    <w:rsid w:val="00013078"/>
    <w:rsid w:val="00013097"/>
    <w:rsid w:val="00013110"/>
    <w:rsid w:val="000131E3"/>
    <w:rsid w:val="000132B6"/>
    <w:rsid w:val="000133AB"/>
    <w:rsid w:val="000133F2"/>
    <w:rsid w:val="0001343B"/>
    <w:rsid w:val="000134F4"/>
    <w:rsid w:val="0001366F"/>
    <w:rsid w:val="00013741"/>
    <w:rsid w:val="00013936"/>
    <w:rsid w:val="00013A69"/>
    <w:rsid w:val="00013A89"/>
    <w:rsid w:val="00013B9E"/>
    <w:rsid w:val="00013BB9"/>
    <w:rsid w:val="00013DE2"/>
    <w:rsid w:val="00013E1F"/>
    <w:rsid w:val="00013F12"/>
    <w:rsid w:val="00013F21"/>
    <w:rsid w:val="00013FE3"/>
    <w:rsid w:val="000140D9"/>
    <w:rsid w:val="000141F2"/>
    <w:rsid w:val="000142D6"/>
    <w:rsid w:val="000143F2"/>
    <w:rsid w:val="0001456A"/>
    <w:rsid w:val="0001460F"/>
    <w:rsid w:val="000146BB"/>
    <w:rsid w:val="000147DB"/>
    <w:rsid w:val="000148B4"/>
    <w:rsid w:val="00014953"/>
    <w:rsid w:val="000149A0"/>
    <w:rsid w:val="00014A3C"/>
    <w:rsid w:val="00014BDB"/>
    <w:rsid w:val="00014C2B"/>
    <w:rsid w:val="00014E8B"/>
    <w:rsid w:val="00014F39"/>
    <w:rsid w:val="00014F8B"/>
    <w:rsid w:val="000150D2"/>
    <w:rsid w:val="00015499"/>
    <w:rsid w:val="0001555A"/>
    <w:rsid w:val="000156E1"/>
    <w:rsid w:val="00015778"/>
    <w:rsid w:val="0001579E"/>
    <w:rsid w:val="00015805"/>
    <w:rsid w:val="0001580D"/>
    <w:rsid w:val="00015885"/>
    <w:rsid w:val="000158D1"/>
    <w:rsid w:val="00015937"/>
    <w:rsid w:val="000159B2"/>
    <w:rsid w:val="00015B09"/>
    <w:rsid w:val="00015B78"/>
    <w:rsid w:val="00015CC4"/>
    <w:rsid w:val="00015D05"/>
    <w:rsid w:val="00015D1F"/>
    <w:rsid w:val="00015D36"/>
    <w:rsid w:val="00015E9F"/>
    <w:rsid w:val="00015EE2"/>
    <w:rsid w:val="00015F28"/>
    <w:rsid w:val="00015F61"/>
    <w:rsid w:val="0001619B"/>
    <w:rsid w:val="000161C4"/>
    <w:rsid w:val="0001621C"/>
    <w:rsid w:val="0001659F"/>
    <w:rsid w:val="000165C9"/>
    <w:rsid w:val="000167C6"/>
    <w:rsid w:val="000168FA"/>
    <w:rsid w:val="00016A16"/>
    <w:rsid w:val="00016AE5"/>
    <w:rsid w:val="00016B29"/>
    <w:rsid w:val="00016C2E"/>
    <w:rsid w:val="00016C42"/>
    <w:rsid w:val="00016C83"/>
    <w:rsid w:val="00016FBF"/>
    <w:rsid w:val="00017059"/>
    <w:rsid w:val="000171DD"/>
    <w:rsid w:val="00017244"/>
    <w:rsid w:val="000174B0"/>
    <w:rsid w:val="00017545"/>
    <w:rsid w:val="00017606"/>
    <w:rsid w:val="000176A0"/>
    <w:rsid w:val="000177DB"/>
    <w:rsid w:val="000177E1"/>
    <w:rsid w:val="000178B5"/>
    <w:rsid w:val="000178C8"/>
    <w:rsid w:val="0001794D"/>
    <w:rsid w:val="00017A1F"/>
    <w:rsid w:val="00017A8E"/>
    <w:rsid w:val="00017BB8"/>
    <w:rsid w:val="00017C8D"/>
    <w:rsid w:val="00017CD9"/>
    <w:rsid w:val="00017CF8"/>
    <w:rsid w:val="00017CFC"/>
    <w:rsid w:val="00017D12"/>
    <w:rsid w:val="00017D2A"/>
    <w:rsid w:val="00017D5A"/>
    <w:rsid w:val="00017DF7"/>
    <w:rsid w:val="00017EDF"/>
    <w:rsid w:val="00017FDF"/>
    <w:rsid w:val="0002002F"/>
    <w:rsid w:val="00020060"/>
    <w:rsid w:val="00020211"/>
    <w:rsid w:val="00020238"/>
    <w:rsid w:val="00020244"/>
    <w:rsid w:val="0002024C"/>
    <w:rsid w:val="0002029D"/>
    <w:rsid w:val="000202EB"/>
    <w:rsid w:val="0002039D"/>
    <w:rsid w:val="000203C5"/>
    <w:rsid w:val="000204C2"/>
    <w:rsid w:val="000204F5"/>
    <w:rsid w:val="0002054D"/>
    <w:rsid w:val="0002067A"/>
    <w:rsid w:val="0002083D"/>
    <w:rsid w:val="000208CA"/>
    <w:rsid w:val="000209F0"/>
    <w:rsid w:val="00020A5F"/>
    <w:rsid w:val="00020A78"/>
    <w:rsid w:val="00020AB4"/>
    <w:rsid w:val="00020B1F"/>
    <w:rsid w:val="00020B3A"/>
    <w:rsid w:val="00020B97"/>
    <w:rsid w:val="00020CEF"/>
    <w:rsid w:val="00021018"/>
    <w:rsid w:val="0002101E"/>
    <w:rsid w:val="0002113B"/>
    <w:rsid w:val="00021398"/>
    <w:rsid w:val="0002140F"/>
    <w:rsid w:val="000214A8"/>
    <w:rsid w:val="000214C8"/>
    <w:rsid w:val="000214EC"/>
    <w:rsid w:val="00021656"/>
    <w:rsid w:val="000217B5"/>
    <w:rsid w:val="00021824"/>
    <w:rsid w:val="000219F2"/>
    <w:rsid w:val="00021A09"/>
    <w:rsid w:val="00021B0A"/>
    <w:rsid w:val="00021BA8"/>
    <w:rsid w:val="00021BC9"/>
    <w:rsid w:val="00021DCA"/>
    <w:rsid w:val="00021E4D"/>
    <w:rsid w:val="00021FC5"/>
    <w:rsid w:val="000220BC"/>
    <w:rsid w:val="0002210E"/>
    <w:rsid w:val="00022134"/>
    <w:rsid w:val="0002216F"/>
    <w:rsid w:val="0002227D"/>
    <w:rsid w:val="00022332"/>
    <w:rsid w:val="000225AE"/>
    <w:rsid w:val="00022629"/>
    <w:rsid w:val="00022680"/>
    <w:rsid w:val="00022708"/>
    <w:rsid w:val="000227FE"/>
    <w:rsid w:val="00022845"/>
    <w:rsid w:val="0002292D"/>
    <w:rsid w:val="00022A56"/>
    <w:rsid w:val="00022A9B"/>
    <w:rsid w:val="00022B83"/>
    <w:rsid w:val="00022C70"/>
    <w:rsid w:val="00022DBA"/>
    <w:rsid w:val="00023275"/>
    <w:rsid w:val="0002328D"/>
    <w:rsid w:val="0002336C"/>
    <w:rsid w:val="00023490"/>
    <w:rsid w:val="00023569"/>
    <w:rsid w:val="000235DD"/>
    <w:rsid w:val="000235FB"/>
    <w:rsid w:val="0002377C"/>
    <w:rsid w:val="00023990"/>
    <w:rsid w:val="00023B2D"/>
    <w:rsid w:val="00023B76"/>
    <w:rsid w:val="00023CAD"/>
    <w:rsid w:val="00023E02"/>
    <w:rsid w:val="00023F7A"/>
    <w:rsid w:val="00024013"/>
    <w:rsid w:val="00024032"/>
    <w:rsid w:val="0002413F"/>
    <w:rsid w:val="00024186"/>
    <w:rsid w:val="000241B7"/>
    <w:rsid w:val="0002437B"/>
    <w:rsid w:val="0002442E"/>
    <w:rsid w:val="00024464"/>
    <w:rsid w:val="00024474"/>
    <w:rsid w:val="0002457C"/>
    <w:rsid w:val="000245AE"/>
    <w:rsid w:val="000247A3"/>
    <w:rsid w:val="0002488A"/>
    <w:rsid w:val="000248FC"/>
    <w:rsid w:val="00024967"/>
    <w:rsid w:val="00024997"/>
    <w:rsid w:val="00024A34"/>
    <w:rsid w:val="00024ACA"/>
    <w:rsid w:val="00024B30"/>
    <w:rsid w:val="00024B38"/>
    <w:rsid w:val="00024BA3"/>
    <w:rsid w:val="00024BC6"/>
    <w:rsid w:val="00024CBC"/>
    <w:rsid w:val="00024CF8"/>
    <w:rsid w:val="00024D8E"/>
    <w:rsid w:val="00025060"/>
    <w:rsid w:val="00025250"/>
    <w:rsid w:val="000252DF"/>
    <w:rsid w:val="00025528"/>
    <w:rsid w:val="00025544"/>
    <w:rsid w:val="00025786"/>
    <w:rsid w:val="000257E2"/>
    <w:rsid w:val="00025918"/>
    <w:rsid w:val="00025B43"/>
    <w:rsid w:val="00025BB1"/>
    <w:rsid w:val="00025C00"/>
    <w:rsid w:val="00025C2E"/>
    <w:rsid w:val="00025D43"/>
    <w:rsid w:val="00025E55"/>
    <w:rsid w:val="00025EB8"/>
    <w:rsid w:val="00025FC9"/>
    <w:rsid w:val="000260E6"/>
    <w:rsid w:val="0002610A"/>
    <w:rsid w:val="00026126"/>
    <w:rsid w:val="00026139"/>
    <w:rsid w:val="0002618C"/>
    <w:rsid w:val="0002618F"/>
    <w:rsid w:val="000261FB"/>
    <w:rsid w:val="00026279"/>
    <w:rsid w:val="00026304"/>
    <w:rsid w:val="00026364"/>
    <w:rsid w:val="0002637E"/>
    <w:rsid w:val="0002640D"/>
    <w:rsid w:val="0002650C"/>
    <w:rsid w:val="0002675D"/>
    <w:rsid w:val="00026762"/>
    <w:rsid w:val="000267B1"/>
    <w:rsid w:val="00026904"/>
    <w:rsid w:val="0002693D"/>
    <w:rsid w:val="000269C1"/>
    <w:rsid w:val="00026A41"/>
    <w:rsid w:val="00026D0C"/>
    <w:rsid w:val="00026D21"/>
    <w:rsid w:val="00026DC4"/>
    <w:rsid w:val="00026E18"/>
    <w:rsid w:val="00026E33"/>
    <w:rsid w:val="00026E77"/>
    <w:rsid w:val="00026F23"/>
    <w:rsid w:val="00026FA7"/>
    <w:rsid w:val="00026FDB"/>
    <w:rsid w:val="0002706E"/>
    <w:rsid w:val="000270CD"/>
    <w:rsid w:val="000271C6"/>
    <w:rsid w:val="0002726F"/>
    <w:rsid w:val="00027401"/>
    <w:rsid w:val="00027601"/>
    <w:rsid w:val="000276D1"/>
    <w:rsid w:val="00027926"/>
    <w:rsid w:val="00027967"/>
    <w:rsid w:val="00027AB3"/>
    <w:rsid w:val="00027BF3"/>
    <w:rsid w:val="00027C8A"/>
    <w:rsid w:val="00027C96"/>
    <w:rsid w:val="00027DD3"/>
    <w:rsid w:val="00027EAA"/>
    <w:rsid w:val="0002F1C4"/>
    <w:rsid w:val="000300E5"/>
    <w:rsid w:val="00030179"/>
    <w:rsid w:val="000301CD"/>
    <w:rsid w:val="00030270"/>
    <w:rsid w:val="000302D4"/>
    <w:rsid w:val="00030395"/>
    <w:rsid w:val="000303FD"/>
    <w:rsid w:val="0003041D"/>
    <w:rsid w:val="000305A7"/>
    <w:rsid w:val="000305DC"/>
    <w:rsid w:val="000306C8"/>
    <w:rsid w:val="00030740"/>
    <w:rsid w:val="000307AC"/>
    <w:rsid w:val="000308F7"/>
    <w:rsid w:val="00030918"/>
    <w:rsid w:val="00030AD7"/>
    <w:rsid w:val="00030AE0"/>
    <w:rsid w:val="00030AEE"/>
    <w:rsid w:val="00030BB1"/>
    <w:rsid w:val="00030C6A"/>
    <w:rsid w:val="00030D33"/>
    <w:rsid w:val="00030D81"/>
    <w:rsid w:val="00030DAC"/>
    <w:rsid w:val="00030DB2"/>
    <w:rsid w:val="00030E52"/>
    <w:rsid w:val="00030E7E"/>
    <w:rsid w:val="00030F7D"/>
    <w:rsid w:val="00031189"/>
    <w:rsid w:val="00031238"/>
    <w:rsid w:val="00031242"/>
    <w:rsid w:val="000316BF"/>
    <w:rsid w:val="0003172C"/>
    <w:rsid w:val="000317B8"/>
    <w:rsid w:val="000317CB"/>
    <w:rsid w:val="000317F6"/>
    <w:rsid w:val="0003185F"/>
    <w:rsid w:val="000319A4"/>
    <w:rsid w:val="000319FC"/>
    <w:rsid w:val="00031A41"/>
    <w:rsid w:val="00031A72"/>
    <w:rsid w:val="00031A95"/>
    <w:rsid w:val="00031AA4"/>
    <w:rsid w:val="00031DCC"/>
    <w:rsid w:val="00031E8B"/>
    <w:rsid w:val="00031FF3"/>
    <w:rsid w:val="00032122"/>
    <w:rsid w:val="000323FD"/>
    <w:rsid w:val="00032558"/>
    <w:rsid w:val="0003257C"/>
    <w:rsid w:val="00032683"/>
    <w:rsid w:val="00032706"/>
    <w:rsid w:val="00032713"/>
    <w:rsid w:val="00032836"/>
    <w:rsid w:val="00032910"/>
    <w:rsid w:val="00032A96"/>
    <w:rsid w:val="00032ACF"/>
    <w:rsid w:val="00032C59"/>
    <w:rsid w:val="00032CA8"/>
    <w:rsid w:val="00032D68"/>
    <w:rsid w:val="00032EB0"/>
    <w:rsid w:val="00032F59"/>
    <w:rsid w:val="00033088"/>
    <w:rsid w:val="00033115"/>
    <w:rsid w:val="0003314E"/>
    <w:rsid w:val="00033199"/>
    <w:rsid w:val="0003319C"/>
    <w:rsid w:val="00033254"/>
    <w:rsid w:val="000332F6"/>
    <w:rsid w:val="00033321"/>
    <w:rsid w:val="00033340"/>
    <w:rsid w:val="00033343"/>
    <w:rsid w:val="000334A4"/>
    <w:rsid w:val="000334D1"/>
    <w:rsid w:val="0003352A"/>
    <w:rsid w:val="000338E5"/>
    <w:rsid w:val="00033B0B"/>
    <w:rsid w:val="00033D76"/>
    <w:rsid w:val="00033E0D"/>
    <w:rsid w:val="00033ECC"/>
    <w:rsid w:val="00033EE7"/>
    <w:rsid w:val="00033F54"/>
    <w:rsid w:val="0003401B"/>
    <w:rsid w:val="000340A5"/>
    <w:rsid w:val="00034163"/>
    <w:rsid w:val="0003422C"/>
    <w:rsid w:val="0003422F"/>
    <w:rsid w:val="00034249"/>
    <w:rsid w:val="000342E9"/>
    <w:rsid w:val="0003432E"/>
    <w:rsid w:val="0003438A"/>
    <w:rsid w:val="0003466C"/>
    <w:rsid w:val="00034760"/>
    <w:rsid w:val="000347C6"/>
    <w:rsid w:val="00034898"/>
    <w:rsid w:val="000348DA"/>
    <w:rsid w:val="00034913"/>
    <w:rsid w:val="00034918"/>
    <w:rsid w:val="00034956"/>
    <w:rsid w:val="00034988"/>
    <w:rsid w:val="00034AE9"/>
    <w:rsid w:val="00034CED"/>
    <w:rsid w:val="00034CF9"/>
    <w:rsid w:val="00034D77"/>
    <w:rsid w:val="0003505E"/>
    <w:rsid w:val="00035141"/>
    <w:rsid w:val="000353B5"/>
    <w:rsid w:val="0003584E"/>
    <w:rsid w:val="000358E8"/>
    <w:rsid w:val="0003597B"/>
    <w:rsid w:val="00035A7A"/>
    <w:rsid w:val="00035B23"/>
    <w:rsid w:val="00035BB7"/>
    <w:rsid w:val="00035BE5"/>
    <w:rsid w:val="00035C4D"/>
    <w:rsid w:val="00035C81"/>
    <w:rsid w:val="00035CBA"/>
    <w:rsid w:val="00035CF2"/>
    <w:rsid w:val="00035E11"/>
    <w:rsid w:val="00035E20"/>
    <w:rsid w:val="00036144"/>
    <w:rsid w:val="00036209"/>
    <w:rsid w:val="000363E3"/>
    <w:rsid w:val="00036501"/>
    <w:rsid w:val="00036541"/>
    <w:rsid w:val="0003656A"/>
    <w:rsid w:val="00036627"/>
    <w:rsid w:val="00036662"/>
    <w:rsid w:val="0003669C"/>
    <w:rsid w:val="000366E4"/>
    <w:rsid w:val="00036750"/>
    <w:rsid w:val="000367AC"/>
    <w:rsid w:val="000368D0"/>
    <w:rsid w:val="000369AE"/>
    <w:rsid w:val="000369B4"/>
    <w:rsid w:val="00036A5D"/>
    <w:rsid w:val="00036AD6"/>
    <w:rsid w:val="00036B5C"/>
    <w:rsid w:val="00036BA2"/>
    <w:rsid w:val="00036BA7"/>
    <w:rsid w:val="00036BB2"/>
    <w:rsid w:val="00036C11"/>
    <w:rsid w:val="00036C22"/>
    <w:rsid w:val="00036CBB"/>
    <w:rsid w:val="00036D0B"/>
    <w:rsid w:val="00036D81"/>
    <w:rsid w:val="00036E2E"/>
    <w:rsid w:val="00036E61"/>
    <w:rsid w:val="00036FBE"/>
    <w:rsid w:val="00036FC4"/>
    <w:rsid w:val="00037049"/>
    <w:rsid w:val="0003733C"/>
    <w:rsid w:val="00037370"/>
    <w:rsid w:val="00037401"/>
    <w:rsid w:val="000374F3"/>
    <w:rsid w:val="000376B0"/>
    <w:rsid w:val="0003774C"/>
    <w:rsid w:val="00037938"/>
    <w:rsid w:val="00037A4F"/>
    <w:rsid w:val="00037B0A"/>
    <w:rsid w:val="00037B83"/>
    <w:rsid w:val="00037C0E"/>
    <w:rsid w:val="00037CC2"/>
    <w:rsid w:val="00037E40"/>
    <w:rsid w:val="00037E98"/>
    <w:rsid w:val="00037F3F"/>
    <w:rsid w:val="00037FC8"/>
    <w:rsid w:val="000400E0"/>
    <w:rsid w:val="00040200"/>
    <w:rsid w:val="000402A9"/>
    <w:rsid w:val="0004045C"/>
    <w:rsid w:val="00040460"/>
    <w:rsid w:val="00040520"/>
    <w:rsid w:val="00040525"/>
    <w:rsid w:val="00040562"/>
    <w:rsid w:val="0004067E"/>
    <w:rsid w:val="000406DD"/>
    <w:rsid w:val="00040741"/>
    <w:rsid w:val="00040744"/>
    <w:rsid w:val="000408CB"/>
    <w:rsid w:val="00040943"/>
    <w:rsid w:val="00040995"/>
    <w:rsid w:val="000409A9"/>
    <w:rsid w:val="00040A91"/>
    <w:rsid w:val="00040AAD"/>
    <w:rsid w:val="00040B9C"/>
    <w:rsid w:val="00040BE5"/>
    <w:rsid w:val="00040D85"/>
    <w:rsid w:val="00040DE4"/>
    <w:rsid w:val="00040E05"/>
    <w:rsid w:val="00040EAF"/>
    <w:rsid w:val="00040F09"/>
    <w:rsid w:val="00040F12"/>
    <w:rsid w:val="0004111E"/>
    <w:rsid w:val="000413BC"/>
    <w:rsid w:val="000413D5"/>
    <w:rsid w:val="00041645"/>
    <w:rsid w:val="00041679"/>
    <w:rsid w:val="000416AC"/>
    <w:rsid w:val="000417D1"/>
    <w:rsid w:val="00041873"/>
    <w:rsid w:val="000419DC"/>
    <w:rsid w:val="00041A83"/>
    <w:rsid w:val="00041AE7"/>
    <w:rsid w:val="00041B3F"/>
    <w:rsid w:val="00041BEF"/>
    <w:rsid w:val="00041D24"/>
    <w:rsid w:val="00041F2D"/>
    <w:rsid w:val="00041F46"/>
    <w:rsid w:val="00042036"/>
    <w:rsid w:val="0004212D"/>
    <w:rsid w:val="00042153"/>
    <w:rsid w:val="0004232B"/>
    <w:rsid w:val="0004242E"/>
    <w:rsid w:val="0004269D"/>
    <w:rsid w:val="00042715"/>
    <w:rsid w:val="00042745"/>
    <w:rsid w:val="0004284C"/>
    <w:rsid w:val="0004296C"/>
    <w:rsid w:val="000429A0"/>
    <w:rsid w:val="00042B75"/>
    <w:rsid w:val="00042CE0"/>
    <w:rsid w:val="00042DDD"/>
    <w:rsid w:val="00042E6E"/>
    <w:rsid w:val="00043021"/>
    <w:rsid w:val="0004305B"/>
    <w:rsid w:val="00043097"/>
    <w:rsid w:val="00043105"/>
    <w:rsid w:val="0004325A"/>
    <w:rsid w:val="00043370"/>
    <w:rsid w:val="00043379"/>
    <w:rsid w:val="000436F0"/>
    <w:rsid w:val="00043975"/>
    <w:rsid w:val="00043B0E"/>
    <w:rsid w:val="00043BC2"/>
    <w:rsid w:val="00043D0D"/>
    <w:rsid w:val="00043DC0"/>
    <w:rsid w:val="00043DC6"/>
    <w:rsid w:val="00043E00"/>
    <w:rsid w:val="00043E57"/>
    <w:rsid w:val="00043F9D"/>
    <w:rsid w:val="00043FF2"/>
    <w:rsid w:val="00044107"/>
    <w:rsid w:val="0004415B"/>
    <w:rsid w:val="00044213"/>
    <w:rsid w:val="00044290"/>
    <w:rsid w:val="000442B1"/>
    <w:rsid w:val="0004431A"/>
    <w:rsid w:val="00044417"/>
    <w:rsid w:val="00044460"/>
    <w:rsid w:val="00044515"/>
    <w:rsid w:val="00044555"/>
    <w:rsid w:val="0004461F"/>
    <w:rsid w:val="0004469E"/>
    <w:rsid w:val="0004486F"/>
    <w:rsid w:val="000448BA"/>
    <w:rsid w:val="00044A76"/>
    <w:rsid w:val="00044AF3"/>
    <w:rsid w:val="00044B30"/>
    <w:rsid w:val="00044C7D"/>
    <w:rsid w:val="00044D40"/>
    <w:rsid w:val="00044D52"/>
    <w:rsid w:val="00044EFE"/>
    <w:rsid w:val="00045090"/>
    <w:rsid w:val="00045177"/>
    <w:rsid w:val="00045222"/>
    <w:rsid w:val="00045271"/>
    <w:rsid w:val="00045299"/>
    <w:rsid w:val="0004529D"/>
    <w:rsid w:val="000452ED"/>
    <w:rsid w:val="00045317"/>
    <w:rsid w:val="00045390"/>
    <w:rsid w:val="0004539E"/>
    <w:rsid w:val="00045478"/>
    <w:rsid w:val="000455B7"/>
    <w:rsid w:val="00045648"/>
    <w:rsid w:val="000456BB"/>
    <w:rsid w:val="000456F5"/>
    <w:rsid w:val="0004577A"/>
    <w:rsid w:val="00045962"/>
    <w:rsid w:val="00045F01"/>
    <w:rsid w:val="00046000"/>
    <w:rsid w:val="000460AA"/>
    <w:rsid w:val="000460B3"/>
    <w:rsid w:val="000461C1"/>
    <w:rsid w:val="0004623F"/>
    <w:rsid w:val="000462DB"/>
    <w:rsid w:val="000464A2"/>
    <w:rsid w:val="000464E4"/>
    <w:rsid w:val="000466AF"/>
    <w:rsid w:val="000466CC"/>
    <w:rsid w:val="0004672F"/>
    <w:rsid w:val="00046791"/>
    <w:rsid w:val="000467CC"/>
    <w:rsid w:val="000467F2"/>
    <w:rsid w:val="00046807"/>
    <w:rsid w:val="00046838"/>
    <w:rsid w:val="00046C95"/>
    <w:rsid w:val="00046FF0"/>
    <w:rsid w:val="000470B1"/>
    <w:rsid w:val="000471A8"/>
    <w:rsid w:val="000471BF"/>
    <w:rsid w:val="00047243"/>
    <w:rsid w:val="000472E0"/>
    <w:rsid w:val="00047303"/>
    <w:rsid w:val="0004738C"/>
    <w:rsid w:val="0004740A"/>
    <w:rsid w:val="000475E9"/>
    <w:rsid w:val="000476FA"/>
    <w:rsid w:val="000477E2"/>
    <w:rsid w:val="0004784C"/>
    <w:rsid w:val="000478AB"/>
    <w:rsid w:val="000479DB"/>
    <w:rsid w:val="00047A60"/>
    <w:rsid w:val="00047C0A"/>
    <w:rsid w:val="00047D1A"/>
    <w:rsid w:val="00047D7F"/>
    <w:rsid w:val="00047E40"/>
    <w:rsid w:val="00047F94"/>
    <w:rsid w:val="00050176"/>
    <w:rsid w:val="00050257"/>
    <w:rsid w:val="00050295"/>
    <w:rsid w:val="000502BC"/>
    <w:rsid w:val="00050342"/>
    <w:rsid w:val="000503A3"/>
    <w:rsid w:val="0005072A"/>
    <w:rsid w:val="0005076B"/>
    <w:rsid w:val="0005081E"/>
    <w:rsid w:val="00050914"/>
    <w:rsid w:val="00050987"/>
    <w:rsid w:val="0005098C"/>
    <w:rsid w:val="000509E3"/>
    <w:rsid w:val="00050AAA"/>
    <w:rsid w:val="00050F65"/>
    <w:rsid w:val="00050FC6"/>
    <w:rsid w:val="00051000"/>
    <w:rsid w:val="000511CA"/>
    <w:rsid w:val="00051226"/>
    <w:rsid w:val="00051286"/>
    <w:rsid w:val="000512E3"/>
    <w:rsid w:val="00051378"/>
    <w:rsid w:val="00051459"/>
    <w:rsid w:val="00051487"/>
    <w:rsid w:val="000515C4"/>
    <w:rsid w:val="00051709"/>
    <w:rsid w:val="0005171A"/>
    <w:rsid w:val="00051771"/>
    <w:rsid w:val="000517BD"/>
    <w:rsid w:val="000517D6"/>
    <w:rsid w:val="00051974"/>
    <w:rsid w:val="000519D8"/>
    <w:rsid w:val="00051A3E"/>
    <w:rsid w:val="00051A43"/>
    <w:rsid w:val="00051AE0"/>
    <w:rsid w:val="00051B07"/>
    <w:rsid w:val="00051C77"/>
    <w:rsid w:val="00051D42"/>
    <w:rsid w:val="00051DF1"/>
    <w:rsid w:val="00051F3F"/>
    <w:rsid w:val="00051F81"/>
    <w:rsid w:val="00052007"/>
    <w:rsid w:val="000520D2"/>
    <w:rsid w:val="0005214F"/>
    <w:rsid w:val="00052200"/>
    <w:rsid w:val="000522E1"/>
    <w:rsid w:val="000523C0"/>
    <w:rsid w:val="000523EC"/>
    <w:rsid w:val="0005240A"/>
    <w:rsid w:val="00052469"/>
    <w:rsid w:val="0005248A"/>
    <w:rsid w:val="000524A0"/>
    <w:rsid w:val="000524FE"/>
    <w:rsid w:val="000526EB"/>
    <w:rsid w:val="00052830"/>
    <w:rsid w:val="00052855"/>
    <w:rsid w:val="000528B0"/>
    <w:rsid w:val="000528FF"/>
    <w:rsid w:val="00052E1A"/>
    <w:rsid w:val="00052E1E"/>
    <w:rsid w:val="00052E83"/>
    <w:rsid w:val="00052FCE"/>
    <w:rsid w:val="00052FD7"/>
    <w:rsid w:val="0005305F"/>
    <w:rsid w:val="00053257"/>
    <w:rsid w:val="000535A0"/>
    <w:rsid w:val="000535C6"/>
    <w:rsid w:val="000536A3"/>
    <w:rsid w:val="0005371A"/>
    <w:rsid w:val="0005376E"/>
    <w:rsid w:val="00053790"/>
    <w:rsid w:val="000537E8"/>
    <w:rsid w:val="00053A79"/>
    <w:rsid w:val="00053A9C"/>
    <w:rsid w:val="00053AB2"/>
    <w:rsid w:val="00053B3A"/>
    <w:rsid w:val="00053D5E"/>
    <w:rsid w:val="00053E0A"/>
    <w:rsid w:val="00053EA7"/>
    <w:rsid w:val="00053F52"/>
    <w:rsid w:val="00053F53"/>
    <w:rsid w:val="00053FEF"/>
    <w:rsid w:val="00054101"/>
    <w:rsid w:val="000541F9"/>
    <w:rsid w:val="00054218"/>
    <w:rsid w:val="00054221"/>
    <w:rsid w:val="00054261"/>
    <w:rsid w:val="00054312"/>
    <w:rsid w:val="000543C7"/>
    <w:rsid w:val="00054471"/>
    <w:rsid w:val="000544BD"/>
    <w:rsid w:val="00054589"/>
    <w:rsid w:val="00054662"/>
    <w:rsid w:val="00054814"/>
    <w:rsid w:val="0005484E"/>
    <w:rsid w:val="00054861"/>
    <w:rsid w:val="0005487B"/>
    <w:rsid w:val="00054C06"/>
    <w:rsid w:val="00054C07"/>
    <w:rsid w:val="00054C1C"/>
    <w:rsid w:val="00054C60"/>
    <w:rsid w:val="00054D6C"/>
    <w:rsid w:val="00054DFB"/>
    <w:rsid w:val="00054F6D"/>
    <w:rsid w:val="00055035"/>
    <w:rsid w:val="00055133"/>
    <w:rsid w:val="000552C7"/>
    <w:rsid w:val="00055334"/>
    <w:rsid w:val="00055573"/>
    <w:rsid w:val="000555F4"/>
    <w:rsid w:val="000556DC"/>
    <w:rsid w:val="000556DD"/>
    <w:rsid w:val="00055723"/>
    <w:rsid w:val="000558D5"/>
    <w:rsid w:val="00055A64"/>
    <w:rsid w:val="00055A95"/>
    <w:rsid w:val="00055ACF"/>
    <w:rsid w:val="00055BB9"/>
    <w:rsid w:val="00055C7E"/>
    <w:rsid w:val="00055D5F"/>
    <w:rsid w:val="00055D6D"/>
    <w:rsid w:val="00055E14"/>
    <w:rsid w:val="00055E76"/>
    <w:rsid w:val="00055EC6"/>
    <w:rsid w:val="00056051"/>
    <w:rsid w:val="000560C6"/>
    <w:rsid w:val="00056333"/>
    <w:rsid w:val="00056346"/>
    <w:rsid w:val="0005635F"/>
    <w:rsid w:val="0005641B"/>
    <w:rsid w:val="000565B6"/>
    <w:rsid w:val="00056631"/>
    <w:rsid w:val="0005669D"/>
    <w:rsid w:val="0005693B"/>
    <w:rsid w:val="000569E3"/>
    <w:rsid w:val="000569E7"/>
    <w:rsid w:val="00056A4A"/>
    <w:rsid w:val="00056AAA"/>
    <w:rsid w:val="00056AF5"/>
    <w:rsid w:val="00056B42"/>
    <w:rsid w:val="00056DB4"/>
    <w:rsid w:val="00056EB9"/>
    <w:rsid w:val="00056F93"/>
    <w:rsid w:val="0005707C"/>
    <w:rsid w:val="00057094"/>
    <w:rsid w:val="000570AC"/>
    <w:rsid w:val="000570C8"/>
    <w:rsid w:val="000571C8"/>
    <w:rsid w:val="00057644"/>
    <w:rsid w:val="000576FD"/>
    <w:rsid w:val="00057787"/>
    <w:rsid w:val="0005778B"/>
    <w:rsid w:val="0005781D"/>
    <w:rsid w:val="00057B7B"/>
    <w:rsid w:val="00057C7C"/>
    <w:rsid w:val="00057D12"/>
    <w:rsid w:val="00057D5B"/>
    <w:rsid w:val="00057E82"/>
    <w:rsid w:val="00057EBF"/>
    <w:rsid w:val="00057ECD"/>
    <w:rsid w:val="00057FAA"/>
    <w:rsid w:val="00057FEE"/>
    <w:rsid w:val="0006000A"/>
    <w:rsid w:val="00060023"/>
    <w:rsid w:val="000601E5"/>
    <w:rsid w:val="000601ED"/>
    <w:rsid w:val="0006029F"/>
    <w:rsid w:val="00060386"/>
    <w:rsid w:val="000604AB"/>
    <w:rsid w:val="00060544"/>
    <w:rsid w:val="000607D7"/>
    <w:rsid w:val="00060828"/>
    <w:rsid w:val="00060895"/>
    <w:rsid w:val="00060914"/>
    <w:rsid w:val="00060A29"/>
    <w:rsid w:val="00060AD1"/>
    <w:rsid w:val="00060B03"/>
    <w:rsid w:val="00060BA4"/>
    <w:rsid w:val="00060BF2"/>
    <w:rsid w:val="00060C8D"/>
    <w:rsid w:val="00060E8B"/>
    <w:rsid w:val="00060EDB"/>
    <w:rsid w:val="000610AC"/>
    <w:rsid w:val="00061131"/>
    <w:rsid w:val="000611BE"/>
    <w:rsid w:val="00061203"/>
    <w:rsid w:val="00061297"/>
    <w:rsid w:val="0006130D"/>
    <w:rsid w:val="0006148B"/>
    <w:rsid w:val="00061577"/>
    <w:rsid w:val="000615BF"/>
    <w:rsid w:val="000615CF"/>
    <w:rsid w:val="000615D6"/>
    <w:rsid w:val="00061816"/>
    <w:rsid w:val="0006189E"/>
    <w:rsid w:val="00061A72"/>
    <w:rsid w:val="00061B0E"/>
    <w:rsid w:val="00061B1F"/>
    <w:rsid w:val="00061B2A"/>
    <w:rsid w:val="00061B7D"/>
    <w:rsid w:val="00061BBF"/>
    <w:rsid w:val="00061D97"/>
    <w:rsid w:val="00061F19"/>
    <w:rsid w:val="00061F86"/>
    <w:rsid w:val="00061FD4"/>
    <w:rsid w:val="00062215"/>
    <w:rsid w:val="000625B1"/>
    <w:rsid w:val="00062661"/>
    <w:rsid w:val="00062740"/>
    <w:rsid w:val="0006287F"/>
    <w:rsid w:val="00062892"/>
    <w:rsid w:val="000628E7"/>
    <w:rsid w:val="00062924"/>
    <w:rsid w:val="00062951"/>
    <w:rsid w:val="00062962"/>
    <w:rsid w:val="00062992"/>
    <w:rsid w:val="000629C6"/>
    <w:rsid w:val="00062C12"/>
    <w:rsid w:val="00062CC7"/>
    <w:rsid w:val="00062D8B"/>
    <w:rsid w:val="00062DDE"/>
    <w:rsid w:val="00062F74"/>
    <w:rsid w:val="00062FC3"/>
    <w:rsid w:val="00063000"/>
    <w:rsid w:val="0006319E"/>
    <w:rsid w:val="00063280"/>
    <w:rsid w:val="000632DD"/>
    <w:rsid w:val="000633AA"/>
    <w:rsid w:val="000633E8"/>
    <w:rsid w:val="00063575"/>
    <w:rsid w:val="00063644"/>
    <w:rsid w:val="000636BA"/>
    <w:rsid w:val="0006377B"/>
    <w:rsid w:val="0006389F"/>
    <w:rsid w:val="00063910"/>
    <w:rsid w:val="00063991"/>
    <w:rsid w:val="00063A9C"/>
    <w:rsid w:val="00063AA8"/>
    <w:rsid w:val="00063BF6"/>
    <w:rsid w:val="00063D1E"/>
    <w:rsid w:val="00063D2C"/>
    <w:rsid w:val="00063D7A"/>
    <w:rsid w:val="00063ECD"/>
    <w:rsid w:val="00063F06"/>
    <w:rsid w:val="00063F1A"/>
    <w:rsid w:val="00063F67"/>
    <w:rsid w:val="000640C0"/>
    <w:rsid w:val="000641ED"/>
    <w:rsid w:val="00064492"/>
    <w:rsid w:val="000644FB"/>
    <w:rsid w:val="0006453E"/>
    <w:rsid w:val="000645C1"/>
    <w:rsid w:val="00064661"/>
    <w:rsid w:val="00064681"/>
    <w:rsid w:val="00064693"/>
    <w:rsid w:val="0006478E"/>
    <w:rsid w:val="000647D0"/>
    <w:rsid w:val="00064843"/>
    <w:rsid w:val="000648AD"/>
    <w:rsid w:val="000648D1"/>
    <w:rsid w:val="0006499C"/>
    <w:rsid w:val="00064A01"/>
    <w:rsid w:val="00064B41"/>
    <w:rsid w:val="00064BBE"/>
    <w:rsid w:val="00064C5E"/>
    <w:rsid w:val="00064C91"/>
    <w:rsid w:val="00064DFB"/>
    <w:rsid w:val="00064FF5"/>
    <w:rsid w:val="00065090"/>
    <w:rsid w:val="0006510E"/>
    <w:rsid w:val="000651A0"/>
    <w:rsid w:val="00065348"/>
    <w:rsid w:val="0006535A"/>
    <w:rsid w:val="00065374"/>
    <w:rsid w:val="0006539E"/>
    <w:rsid w:val="000653E9"/>
    <w:rsid w:val="00065436"/>
    <w:rsid w:val="0006549C"/>
    <w:rsid w:val="00065536"/>
    <w:rsid w:val="000656F6"/>
    <w:rsid w:val="000657AE"/>
    <w:rsid w:val="000657DE"/>
    <w:rsid w:val="00065860"/>
    <w:rsid w:val="0006589B"/>
    <w:rsid w:val="0006589C"/>
    <w:rsid w:val="000658D1"/>
    <w:rsid w:val="00065953"/>
    <w:rsid w:val="00065957"/>
    <w:rsid w:val="0006599B"/>
    <w:rsid w:val="000659B2"/>
    <w:rsid w:val="00065AC7"/>
    <w:rsid w:val="00065BFD"/>
    <w:rsid w:val="00065D4C"/>
    <w:rsid w:val="00065F13"/>
    <w:rsid w:val="00065F15"/>
    <w:rsid w:val="00066060"/>
    <w:rsid w:val="000661B1"/>
    <w:rsid w:val="000662BA"/>
    <w:rsid w:val="00066468"/>
    <w:rsid w:val="000664D6"/>
    <w:rsid w:val="00066540"/>
    <w:rsid w:val="000665C1"/>
    <w:rsid w:val="000665F9"/>
    <w:rsid w:val="000667D9"/>
    <w:rsid w:val="00066838"/>
    <w:rsid w:val="00066888"/>
    <w:rsid w:val="000668C2"/>
    <w:rsid w:val="000669BB"/>
    <w:rsid w:val="00066A22"/>
    <w:rsid w:val="00066B79"/>
    <w:rsid w:val="00066BC1"/>
    <w:rsid w:val="00066C19"/>
    <w:rsid w:val="00066DED"/>
    <w:rsid w:val="00066E0B"/>
    <w:rsid w:val="00066E6B"/>
    <w:rsid w:val="00066F37"/>
    <w:rsid w:val="00066F7F"/>
    <w:rsid w:val="00066FFD"/>
    <w:rsid w:val="00067058"/>
    <w:rsid w:val="00067177"/>
    <w:rsid w:val="00067235"/>
    <w:rsid w:val="000672EE"/>
    <w:rsid w:val="00067337"/>
    <w:rsid w:val="00067355"/>
    <w:rsid w:val="00067445"/>
    <w:rsid w:val="00067456"/>
    <w:rsid w:val="000674D4"/>
    <w:rsid w:val="0006750B"/>
    <w:rsid w:val="000678FC"/>
    <w:rsid w:val="00067974"/>
    <w:rsid w:val="00067AFC"/>
    <w:rsid w:val="00067C75"/>
    <w:rsid w:val="00067D27"/>
    <w:rsid w:val="00067DC8"/>
    <w:rsid w:val="00067E87"/>
    <w:rsid w:val="0006F660"/>
    <w:rsid w:val="00070024"/>
    <w:rsid w:val="00070070"/>
    <w:rsid w:val="00070165"/>
    <w:rsid w:val="000701F1"/>
    <w:rsid w:val="0007034A"/>
    <w:rsid w:val="0007053C"/>
    <w:rsid w:val="00070575"/>
    <w:rsid w:val="000705DF"/>
    <w:rsid w:val="00070673"/>
    <w:rsid w:val="000707A9"/>
    <w:rsid w:val="00070903"/>
    <w:rsid w:val="00070A58"/>
    <w:rsid w:val="00070A9E"/>
    <w:rsid w:val="00070B43"/>
    <w:rsid w:val="00070B66"/>
    <w:rsid w:val="00070B99"/>
    <w:rsid w:val="00070C52"/>
    <w:rsid w:val="00070C82"/>
    <w:rsid w:val="00070C8B"/>
    <w:rsid w:val="00070DDA"/>
    <w:rsid w:val="00070F24"/>
    <w:rsid w:val="00070F40"/>
    <w:rsid w:val="00070FC5"/>
    <w:rsid w:val="00070FD5"/>
    <w:rsid w:val="00071192"/>
    <w:rsid w:val="0007138A"/>
    <w:rsid w:val="0007140B"/>
    <w:rsid w:val="00071461"/>
    <w:rsid w:val="0007147F"/>
    <w:rsid w:val="00071506"/>
    <w:rsid w:val="00071522"/>
    <w:rsid w:val="0007154F"/>
    <w:rsid w:val="000716BD"/>
    <w:rsid w:val="000716F7"/>
    <w:rsid w:val="0007181B"/>
    <w:rsid w:val="00071881"/>
    <w:rsid w:val="00071A40"/>
    <w:rsid w:val="00071A99"/>
    <w:rsid w:val="00071BB3"/>
    <w:rsid w:val="00071E2A"/>
    <w:rsid w:val="00071E93"/>
    <w:rsid w:val="00071F76"/>
    <w:rsid w:val="00071FC8"/>
    <w:rsid w:val="00072018"/>
    <w:rsid w:val="0007207E"/>
    <w:rsid w:val="000722B8"/>
    <w:rsid w:val="000725B4"/>
    <w:rsid w:val="0007278E"/>
    <w:rsid w:val="0007281C"/>
    <w:rsid w:val="0007294A"/>
    <w:rsid w:val="00072A20"/>
    <w:rsid w:val="00072A3D"/>
    <w:rsid w:val="00072A6C"/>
    <w:rsid w:val="00072B93"/>
    <w:rsid w:val="00072C8D"/>
    <w:rsid w:val="00072DD2"/>
    <w:rsid w:val="00072E63"/>
    <w:rsid w:val="0007304A"/>
    <w:rsid w:val="00073395"/>
    <w:rsid w:val="00073399"/>
    <w:rsid w:val="000733C9"/>
    <w:rsid w:val="000733F3"/>
    <w:rsid w:val="0007354D"/>
    <w:rsid w:val="000735A6"/>
    <w:rsid w:val="000739D1"/>
    <w:rsid w:val="00073AA5"/>
    <w:rsid w:val="00073AB9"/>
    <w:rsid w:val="00073DFB"/>
    <w:rsid w:val="00073F62"/>
    <w:rsid w:val="00073F90"/>
    <w:rsid w:val="00073F9F"/>
    <w:rsid w:val="000740A0"/>
    <w:rsid w:val="00074268"/>
    <w:rsid w:val="000742A2"/>
    <w:rsid w:val="0007432B"/>
    <w:rsid w:val="000743D5"/>
    <w:rsid w:val="00074532"/>
    <w:rsid w:val="00074563"/>
    <w:rsid w:val="00074622"/>
    <w:rsid w:val="00074654"/>
    <w:rsid w:val="00074675"/>
    <w:rsid w:val="0007478B"/>
    <w:rsid w:val="000747AA"/>
    <w:rsid w:val="00074868"/>
    <w:rsid w:val="00074CC3"/>
    <w:rsid w:val="00074CCB"/>
    <w:rsid w:val="00074CDE"/>
    <w:rsid w:val="00074D11"/>
    <w:rsid w:val="00074DDE"/>
    <w:rsid w:val="00074E80"/>
    <w:rsid w:val="00074FA9"/>
    <w:rsid w:val="00074FB2"/>
    <w:rsid w:val="000751AD"/>
    <w:rsid w:val="0007524A"/>
    <w:rsid w:val="00075289"/>
    <w:rsid w:val="00075372"/>
    <w:rsid w:val="0007549C"/>
    <w:rsid w:val="00075681"/>
    <w:rsid w:val="000756F7"/>
    <w:rsid w:val="000757DB"/>
    <w:rsid w:val="00075A2F"/>
    <w:rsid w:val="00075A8F"/>
    <w:rsid w:val="00075B26"/>
    <w:rsid w:val="00075B47"/>
    <w:rsid w:val="00075BEE"/>
    <w:rsid w:val="00075C10"/>
    <w:rsid w:val="00075C1F"/>
    <w:rsid w:val="00075C55"/>
    <w:rsid w:val="00075D97"/>
    <w:rsid w:val="000760D8"/>
    <w:rsid w:val="000760E3"/>
    <w:rsid w:val="00076185"/>
    <w:rsid w:val="000761E3"/>
    <w:rsid w:val="00076260"/>
    <w:rsid w:val="00076284"/>
    <w:rsid w:val="0007637E"/>
    <w:rsid w:val="000763A9"/>
    <w:rsid w:val="00076428"/>
    <w:rsid w:val="000764F1"/>
    <w:rsid w:val="00076703"/>
    <w:rsid w:val="0007670B"/>
    <w:rsid w:val="0007693C"/>
    <w:rsid w:val="00076AF8"/>
    <w:rsid w:val="00076C72"/>
    <w:rsid w:val="00076F78"/>
    <w:rsid w:val="0007702F"/>
    <w:rsid w:val="000770E9"/>
    <w:rsid w:val="00077207"/>
    <w:rsid w:val="0007748C"/>
    <w:rsid w:val="000774DB"/>
    <w:rsid w:val="00077537"/>
    <w:rsid w:val="000775F7"/>
    <w:rsid w:val="0007761E"/>
    <w:rsid w:val="00077635"/>
    <w:rsid w:val="00077671"/>
    <w:rsid w:val="000776A6"/>
    <w:rsid w:val="00077710"/>
    <w:rsid w:val="0007776C"/>
    <w:rsid w:val="0007791E"/>
    <w:rsid w:val="0007792B"/>
    <w:rsid w:val="00077940"/>
    <w:rsid w:val="00077A8B"/>
    <w:rsid w:val="00077B57"/>
    <w:rsid w:val="00077B6A"/>
    <w:rsid w:val="00077B6D"/>
    <w:rsid w:val="00077BC8"/>
    <w:rsid w:val="00077BE8"/>
    <w:rsid w:val="00077D4F"/>
    <w:rsid w:val="00077E1F"/>
    <w:rsid w:val="00077E25"/>
    <w:rsid w:val="00077EFB"/>
    <w:rsid w:val="000800CA"/>
    <w:rsid w:val="000800D0"/>
    <w:rsid w:val="000802FD"/>
    <w:rsid w:val="00080425"/>
    <w:rsid w:val="000804CE"/>
    <w:rsid w:val="00080650"/>
    <w:rsid w:val="0008067D"/>
    <w:rsid w:val="00080706"/>
    <w:rsid w:val="0008070A"/>
    <w:rsid w:val="00080717"/>
    <w:rsid w:val="000808AC"/>
    <w:rsid w:val="00080989"/>
    <w:rsid w:val="00080A30"/>
    <w:rsid w:val="00080A35"/>
    <w:rsid w:val="00080A56"/>
    <w:rsid w:val="00080B60"/>
    <w:rsid w:val="00080BDF"/>
    <w:rsid w:val="00080BF5"/>
    <w:rsid w:val="00080BF7"/>
    <w:rsid w:val="00080D0D"/>
    <w:rsid w:val="00080DBB"/>
    <w:rsid w:val="00080E81"/>
    <w:rsid w:val="00080F47"/>
    <w:rsid w:val="00081087"/>
    <w:rsid w:val="00081179"/>
    <w:rsid w:val="0008118C"/>
    <w:rsid w:val="000811DD"/>
    <w:rsid w:val="00081288"/>
    <w:rsid w:val="000812F8"/>
    <w:rsid w:val="000813C9"/>
    <w:rsid w:val="00081452"/>
    <w:rsid w:val="000814D2"/>
    <w:rsid w:val="00081539"/>
    <w:rsid w:val="000816CE"/>
    <w:rsid w:val="00081714"/>
    <w:rsid w:val="000819F4"/>
    <w:rsid w:val="00081A28"/>
    <w:rsid w:val="00081A92"/>
    <w:rsid w:val="00081AB1"/>
    <w:rsid w:val="00081AB4"/>
    <w:rsid w:val="00081AD3"/>
    <w:rsid w:val="00081B5B"/>
    <w:rsid w:val="00081C19"/>
    <w:rsid w:val="00081D4D"/>
    <w:rsid w:val="00081DD5"/>
    <w:rsid w:val="00081E11"/>
    <w:rsid w:val="00081ED9"/>
    <w:rsid w:val="00081F6C"/>
    <w:rsid w:val="0008212B"/>
    <w:rsid w:val="00082288"/>
    <w:rsid w:val="000822ED"/>
    <w:rsid w:val="000823D5"/>
    <w:rsid w:val="000824B9"/>
    <w:rsid w:val="000825C1"/>
    <w:rsid w:val="000825C3"/>
    <w:rsid w:val="000827A3"/>
    <w:rsid w:val="00082A5C"/>
    <w:rsid w:val="00082AAA"/>
    <w:rsid w:val="00082AB5"/>
    <w:rsid w:val="00082AED"/>
    <w:rsid w:val="00082B0A"/>
    <w:rsid w:val="00082B12"/>
    <w:rsid w:val="00082B60"/>
    <w:rsid w:val="00082DA3"/>
    <w:rsid w:val="00082DC3"/>
    <w:rsid w:val="00082E15"/>
    <w:rsid w:val="00083062"/>
    <w:rsid w:val="000830CA"/>
    <w:rsid w:val="00083297"/>
    <w:rsid w:val="000832F5"/>
    <w:rsid w:val="00083330"/>
    <w:rsid w:val="000833DB"/>
    <w:rsid w:val="000834B8"/>
    <w:rsid w:val="00083535"/>
    <w:rsid w:val="0008354D"/>
    <w:rsid w:val="000835D0"/>
    <w:rsid w:val="000835DB"/>
    <w:rsid w:val="00083766"/>
    <w:rsid w:val="00083806"/>
    <w:rsid w:val="000838B0"/>
    <w:rsid w:val="000838CB"/>
    <w:rsid w:val="000839C8"/>
    <w:rsid w:val="00083BDB"/>
    <w:rsid w:val="00083C02"/>
    <w:rsid w:val="00083C63"/>
    <w:rsid w:val="00083D04"/>
    <w:rsid w:val="00083DA3"/>
    <w:rsid w:val="00083E2B"/>
    <w:rsid w:val="00083F10"/>
    <w:rsid w:val="00083F2F"/>
    <w:rsid w:val="00083FF3"/>
    <w:rsid w:val="00084042"/>
    <w:rsid w:val="00084096"/>
    <w:rsid w:val="00084267"/>
    <w:rsid w:val="00084525"/>
    <w:rsid w:val="0008453E"/>
    <w:rsid w:val="000848B8"/>
    <w:rsid w:val="000849EE"/>
    <w:rsid w:val="00084A3F"/>
    <w:rsid w:val="00084A83"/>
    <w:rsid w:val="00084ABA"/>
    <w:rsid w:val="00084BB7"/>
    <w:rsid w:val="00084BF5"/>
    <w:rsid w:val="00084CD1"/>
    <w:rsid w:val="00084D02"/>
    <w:rsid w:val="00084DE2"/>
    <w:rsid w:val="0008507E"/>
    <w:rsid w:val="00085107"/>
    <w:rsid w:val="0008515A"/>
    <w:rsid w:val="0008543C"/>
    <w:rsid w:val="00085469"/>
    <w:rsid w:val="00085498"/>
    <w:rsid w:val="000854F5"/>
    <w:rsid w:val="00085530"/>
    <w:rsid w:val="000855DE"/>
    <w:rsid w:val="000855F7"/>
    <w:rsid w:val="00085617"/>
    <w:rsid w:val="00085675"/>
    <w:rsid w:val="000856B6"/>
    <w:rsid w:val="00085719"/>
    <w:rsid w:val="0008575E"/>
    <w:rsid w:val="0008595E"/>
    <w:rsid w:val="00085C9D"/>
    <w:rsid w:val="00085D1D"/>
    <w:rsid w:val="00085DDF"/>
    <w:rsid w:val="00085E2F"/>
    <w:rsid w:val="00085E40"/>
    <w:rsid w:val="00085EAC"/>
    <w:rsid w:val="00085ECD"/>
    <w:rsid w:val="000860F3"/>
    <w:rsid w:val="00086134"/>
    <w:rsid w:val="000861AA"/>
    <w:rsid w:val="000862CF"/>
    <w:rsid w:val="00086570"/>
    <w:rsid w:val="000865C0"/>
    <w:rsid w:val="000865FC"/>
    <w:rsid w:val="00086638"/>
    <w:rsid w:val="00086790"/>
    <w:rsid w:val="000868C2"/>
    <w:rsid w:val="00086924"/>
    <w:rsid w:val="000869FE"/>
    <w:rsid w:val="00086A17"/>
    <w:rsid w:val="00086A5A"/>
    <w:rsid w:val="00086B07"/>
    <w:rsid w:val="00086BE8"/>
    <w:rsid w:val="00086E2B"/>
    <w:rsid w:val="00086E8F"/>
    <w:rsid w:val="00086F12"/>
    <w:rsid w:val="00087069"/>
    <w:rsid w:val="000870EE"/>
    <w:rsid w:val="00087214"/>
    <w:rsid w:val="0008725C"/>
    <w:rsid w:val="00087293"/>
    <w:rsid w:val="000872A6"/>
    <w:rsid w:val="000872A8"/>
    <w:rsid w:val="000872E4"/>
    <w:rsid w:val="0008755B"/>
    <w:rsid w:val="000876FA"/>
    <w:rsid w:val="0008770A"/>
    <w:rsid w:val="00087735"/>
    <w:rsid w:val="000877A2"/>
    <w:rsid w:val="000877F1"/>
    <w:rsid w:val="00087833"/>
    <w:rsid w:val="0008792D"/>
    <w:rsid w:val="00087999"/>
    <w:rsid w:val="00087A22"/>
    <w:rsid w:val="00087A5D"/>
    <w:rsid w:val="00087AC9"/>
    <w:rsid w:val="00087B47"/>
    <w:rsid w:val="00087F04"/>
    <w:rsid w:val="00087FC6"/>
    <w:rsid w:val="000900D3"/>
    <w:rsid w:val="00090110"/>
    <w:rsid w:val="000902D9"/>
    <w:rsid w:val="00090316"/>
    <w:rsid w:val="00090382"/>
    <w:rsid w:val="00090393"/>
    <w:rsid w:val="000903D0"/>
    <w:rsid w:val="00090449"/>
    <w:rsid w:val="000904FE"/>
    <w:rsid w:val="00090528"/>
    <w:rsid w:val="00090621"/>
    <w:rsid w:val="00090997"/>
    <w:rsid w:val="000909D5"/>
    <w:rsid w:val="00090A49"/>
    <w:rsid w:val="00090C8E"/>
    <w:rsid w:val="00090CB5"/>
    <w:rsid w:val="00090D8B"/>
    <w:rsid w:val="0009103D"/>
    <w:rsid w:val="00091059"/>
    <w:rsid w:val="000910AB"/>
    <w:rsid w:val="00091100"/>
    <w:rsid w:val="00091197"/>
    <w:rsid w:val="00091198"/>
    <w:rsid w:val="0009128C"/>
    <w:rsid w:val="000912E3"/>
    <w:rsid w:val="00091322"/>
    <w:rsid w:val="00091491"/>
    <w:rsid w:val="00091571"/>
    <w:rsid w:val="00091620"/>
    <w:rsid w:val="0009170A"/>
    <w:rsid w:val="00091831"/>
    <w:rsid w:val="0009184C"/>
    <w:rsid w:val="00091A3A"/>
    <w:rsid w:val="00091A5F"/>
    <w:rsid w:val="00091A92"/>
    <w:rsid w:val="00091B1F"/>
    <w:rsid w:val="00091B3B"/>
    <w:rsid w:val="00091D55"/>
    <w:rsid w:val="00091E9F"/>
    <w:rsid w:val="00091F42"/>
    <w:rsid w:val="00092121"/>
    <w:rsid w:val="00092264"/>
    <w:rsid w:val="0009226A"/>
    <w:rsid w:val="00092294"/>
    <w:rsid w:val="00092317"/>
    <w:rsid w:val="0009231E"/>
    <w:rsid w:val="0009234F"/>
    <w:rsid w:val="0009250E"/>
    <w:rsid w:val="00092729"/>
    <w:rsid w:val="0009280E"/>
    <w:rsid w:val="00092840"/>
    <w:rsid w:val="00092A37"/>
    <w:rsid w:val="00092A85"/>
    <w:rsid w:val="00092AD9"/>
    <w:rsid w:val="00092B5E"/>
    <w:rsid w:val="00092B7A"/>
    <w:rsid w:val="00092CE8"/>
    <w:rsid w:val="00092DFF"/>
    <w:rsid w:val="00092E79"/>
    <w:rsid w:val="00092EAF"/>
    <w:rsid w:val="00092EC9"/>
    <w:rsid w:val="00092F07"/>
    <w:rsid w:val="00092F25"/>
    <w:rsid w:val="000930A4"/>
    <w:rsid w:val="000930F7"/>
    <w:rsid w:val="00093151"/>
    <w:rsid w:val="0009317F"/>
    <w:rsid w:val="0009322A"/>
    <w:rsid w:val="00093368"/>
    <w:rsid w:val="0009336B"/>
    <w:rsid w:val="000933E0"/>
    <w:rsid w:val="00093639"/>
    <w:rsid w:val="000936E2"/>
    <w:rsid w:val="00093789"/>
    <w:rsid w:val="000937EE"/>
    <w:rsid w:val="00093912"/>
    <w:rsid w:val="00093981"/>
    <w:rsid w:val="0009398A"/>
    <w:rsid w:val="00093A93"/>
    <w:rsid w:val="00093ACE"/>
    <w:rsid w:val="00093B7C"/>
    <w:rsid w:val="00093BB5"/>
    <w:rsid w:val="00093BDF"/>
    <w:rsid w:val="00093C7D"/>
    <w:rsid w:val="00093D0E"/>
    <w:rsid w:val="00094114"/>
    <w:rsid w:val="00094249"/>
    <w:rsid w:val="0009429C"/>
    <w:rsid w:val="0009434B"/>
    <w:rsid w:val="00094388"/>
    <w:rsid w:val="0009448C"/>
    <w:rsid w:val="00094730"/>
    <w:rsid w:val="00094794"/>
    <w:rsid w:val="000948F4"/>
    <w:rsid w:val="000949A7"/>
    <w:rsid w:val="00094AAA"/>
    <w:rsid w:val="00094BEA"/>
    <w:rsid w:val="00094C7A"/>
    <w:rsid w:val="00094CDB"/>
    <w:rsid w:val="00094D62"/>
    <w:rsid w:val="00094E00"/>
    <w:rsid w:val="00094EC3"/>
    <w:rsid w:val="00094F2C"/>
    <w:rsid w:val="0009512A"/>
    <w:rsid w:val="000951E3"/>
    <w:rsid w:val="00095220"/>
    <w:rsid w:val="0009538A"/>
    <w:rsid w:val="0009550D"/>
    <w:rsid w:val="000955D6"/>
    <w:rsid w:val="000955FD"/>
    <w:rsid w:val="00095683"/>
    <w:rsid w:val="000958C8"/>
    <w:rsid w:val="000958E7"/>
    <w:rsid w:val="00095993"/>
    <w:rsid w:val="000959EA"/>
    <w:rsid w:val="000959F6"/>
    <w:rsid w:val="00095A2A"/>
    <w:rsid w:val="00095A7C"/>
    <w:rsid w:val="00095C8D"/>
    <w:rsid w:val="00095D49"/>
    <w:rsid w:val="00095D98"/>
    <w:rsid w:val="00095E9B"/>
    <w:rsid w:val="00095F02"/>
    <w:rsid w:val="00095F33"/>
    <w:rsid w:val="0009612C"/>
    <w:rsid w:val="00096216"/>
    <w:rsid w:val="00096492"/>
    <w:rsid w:val="00096520"/>
    <w:rsid w:val="00096643"/>
    <w:rsid w:val="00096860"/>
    <w:rsid w:val="0009690F"/>
    <w:rsid w:val="00096911"/>
    <w:rsid w:val="00096A04"/>
    <w:rsid w:val="00096AAE"/>
    <w:rsid w:val="00096B38"/>
    <w:rsid w:val="00096BA6"/>
    <w:rsid w:val="00096BEB"/>
    <w:rsid w:val="00096BF4"/>
    <w:rsid w:val="00096C55"/>
    <w:rsid w:val="00096D1E"/>
    <w:rsid w:val="00096D6F"/>
    <w:rsid w:val="00096D80"/>
    <w:rsid w:val="00096E18"/>
    <w:rsid w:val="000970B6"/>
    <w:rsid w:val="000971D1"/>
    <w:rsid w:val="0009735E"/>
    <w:rsid w:val="000973D2"/>
    <w:rsid w:val="0009746F"/>
    <w:rsid w:val="000974EF"/>
    <w:rsid w:val="0009759C"/>
    <w:rsid w:val="000975FE"/>
    <w:rsid w:val="000976A3"/>
    <w:rsid w:val="000976C5"/>
    <w:rsid w:val="000977E3"/>
    <w:rsid w:val="00097810"/>
    <w:rsid w:val="0009797E"/>
    <w:rsid w:val="000979C6"/>
    <w:rsid w:val="00097A3C"/>
    <w:rsid w:val="00097A60"/>
    <w:rsid w:val="00097AF2"/>
    <w:rsid w:val="00097AF6"/>
    <w:rsid w:val="00097B66"/>
    <w:rsid w:val="00097B94"/>
    <w:rsid w:val="00097B9F"/>
    <w:rsid w:val="00097C04"/>
    <w:rsid w:val="00097CDB"/>
    <w:rsid w:val="00097E7D"/>
    <w:rsid w:val="00097EA2"/>
    <w:rsid w:val="00097EE8"/>
    <w:rsid w:val="00097F08"/>
    <w:rsid w:val="00097F3C"/>
    <w:rsid w:val="00097FC2"/>
    <w:rsid w:val="000A0014"/>
    <w:rsid w:val="000A011B"/>
    <w:rsid w:val="000A020B"/>
    <w:rsid w:val="000A021E"/>
    <w:rsid w:val="000A0238"/>
    <w:rsid w:val="000A0258"/>
    <w:rsid w:val="000A0298"/>
    <w:rsid w:val="000A02F4"/>
    <w:rsid w:val="000A033A"/>
    <w:rsid w:val="000A0364"/>
    <w:rsid w:val="000A03DF"/>
    <w:rsid w:val="000A0455"/>
    <w:rsid w:val="000A051F"/>
    <w:rsid w:val="000A062A"/>
    <w:rsid w:val="000A068D"/>
    <w:rsid w:val="000A06D8"/>
    <w:rsid w:val="000A0998"/>
    <w:rsid w:val="000A09FA"/>
    <w:rsid w:val="000A0B3A"/>
    <w:rsid w:val="000A0BA7"/>
    <w:rsid w:val="000A0BAA"/>
    <w:rsid w:val="000A0BD6"/>
    <w:rsid w:val="000A0CC8"/>
    <w:rsid w:val="000A0D91"/>
    <w:rsid w:val="000A0F3C"/>
    <w:rsid w:val="000A0F59"/>
    <w:rsid w:val="000A1054"/>
    <w:rsid w:val="000A10EF"/>
    <w:rsid w:val="000A122D"/>
    <w:rsid w:val="000A1255"/>
    <w:rsid w:val="000A1306"/>
    <w:rsid w:val="000A148C"/>
    <w:rsid w:val="000A14ED"/>
    <w:rsid w:val="000A155B"/>
    <w:rsid w:val="000A156E"/>
    <w:rsid w:val="000A1629"/>
    <w:rsid w:val="000A162C"/>
    <w:rsid w:val="000A1649"/>
    <w:rsid w:val="000A16B4"/>
    <w:rsid w:val="000A17D5"/>
    <w:rsid w:val="000A1959"/>
    <w:rsid w:val="000A1973"/>
    <w:rsid w:val="000A1A1E"/>
    <w:rsid w:val="000A1A4A"/>
    <w:rsid w:val="000A1A7B"/>
    <w:rsid w:val="000A1AA8"/>
    <w:rsid w:val="000A1B0C"/>
    <w:rsid w:val="000A1B9E"/>
    <w:rsid w:val="000A1EE5"/>
    <w:rsid w:val="000A2039"/>
    <w:rsid w:val="000A218C"/>
    <w:rsid w:val="000A21E2"/>
    <w:rsid w:val="000A2263"/>
    <w:rsid w:val="000A232D"/>
    <w:rsid w:val="000A23BC"/>
    <w:rsid w:val="000A2485"/>
    <w:rsid w:val="000A24A4"/>
    <w:rsid w:val="000A24FA"/>
    <w:rsid w:val="000A25AF"/>
    <w:rsid w:val="000A2786"/>
    <w:rsid w:val="000A27E1"/>
    <w:rsid w:val="000A28BA"/>
    <w:rsid w:val="000A28D5"/>
    <w:rsid w:val="000A2914"/>
    <w:rsid w:val="000A2941"/>
    <w:rsid w:val="000A29C8"/>
    <w:rsid w:val="000A29D9"/>
    <w:rsid w:val="000A2B45"/>
    <w:rsid w:val="000A2B58"/>
    <w:rsid w:val="000A2BE6"/>
    <w:rsid w:val="000A2C65"/>
    <w:rsid w:val="000A2D8D"/>
    <w:rsid w:val="000A2E22"/>
    <w:rsid w:val="000A2E89"/>
    <w:rsid w:val="000A2F4D"/>
    <w:rsid w:val="000A2FA2"/>
    <w:rsid w:val="000A3149"/>
    <w:rsid w:val="000A31E4"/>
    <w:rsid w:val="000A3217"/>
    <w:rsid w:val="000A32F3"/>
    <w:rsid w:val="000A3335"/>
    <w:rsid w:val="000A3336"/>
    <w:rsid w:val="000A33D3"/>
    <w:rsid w:val="000A34E4"/>
    <w:rsid w:val="000A354C"/>
    <w:rsid w:val="000A35C8"/>
    <w:rsid w:val="000A3604"/>
    <w:rsid w:val="000A367C"/>
    <w:rsid w:val="000A3687"/>
    <w:rsid w:val="000A3703"/>
    <w:rsid w:val="000A3846"/>
    <w:rsid w:val="000A389F"/>
    <w:rsid w:val="000A396F"/>
    <w:rsid w:val="000A3BB9"/>
    <w:rsid w:val="000A3BEE"/>
    <w:rsid w:val="000A3C02"/>
    <w:rsid w:val="000A3C19"/>
    <w:rsid w:val="000A3CB0"/>
    <w:rsid w:val="000A3CDA"/>
    <w:rsid w:val="000A3D0C"/>
    <w:rsid w:val="000A3EEC"/>
    <w:rsid w:val="000A3F1C"/>
    <w:rsid w:val="000A3FBB"/>
    <w:rsid w:val="000A3FC5"/>
    <w:rsid w:val="000A4007"/>
    <w:rsid w:val="000A403B"/>
    <w:rsid w:val="000A406A"/>
    <w:rsid w:val="000A419A"/>
    <w:rsid w:val="000A43F7"/>
    <w:rsid w:val="000A4688"/>
    <w:rsid w:val="000A46E1"/>
    <w:rsid w:val="000A489D"/>
    <w:rsid w:val="000A49DF"/>
    <w:rsid w:val="000A4B75"/>
    <w:rsid w:val="000A4D6C"/>
    <w:rsid w:val="000A4DA0"/>
    <w:rsid w:val="000A51B9"/>
    <w:rsid w:val="000A51C9"/>
    <w:rsid w:val="000A5240"/>
    <w:rsid w:val="000A5265"/>
    <w:rsid w:val="000A538A"/>
    <w:rsid w:val="000A5422"/>
    <w:rsid w:val="000A54AA"/>
    <w:rsid w:val="000A54E3"/>
    <w:rsid w:val="000A565B"/>
    <w:rsid w:val="000A584F"/>
    <w:rsid w:val="000A5873"/>
    <w:rsid w:val="000A5A15"/>
    <w:rsid w:val="000A5A1E"/>
    <w:rsid w:val="000A5A9E"/>
    <w:rsid w:val="000A5AB7"/>
    <w:rsid w:val="000A5B93"/>
    <w:rsid w:val="000A5B94"/>
    <w:rsid w:val="000A5BA8"/>
    <w:rsid w:val="000A5C58"/>
    <w:rsid w:val="000A5C68"/>
    <w:rsid w:val="000A5DA1"/>
    <w:rsid w:val="000A5E7F"/>
    <w:rsid w:val="000A5F31"/>
    <w:rsid w:val="000A5FC2"/>
    <w:rsid w:val="000A5FCD"/>
    <w:rsid w:val="000A5FE1"/>
    <w:rsid w:val="000A6076"/>
    <w:rsid w:val="000A6247"/>
    <w:rsid w:val="000A6251"/>
    <w:rsid w:val="000A6275"/>
    <w:rsid w:val="000A6304"/>
    <w:rsid w:val="000A632D"/>
    <w:rsid w:val="000A63F9"/>
    <w:rsid w:val="000A64FD"/>
    <w:rsid w:val="000A650E"/>
    <w:rsid w:val="000A659C"/>
    <w:rsid w:val="000A6818"/>
    <w:rsid w:val="000A6850"/>
    <w:rsid w:val="000A6858"/>
    <w:rsid w:val="000A6864"/>
    <w:rsid w:val="000A6A5A"/>
    <w:rsid w:val="000A6B71"/>
    <w:rsid w:val="000A6C9D"/>
    <w:rsid w:val="000A6D0C"/>
    <w:rsid w:val="000A6D54"/>
    <w:rsid w:val="000A6EC8"/>
    <w:rsid w:val="000A6F1A"/>
    <w:rsid w:val="000A7014"/>
    <w:rsid w:val="000A7226"/>
    <w:rsid w:val="000A73B2"/>
    <w:rsid w:val="000A73BB"/>
    <w:rsid w:val="000A73FA"/>
    <w:rsid w:val="000A74AD"/>
    <w:rsid w:val="000A7506"/>
    <w:rsid w:val="000A755B"/>
    <w:rsid w:val="000A7636"/>
    <w:rsid w:val="000A792E"/>
    <w:rsid w:val="000A7981"/>
    <w:rsid w:val="000A7A43"/>
    <w:rsid w:val="000A7A85"/>
    <w:rsid w:val="000A7B5C"/>
    <w:rsid w:val="000A7BA3"/>
    <w:rsid w:val="000A7C39"/>
    <w:rsid w:val="000A7D04"/>
    <w:rsid w:val="000A7DC3"/>
    <w:rsid w:val="000A7ED2"/>
    <w:rsid w:val="000A7FCA"/>
    <w:rsid w:val="000B0000"/>
    <w:rsid w:val="000B002A"/>
    <w:rsid w:val="000B0093"/>
    <w:rsid w:val="000B0165"/>
    <w:rsid w:val="000B02CE"/>
    <w:rsid w:val="000B04D7"/>
    <w:rsid w:val="000B05A2"/>
    <w:rsid w:val="000B05C7"/>
    <w:rsid w:val="000B05D0"/>
    <w:rsid w:val="000B067A"/>
    <w:rsid w:val="000B0791"/>
    <w:rsid w:val="000B08AB"/>
    <w:rsid w:val="000B098C"/>
    <w:rsid w:val="000B0A6C"/>
    <w:rsid w:val="000B0AAA"/>
    <w:rsid w:val="000B0AC8"/>
    <w:rsid w:val="000B0BF2"/>
    <w:rsid w:val="000B0CDC"/>
    <w:rsid w:val="000B0D5E"/>
    <w:rsid w:val="000B0DE7"/>
    <w:rsid w:val="000B1082"/>
    <w:rsid w:val="000B10B4"/>
    <w:rsid w:val="000B10CF"/>
    <w:rsid w:val="000B10D0"/>
    <w:rsid w:val="000B1114"/>
    <w:rsid w:val="000B12AC"/>
    <w:rsid w:val="000B12DA"/>
    <w:rsid w:val="000B130C"/>
    <w:rsid w:val="000B143C"/>
    <w:rsid w:val="000B14C9"/>
    <w:rsid w:val="000B1540"/>
    <w:rsid w:val="000B1546"/>
    <w:rsid w:val="000B1565"/>
    <w:rsid w:val="000B15F2"/>
    <w:rsid w:val="000B1615"/>
    <w:rsid w:val="000B16F8"/>
    <w:rsid w:val="000B174C"/>
    <w:rsid w:val="000B1753"/>
    <w:rsid w:val="000B1759"/>
    <w:rsid w:val="000B17BE"/>
    <w:rsid w:val="000B17D8"/>
    <w:rsid w:val="000B185A"/>
    <w:rsid w:val="000B1940"/>
    <w:rsid w:val="000B1B1D"/>
    <w:rsid w:val="000B1C38"/>
    <w:rsid w:val="000B1C4F"/>
    <w:rsid w:val="000B1D1D"/>
    <w:rsid w:val="000B1D5E"/>
    <w:rsid w:val="000B1DE5"/>
    <w:rsid w:val="000B1E53"/>
    <w:rsid w:val="000B20F7"/>
    <w:rsid w:val="000B2476"/>
    <w:rsid w:val="000B24CF"/>
    <w:rsid w:val="000B2677"/>
    <w:rsid w:val="000B27CC"/>
    <w:rsid w:val="000B2884"/>
    <w:rsid w:val="000B2A4C"/>
    <w:rsid w:val="000B2AED"/>
    <w:rsid w:val="000B2C3F"/>
    <w:rsid w:val="000B2D6A"/>
    <w:rsid w:val="000B2E0C"/>
    <w:rsid w:val="000B2E5E"/>
    <w:rsid w:val="000B2E74"/>
    <w:rsid w:val="000B31B3"/>
    <w:rsid w:val="000B31F8"/>
    <w:rsid w:val="000B325C"/>
    <w:rsid w:val="000B33FD"/>
    <w:rsid w:val="000B34C1"/>
    <w:rsid w:val="000B34FC"/>
    <w:rsid w:val="000B3573"/>
    <w:rsid w:val="000B359E"/>
    <w:rsid w:val="000B3600"/>
    <w:rsid w:val="000B36B0"/>
    <w:rsid w:val="000B36CC"/>
    <w:rsid w:val="000B3754"/>
    <w:rsid w:val="000B386A"/>
    <w:rsid w:val="000B3985"/>
    <w:rsid w:val="000B399D"/>
    <w:rsid w:val="000B3A99"/>
    <w:rsid w:val="000B3AF8"/>
    <w:rsid w:val="000B3C82"/>
    <w:rsid w:val="000B3D14"/>
    <w:rsid w:val="000B3DAE"/>
    <w:rsid w:val="000B3DC0"/>
    <w:rsid w:val="000B3F0F"/>
    <w:rsid w:val="000B4186"/>
    <w:rsid w:val="000B41FD"/>
    <w:rsid w:val="000B42A7"/>
    <w:rsid w:val="000B4317"/>
    <w:rsid w:val="000B438E"/>
    <w:rsid w:val="000B43CC"/>
    <w:rsid w:val="000B44DD"/>
    <w:rsid w:val="000B456D"/>
    <w:rsid w:val="000B45E2"/>
    <w:rsid w:val="000B472A"/>
    <w:rsid w:val="000B47DF"/>
    <w:rsid w:val="000B480C"/>
    <w:rsid w:val="000B48A9"/>
    <w:rsid w:val="000B4949"/>
    <w:rsid w:val="000B49E7"/>
    <w:rsid w:val="000B4ABA"/>
    <w:rsid w:val="000B4AFA"/>
    <w:rsid w:val="000B4B86"/>
    <w:rsid w:val="000B4BFA"/>
    <w:rsid w:val="000B4D35"/>
    <w:rsid w:val="000B4E8E"/>
    <w:rsid w:val="000B4EB2"/>
    <w:rsid w:val="000B4FAF"/>
    <w:rsid w:val="000B501B"/>
    <w:rsid w:val="000B5099"/>
    <w:rsid w:val="000B517F"/>
    <w:rsid w:val="000B51BE"/>
    <w:rsid w:val="000B5374"/>
    <w:rsid w:val="000B54CE"/>
    <w:rsid w:val="000B5573"/>
    <w:rsid w:val="000B5673"/>
    <w:rsid w:val="000B5723"/>
    <w:rsid w:val="000B5980"/>
    <w:rsid w:val="000B59AA"/>
    <w:rsid w:val="000B5BCD"/>
    <w:rsid w:val="000B5E2E"/>
    <w:rsid w:val="000B5EAC"/>
    <w:rsid w:val="000B5F39"/>
    <w:rsid w:val="000B60BA"/>
    <w:rsid w:val="000B622D"/>
    <w:rsid w:val="000B6270"/>
    <w:rsid w:val="000B6277"/>
    <w:rsid w:val="000B62A4"/>
    <w:rsid w:val="000B6497"/>
    <w:rsid w:val="000B6503"/>
    <w:rsid w:val="000B6505"/>
    <w:rsid w:val="000B653A"/>
    <w:rsid w:val="000B6559"/>
    <w:rsid w:val="000B6615"/>
    <w:rsid w:val="000B66C1"/>
    <w:rsid w:val="000B68A1"/>
    <w:rsid w:val="000B68AE"/>
    <w:rsid w:val="000B696C"/>
    <w:rsid w:val="000B6972"/>
    <w:rsid w:val="000B6D0F"/>
    <w:rsid w:val="000B6D8D"/>
    <w:rsid w:val="000B6DA6"/>
    <w:rsid w:val="000B6DB1"/>
    <w:rsid w:val="000B6E1A"/>
    <w:rsid w:val="000B6E34"/>
    <w:rsid w:val="000B708A"/>
    <w:rsid w:val="000B71CA"/>
    <w:rsid w:val="000B71D3"/>
    <w:rsid w:val="000B71E0"/>
    <w:rsid w:val="000B7264"/>
    <w:rsid w:val="000B7294"/>
    <w:rsid w:val="000B7320"/>
    <w:rsid w:val="000B73FF"/>
    <w:rsid w:val="000B7427"/>
    <w:rsid w:val="000B753F"/>
    <w:rsid w:val="000B7615"/>
    <w:rsid w:val="000B79B5"/>
    <w:rsid w:val="000B79E4"/>
    <w:rsid w:val="000B7A89"/>
    <w:rsid w:val="000B7BDC"/>
    <w:rsid w:val="000B7D15"/>
    <w:rsid w:val="000B7D3B"/>
    <w:rsid w:val="000B7E54"/>
    <w:rsid w:val="000C0000"/>
    <w:rsid w:val="000C0077"/>
    <w:rsid w:val="000C019E"/>
    <w:rsid w:val="000C033A"/>
    <w:rsid w:val="000C03FC"/>
    <w:rsid w:val="000C040C"/>
    <w:rsid w:val="000C04B4"/>
    <w:rsid w:val="000C05B3"/>
    <w:rsid w:val="000C05B4"/>
    <w:rsid w:val="000C0695"/>
    <w:rsid w:val="000C06AA"/>
    <w:rsid w:val="000C06AC"/>
    <w:rsid w:val="000C06E1"/>
    <w:rsid w:val="000C0784"/>
    <w:rsid w:val="000C07E8"/>
    <w:rsid w:val="000C0850"/>
    <w:rsid w:val="000C0A10"/>
    <w:rsid w:val="000C0A34"/>
    <w:rsid w:val="000C0B21"/>
    <w:rsid w:val="000C0C13"/>
    <w:rsid w:val="000C0CF1"/>
    <w:rsid w:val="000C0CF3"/>
    <w:rsid w:val="000C0E11"/>
    <w:rsid w:val="000C0E7D"/>
    <w:rsid w:val="000C1393"/>
    <w:rsid w:val="000C13AF"/>
    <w:rsid w:val="000C1466"/>
    <w:rsid w:val="000C146D"/>
    <w:rsid w:val="000C14B5"/>
    <w:rsid w:val="000C14F4"/>
    <w:rsid w:val="000C14F6"/>
    <w:rsid w:val="000C1559"/>
    <w:rsid w:val="000C1572"/>
    <w:rsid w:val="000C1586"/>
    <w:rsid w:val="000C1675"/>
    <w:rsid w:val="000C17A1"/>
    <w:rsid w:val="000C17F4"/>
    <w:rsid w:val="000C19EA"/>
    <w:rsid w:val="000C1B39"/>
    <w:rsid w:val="000C1BC7"/>
    <w:rsid w:val="000C1C58"/>
    <w:rsid w:val="000C1CA0"/>
    <w:rsid w:val="000C1F81"/>
    <w:rsid w:val="000C1F88"/>
    <w:rsid w:val="000C2084"/>
    <w:rsid w:val="000C234A"/>
    <w:rsid w:val="000C2373"/>
    <w:rsid w:val="000C2377"/>
    <w:rsid w:val="000C23AA"/>
    <w:rsid w:val="000C2456"/>
    <w:rsid w:val="000C245C"/>
    <w:rsid w:val="000C24D8"/>
    <w:rsid w:val="000C2538"/>
    <w:rsid w:val="000C268A"/>
    <w:rsid w:val="000C26F9"/>
    <w:rsid w:val="000C28F6"/>
    <w:rsid w:val="000C295F"/>
    <w:rsid w:val="000C2A80"/>
    <w:rsid w:val="000C2A8F"/>
    <w:rsid w:val="000C2CF8"/>
    <w:rsid w:val="000C2DA9"/>
    <w:rsid w:val="000C2DC5"/>
    <w:rsid w:val="000C2E83"/>
    <w:rsid w:val="000C2FD9"/>
    <w:rsid w:val="000C3027"/>
    <w:rsid w:val="000C3112"/>
    <w:rsid w:val="000C31FB"/>
    <w:rsid w:val="000C32AA"/>
    <w:rsid w:val="000C3558"/>
    <w:rsid w:val="000C35AE"/>
    <w:rsid w:val="000C35CE"/>
    <w:rsid w:val="000C35D7"/>
    <w:rsid w:val="000C3643"/>
    <w:rsid w:val="000C37E7"/>
    <w:rsid w:val="000C3822"/>
    <w:rsid w:val="000C3829"/>
    <w:rsid w:val="000C3888"/>
    <w:rsid w:val="000C3A96"/>
    <w:rsid w:val="000C3C00"/>
    <w:rsid w:val="000C3D2F"/>
    <w:rsid w:val="000C3D5B"/>
    <w:rsid w:val="000C3E7B"/>
    <w:rsid w:val="000C3FC2"/>
    <w:rsid w:val="000C403C"/>
    <w:rsid w:val="000C40C7"/>
    <w:rsid w:val="000C41C3"/>
    <w:rsid w:val="000C4253"/>
    <w:rsid w:val="000C426B"/>
    <w:rsid w:val="000C428E"/>
    <w:rsid w:val="000C42E1"/>
    <w:rsid w:val="000C4343"/>
    <w:rsid w:val="000C43E6"/>
    <w:rsid w:val="000C44E1"/>
    <w:rsid w:val="000C459F"/>
    <w:rsid w:val="000C46BD"/>
    <w:rsid w:val="000C4702"/>
    <w:rsid w:val="000C47D7"/>
    <w:rsid w:val="000C4826"/>
    <w:rsid w:val="000C4839"/>
    <w:rsid w:val="000C487F"/>
    <w:rsid w:val="000C48A1"/>
    <w:rsid w:val="000C4940"/>
    <w:rsid w:val="000C497B"/>
    <w:rsid w:val="000C4B16"/>
    <w:rsid w:val="000C4B83"/>
    <w:rsid w:val="000C4C00"/>
    <w:rsid w:val="000C4CF6"/>
    <w:rsid w:val="000C4D4F"/>
    <w:rsid w:val="000C4E22"/>
    <w:rsid w:val="000C4F35"/>
    <w:rsid w:val="000C4F6C"/>
    <w:rsid w:val="000C5085"/>
    <w:rsid w:val="000C50C3"/>
    <w:rsid w:val="000C50D6"/>
    <w:rsid w:val="000C513A"/>
    <w:rsid w:val="000C525C"/>
    <w:rsid w:val="000C525F"/>
    <w:rsid w:val="000C5314"/>
    <w:rsid w:val="000C558D"/>
    <w:rsid w:val="000C5592"/>
    <w:rsid w:val="000C55AD"/>
    <w:rsid w:val="000C55FF"/>
    <w:rsid w:val="000C563E"/>
    <w:rsid w:val="000C5781"/>
    <w:rsid w:val="000C5920"/>
    <w:rsid w:val="000C598D"/>
    <w:rsid w:val="000C5D8E"/>
    <w:rsid w:val="000C5E14"/>
    <w:rsid w:val="000C5FCB"/>
    <w:rsid w:val="000C600E"/>
    <w:rsid w:val="000C60B1"/>
    <w:rsid w:val="000C621D"/>
    <w:rsid w:val="000C6291"/>
    <w:rsid w:val="000C62DB"/>
    <w:rsid w:val="000C6358"/>
    <w:rsid w:val="000C639A"/>
    <w:rsid w:val="000C6542"/>
    <w:rsid w:val="000C6647"/>
    <w:rsid w:val="000C66C6"/>
    <w:rsid w:val="000C6875"/>
    <w:rsid w:val="000C6885"/>
    <w:rsid w:val="000C69DD"/>
    <w:rsid w:val="000C6A3D"/>
    <w:rsid w:val="000C6AE1"/>
    <w:rsid w:val="000C6AEA"/>
    <w:rsid w:val="000C6B72"/>
    <w:rsid w:val="000C6B77"/>
    <w:rsid w:val="000C6BF4"/>
    <w:rsid w:val="000C6C65"/>
    <w:rsid w:val="000C6E40"/>
    <w:rsid w:val="000C6E45"/>
    <w:rsid w:val="000C6EDF"/>
    <w:rsid w:val="000C6EF7"/>
    <w:rsid w:val="000C7032"/>
    <w:rsid w:val="000C70F0"/>
    <w:rsid w:val="000C7168"/>
    <w:rsid w:val="000C734C"/>
    <w:rsid w:val="000C74A3"/>
    <w:rsid w:val="000C76B7"/>
    <w:rsid w:val="000C76BF"/>
    <w:rsid w:val="000C7789"/>
    <w:rsid w:val="000C7874"/>
    <w:rsid w:val="000C79BE"/>
    <w:rsid w:val="000C7A18"/>
    <w:rsid w:val="000C7AC0"/>
    <w:rsid w:val="000C7ADC"/>
    <w:rsid w:val="000C7BE3"/>
    <w:rsid w:val="000C7C12"/>
    <w:rsid w:val="000C7C4A"/>
    <w:rsid w:val="000C7C57"/>
    <w:rsid w:val="000C7CF1"/>
    <w:rsid w:val="000C7D0B"/>
    <w:rsid w:val="000C7D28"/>
    <w:rsid w:val="000C7E31"/>
    <w:rsid w:val="000C7E5E"/>
    <w:rsid w:val="000C7F6E"/>
    <w:rsid w:val="000D0125"/>
    <w:rsid w:val="000D019D"/>
    <w:rsid w:val="000D0218"/>
    <w:rsid w:val="000D02EE"/>
    <w:rsid w:val="000D0367"/>
    <w:rsid w:val="000D0424"/>
    <w:rsid w:val="000D0456"/>
    <w:rsid w:val="000D05D5"/>
    <w:rsid w:val="000D0741"/>
    <w:rsid w:val="000D07FE"/>
    <w:rsid w:val="000D09A8"/>
    <w:rsid w:val="000D0AC1"/>
    <w:rsid w:val="000D0ACC"/>
    <w:rsid w:val="000D0B95"/>
    <w:rsid w:val="000D0BAA"/>
    <w:rsid w:val="000D0C7E"/>
    <w:rsid w:val="000D0CA3"/>
    <w:rsid w:val="000D0CCB"/>
    <w:rsid w:val="000D0D6F"/>
    <w:rsid w:val="000D0F06"/>
    <w:rsid w:val="000D0F4B"/>
    <w:rsid w:val="000D0F5D"/>
    <w:rsid w:val="000D115C"/>
    <w:rsid w:val="000D11BA"/>
    <w:rsid w:val="000D125F"/>
    <w:rsid w:val="000D1355"/>
    <w:rsid w:val="000D136E"/>
    <w:rsid w:val="000D14D7"/>
    <w:rsid w:val="000D14D9"/>
    <w:rsid w:val="000D14F5"/>
    <w:rsid w:val="000D152A"/>
    <w:rsid w:val="000D153A"/>
    <w:rsid w:val="000D1604"/>
    <w:rsid w:val="000D17FA"/>
    <w:rsid w:val="000D190A"/>
    <w:rsid w:val="000D19E5"/>
    <w:rsid w:val="000D1ACF"/>
    <w:rsid w:val="000D1AD3"/>
    <w:rsid w:val="000D1C81"/>
    <w:rsid w:val="000D1D9A"/>
    <w:rsid w:val="000D1F19"/>
    <w:rsid w:val="000D1FBE"/>
    <w:rsid w:val="000D2021"/>
    <w:rsid w:val="000D209C"/>
    <w:rsid w:val="000D2119"/>
    <w:rsid w:val="000D21F6"/>
    <w:rsid w:val="000D2214"/>
    <w:rsid w:val="000D230F"/>
    <w:rsid w:val="000D2377"/>
    <w:rsid w:val="000D2439"/>
    <w:rsid w:val="000D249F"/>
    <w:rsid w:val="000D2544"/>
    <w:rsid w:val="000D2601"/>
    <w:rsid w:val="000D26B0"/>
    <w:rsid w:val="000D2798"/>
    <w:rsid w:val="000D27A3"/>
    <w:rsid w:val="000D284C"/>
    <w:rsid w:val="000D29E3"/>
    <w:rsid w:val="000D2A29"/>
    <w:rsid w:val="000D2A5E"/>
    <w:rsid w:val="000D2C34"/>
    <w:rsid w:val="000D2D28"/>
    <w:rsid w:val="000D2DF9"/>
    <w:rsid w:val="000D2E65"/>
    <w:rsid w:val="000D2E6B"/>
    <w:rsid w:val="000D2FCF"/>
    <w:rsid w:val="000D3013"/>
    <w:rsid w:val="000D307C"/>
    <w:rsid w:val="000D3329"/>
    <w:rsid w:val="000D334D"/>
    <w:rsid w:val="000D338A"/>
    <w:rsid w:val="000D343C"/>
    <w:rsid w:val="000D3493"/>
    <w:rsid w:val="000D35A3"/>
    <w:rsid w:val="000D35D1"/>
    <w:rsid w:val="000D36AC"/>
    <w:rsid w:val="000D378D"/>
    <w:rsid w:val="000D3810"/>
    <w:rsid w:val="000D38EA"/>
    <w:rsid w:val="000D3971"/>
    <w:rsid w:val="000D39C5"/>
    <w:rsid w:val="000D3B21"/>
    <w:rsid w:val="000D3B9E"/>
    <w:rsid w:val="000D3BFA"/>
    <w:rsid w:val="000D3CA5"/>
    <w:rsid w:val="000D3E2E"/>
    <w:rsid w:val="000D4028"/>
    <w:rsid w:val="000D4272"/>
    <w:rsid w:val="000D4376"/>
    <w:rsid w:val="000D43C0"/>
    <w:rsid w:val="000D4500"/>
    <w:rsid w:val="000D4561"/>
    <w:rsid w:val="000D45AE"/>
    <w:rsid w:val="000D45B2"/>
    <w:rsid w:val="000D464B"/>
    <w:rsid w:val="000D4779"/>
    <w:rsid w:val="000D4882"/>
    <w:rsid w:val="000D4ADD"/>
    <w:rsid w:val="000D4C92"/>
    <w:rsid w:val="000D4D8E"/>
    <w:rsid w:val="000D4E2E"/>
    <w:rsid w:val="000D4E32"/>
    <w:rsid w:val="000D4F55"/>
    <w:rsid w:val="000D5152"/>
    <w:rsid w:val="000D515A"/>
    <w:rsid w:val="000D51F9"/>
    <w:rsid w:val="000D530E"/>
    <w:rsid w:val="000D5345"/>
    <w:rsid w:val="000D539B"/>
    <w:rsid w:val="000D544F"/>
    <w:rsid w:val="000D5459"/>
    <w:rsid w:val="000D54D1"/>
    <w:rsid w:val="000D564A"/>
    <w:rsid w:val="000D569E"/>
    <w:rsid w:val="000D56D1"/>
    <w:rsid w:val="000D583D"/>
    <w:rsid w:val="000D588B"/>
    <w:rsid w:val="000D588F"/>
    <w:rsid w:val="000D58EA"/>
    <w:rsid w:val="000D594C"/>
    <w:rsid w:val="000D5A47"/>
    <w:rsid w:val="000D5A77"/>
    <w:rsid w:val="000D5ABA"/>
    <w:rsid w:val="000D5BA5"/>
    <w:rsid w:val="000D5CB2"/>
    <w:rsid w:val="000D5CDB"/>
    <w:rsid w:val="000D5DD8"/>
    <w:rsid w:val="000D5DEF"/>
    <w:rsid w:val="000D5EEB"/>
    <w:rsid w:val="000D5F5E"/>
    <w:rsid w:val="000D5F83"/>
    <w:rsid w:val="000D6077"/>
    <w:rsid w:val="000D607C"/>
    <w:rsid w:val="000D6094"/>
    <w:rsid w:val="000D60CE"/>
    <w:rsid w:val="000D6175"/>
    <w:rsid w:val="000D61E2"/>
    <w:rsid w:val="000D65D9"/>
    <w:rsid w:val="000D6673"/>
    <w:rsid w:val="000D67C6"/>
    <w:rsid w:val="000D6A0A"/>
    <w:rsid w:val="000D6A32"/>
    <w:rsid w:val="000D6A53"/>
    <w:rsid w:val="000D6AFF"/>
    <w:rsid w:val="000D6B85"/>
    <w:rsid w:val="000D6BE9"/>
    <w:rsid w:val="000D6CB3"/>
    <w:rsid w:val="000D6DA9"/>
    <w:rsid w:val="000D6DE2"/>
    <w:rsid w:val="000D6E73"/>
    <w:rsid w:val="000D6EC1"/>
    <w:rsid w:val="000D6F5D"/>
    <w:rsid w:val="000D6F89"/>
    <w:rsid w:val="000D7227"/>
    <w:rsid w:val="000D7237"/>
    <w:rsid w:val="000D7268"/>
    <w:rsid w:val="000D7315"/>
    <w:rsid w:val="000D752C"/>
    <w:rsid w:val="000D75BA"/>
    <w:rsid w:val="000D76C0"/>
    <w:rsid w:val="000D7756"/>
    <w:rsid w:val="000D7AEA"/>
    <w:rsid w:val="000D7C2C"/>
    <w:rsid w:val="000D7C74"/>
    <w:rsid w:val="000D7DCB"/>
    <w:rsid w:val="000D7F03"/>
    <w:rsid w:val="000D7FED"/>
    <w:rsid w:val="000E0050"/>
    <w:rsid w:val="000E0554"/>
    <w:rsid w:val="000E05B8"/>
    <w:rsid w:val="000E05C7"/>
    <w:rsid w:val="000E0620"/>
    <w:rsid w:val="000E066B"/>
    <w:rsid w:val="000E067F"/>
    <w:rsid w:val="000E0728"/>
    <w:rsid w:val="000E0787"/>
    <w:rsid w:val="000E0838"/>
    <w:rsid w:val="000E0AC5"/>
    <w:rsid w:val="000E0BD5"/>
    <w:rsid w:val="000E0D5C"/>
    <w:rsid w:val="000E0D8A"/>
    <w:rsid w:val="000E0F31"/>
    <w:rsid w:val="000E1047"/>
    <w:rsid w:val="000E10CD"/>
    <w:rsid w:val="000E10DB"/>
    <w:rsid w:val="000E11E7"/>
    <w:rsid w:val="000E1271"/>
    <w:rsid w:val="000E1513"/>
    <w:rsid w:val="000E1530"/>
    <w:rsid w:val="000E178C"/>
    <w:rsid w:val="000E1917"/>
    <w:rsid w:val="000E19D0"/>
    <w:rsid w:val="000E1B0D"/>
    <w:rsid w:val="000E1BBC"/>
    <w:rsid w:val="000E1C36"/>
    <w:rsid w:val="000E1DCA"/>
    <w:rsid w:val="000E1FDD"/>
    <w:rsid w:val="000E211C"/>
    <w:rsid w:val="000E2149"/>
    <w:rsid w:val="000E226C"/>
    <w:rsid w:val="000E22ED"/>
    <w:rsid w:val="000E22F4"/>
    <w:rsid w:val="000E238D"/>
    <w:rsid w:val="000E24E2"/>
    <w:rsid w:val="000E25A8"/>
    <w:rsid w:val="000E25A9"/>
    <w:rsid w:val="000E25D8"/>
    <w:rsid w:val="000E267A"/>
    <w:rsid w:val="000E26AE"/>
    <w:rsid w:val="000E271F"/>
    <w:rsid w:val="000E27E8"/>
    <w:rsid w:val="000E2AAF"/>
    <w:rsid w:val="000E2AC1"/>
    <w:rsid w:val="000E2AC5"/>
    <w:rsid w:val="000E2AF3"/>
    <w:rsid w:val="000E2C66"/>
    <w:rsid w:val="000E2E15"/>
    <w:rsid w:val="000E2E8F"/>
    <w:rsid w:val="000E2F0F"/>
    <w:rsid w:val="000E2F3F"/>
    <w:rsid w:val="000E3058"/>
    <w:rsid w:val="000E3181"/>
    <w:rsid w:val="000E3447"/>
    <w:rsid w:val="000E34B4"/>
    <w:rsid w:val="000E356E"/>
    <w:rsid w:val="000E357C"/>
    <w:rsid w:val="000E35A4"/>
    <w:rsid w:val="000E35C3"/>
    <w:rsid w:val="000E3642"/>
    <w:rsid w:val="000E36CC"/>
    <w:rsid w:val="000E373A"/>
    <w:rsid w:val="000E38D5"/>
    <w:rsid w:val="000E3A0D"/>
    <w:rsid w:val="000E3AA6"/>
    <w:rsid w:val="000E3BEA"/>
    <w:rsid w:val="000E3C03"/>
    <w:rsid w:val="000E3D22"/>
    <w:rsid w:val="000E3D42"/>
    <w:rsid w:val="000E4040"/>
    <w:rsid w:val="000E419A"/>
    <w:rsid w:val="000E4252"/>
    <w:rsid w:val="000E429E"/>
    <w:rsid w:val="000E43F6"/>
    <w:rsid w:val="000E442B"/>
    <w:rsid w:val="000E443C"/>
    <w:rsid w:val="000E4496"/>
    <w:rsid w:val="000E455C"/>
    <w:rsid w:val="000E4562"/>
    <w:rsid w:val="000E457F"/>
    <w:rsid w:val="000E4598"/>
    <w:rsid w:val="000E45C5"/>
    <w:rsid w:val="000E46BE"/>
    <w:rsid w:val="000E4749"/>
    <w:rsid w:val="000E4785"/>
    <w:rsid w:val="000E47E3"/>
    <w:rsid w:val="000E48C8"/>
    <w:rsid w:val="000E4AAE"/>
    <w:rsid w:val="000E4B38"/>
    <w:rsid w:val="000E4D36"/>
    <w:rsid w:val="000E4E02"/>
    <w:rsid w:val="000E4E3C"/>
    <w:rsid w:val="000E4E40"/>
    <w:rsid w:val="000E4E64"/>
    <w:rsid w:val="000E4E6C"/>
    <w:rsid w:val="000E4E70"/>
    <w:rsid w:val="000E4E84"/>
    <w:rsid w:val="000E507B"/>
    <w:rsid w:val="000E53EE"/>
    <w:rsid w:val="000E5481"/>
    <w:rsid w:val="000E555C"/>
    <w:rsid w:val="000E5562"/>
    <w:rsid w:val="000E556C"/>
    <w:rsid w:val="000E5701"/>
    <w:rsid w:val="000E572F"/>
    <w:rsid w:val="000E5782"/>
    <w:rsid w:val="000E5791"/>
    <w:rsid w:val="000E587F"/>
    <w:rsid w:val="000E589D"/>
    <w:rsid w:val="000E58C4"/>
    <w:rsid w:val="000E5970"/>
    <w:rsid w:val="000E5A1F"/>
    <w:rsid w:val="000E5B1D"/>
    <w:rsid w:val="000E5BC0"/>
    <w:rsid w:val="000E5BD0"/>
    <w:rsid w:val="000E5C7C"/>
    <w:rsid w:val="000E5EC5"/>
    <w:rsid w:val="000E6007"/>
    <w:rsid w:val="000E60D5"/>
    <w:rsid w:val="000E60E8"/>
    <w:rsid w:val="000E61AC"/>
    <w:rsid w:val="000E627E"/>
    <w:rsid w:val="000E62D5"/>
    <w:rsid w:val="000E6426"/>
    <w:rsid w:val="000E6500"/>
    <w:rsid w:val="000E65E5"/>
    <w:rsid w:val="000E6628"/>
    <w:rsid w:val="000E66DE"/>
    <w:rsid w:val="000E681D"/>
    <w:rsid w:val="000E6921"/>
    <w:rsid w:val="000E698F"/>
    <w:rsid w:val="000E69FB"/>
    <w:rsid w:val="000E6A20"/>
    <w:rsid w:val="000E6B63"/>
    <w:rsid w:val="000E6C16"/>
    <w:rsid w:val="000E6CB6"/>
    <w:rsid w:val="000E6D66"/>
    <w:rsid w:val="000E6E3B"/>
    <w:rsid w:val="000E701D"/>
    <w:rsid w:val="000E7172"/>
    <w:rsid w:val="000E717C"/>
    <w:rsid w:val="000E71F6"/>
    <w:rsid w:val="000E72DE"/>
    <w:rsid w:val="000E756B"/>
    <w:rsid w:val="000E761F"/>
    <w:rsid w:val="000E76D4"/>
    <w:rsid w:val="000E7BDD"/>
    <w:rsid w:val="000E7BE3"/>
    <w:rsid w:val="000E7BFB"/>
    <w:rsid w:val="000E7C1D"/>
    <w:rsid w:val="000E7D4D"/>
    <w:rsid w:val="000E7DB4"/>
    <w:rsid w:val="000E7DBD"/>
    <w:rsid w:val="000E7DCF"/>
    <w:rsid w:val="000E7E9B"/>
    <w:rsid w:val="000F00A8"/>
    <w:rsid w:val="000F00E1"/>
    <w:rsid w:val="000F00F7"/>
    <w:rsid w:val="000F010B"/>
    <w:rsid w:val="000F0119"/>
    <w:rsid w:val="000F02D7"/>
    <w:rsid w:val="000F0460"/>
    <w:rsid w:val="000F0516"/>
    <w:rsid w:val="000F06A5"/>
    <w:rsid w:val="000F0749"/>
    <w:rsid w:val="000F0793"/>
    <w:rsid w:val="000F07AF"/>
    <w:rsid w:val="000F080F"/>
    <w:rsid w:val="000F0A06"/>
    <w:rsid w:val="000F0C9D"/>
    <w:rsid w:val="000F0EBC"/>
    <w:rsid w:val="000F0F40"/>
    <w:rsid w:val="000F101C"/>
    <w:rsid w:val="000F10C9"/>
    <w:rsid w:val="000F120C"/>
    <w:rsid w:val="000F123C"/>
    <w:rsid w:val="000F1340"/>
    <w:rsid w:val="000F1457"/>
    <w:rsid w:val="000F161F"/>
    <w:rsid w:val="000F16DD"/>
    <w:rsid w:val="000F1729"/>
    <w:rsid w:val="000F188C"/>
    <w:rsid w:val="000F1996"/>
    <w:rsid w:val="000F1A79"/>
    <w:rsid w:val="000F1AE6"/>
    <w:rsid w:val="000F1C9C"/>
    <w:rsid w:val="000F1EBF"/>
    <w:rsid w:val="000F1F45"/>
    <w:rsid w:val="000F2053"/>
    <w:rsid w:val="000F216D"/>
    <w:rsid w:val="000F22D2"/>
    <w:rsid w:val="000F23BF"/>
    <w:rsid w:val="000F26C8"/>
    <w:rsid w:val="000F27B7"/>
    <w:rsid w:val="000F28E6"/>
    <w:rsid w:val="000F299D"/>
    <w:rsid w:val="000F2A1D"/>
    <w:rsid w:val="000F2C91"/>
    <w:rsid w:val="000F2D02"/>
    <w:rsid w:val="000F2DA0"/>
    <w:rsid w:val="000F2E08"/>
    <w:rsid w:val="000F2E28"/>
    <w:rsid w:val="000F2F7C"/>
    <w:rsid w:val="000F2FED"/>
    <w:rsid w:val="000F319E"/>
    <w:rsid w:val="000F31A3"/>
    <w:rsid w:val="000F3287"/>
    <w:rsid w:val="000F332D"/>
    <w:rsid w:val="000F34EC"/>
    <w:rsid w:val="000F35CB"/>
    <w:rsid w:val="000F3770"/>
    <w:rsid w:val="000F37CD"/>
    <w:rsid w:val="000F37F0"/>
    <w:rsid w:val="000F3849"/>
    <w:rsid w:val="000F3891"/>
    <w:rsid w:val="000F3933"/>
    <w:rsid w:val="000F3A07"/>
    <w:rsid w:val="000F3A2A"/>
    <w:rsid w:val="000F3AB1"/>
    <w:rsid w:val="000F3C50"/>
    <w:rsid w:val="000F3D6F"/>
    <w:rsid w:val="000F3F3C"/>
    <w:rsid w:val="000F409B"/>
    <w:rsid w:val="000F41BA"/>
    <w:rsid w:val="000F4219"/>
    <w:rsid w:val="000F449A"/>
    <w:rsid w:val="000F46ED"/>
    <w:rsid w:val="000F4712"/>
    <w:rsid w:val="000F4759"/>
    <w:rsid w:val="000F49AF"/>
    <w:rsid w:val="000F4B85"/>
    <w:rsid w:val="000F4CC4"/>
    <w:rsid w:val="000F4CEF"/>
    <w:rsid w:val="000F4DB6"/>
    <w:rsid w:val="000F4E16"/>
    <w:rsid w:val="000F4F6C"/>
    <w:rsid w:val="000F5010"/>
    <w:rsid w:val="000F5020"/>
    <w:rsid w:val="000F50E1"/>
    <w:rsid w:val="000F516E"/>
    <w:rsid w:val="000F521A"/>
    <w:rsid w:val="000F522C"/>
    <w:rsid w:val="000F526C"/>
    <w:rsid w:val="000F52C9"/>
    <w:rsid w:val="000F52E6"/>
    <w:rsid w:val="000F5356"/>
    <w:rsid w:val="000F537B"/>
    <w:rsid w:val="000F547F"/>
    <w:rsid w:val="000F555F"/>
    <w:rsid w:val="000F5584"/>
    <w:rsid w:val="000F55C3"/>
    <w:rsid w:val="000F5609"/>
    <w:rsid w:val="000F564E"/>
    <w:rsid w:val="000F567D"/>
    <w:rsid w:val="000F58CE"/>
    <w:rsid w:val="000F599E"/>
    <w:rsid w:val="000F5AAD"/>
    <w:rsid w:val="000F5B10"/>
    <w:rsid w:val="000F5B4E"/>
    <w:rsid w:val="000F5C79"/>
    <w:rsid w:val="000F5CC7"/>
    <w:rsid w:val="000F5CFB"/>
    <w:rsid w:val="000F5EC2"/>
    <w:rsid w:val="000F5EEC"/>
    <w:rsid w:val="000F5F2E"/>
    <w:rsid w:val="000F5FC7"/>
    <w:rsid w:val="000F5FFD"/>
    <w:rsid w:val="000F60ED"/>
    <w:rsid w:val="000F6197"/>
    <w:rsid w:val="000F624E"/>
    <w:rsid w:val="000F627B"/>
    <w:rsid w:val="000F630A"/>
    <w:rsid w:val="000F63C8"/>
    <w:rsid w:val="000F63D9"/>
    <w:rsid w:val="000F63E7"/>
    <w:rsid w:val="000F6524"/>
    <w:rsid w:val="000F66EF"/>
    <w:rsid w:val="000F68DF"/>
    <w:rsid w:val="000F693C"/>
    <w:rsid w:val="000F69E1"/>
    <w:rsid w:val="000F6A1A"/>
    <w:rsid w:val="000F6A9E"/>
    <w:rsid w:val="000F6B08"/>
    <w:rsid w:val="000F6BB2"/>
    <w:rsid w:val="000F6BF1"/>
    <w:rsid w:val="000F6CFF"/>
    <w:rsid w:val="000F6D13"/>
    <w:rsid w:val="000F6E29"/>
    <w:rsid w:val="000F6F77"/>
    <w:rsid w:val="000F706E"/>
    <w:rsid w:val="000F70C8"/>
    <w:rsid w:val="000F70DA"/>
    <w:rsid w:val="000F70E2"/>
    <w:rsid w:val="000F71E2"/>
    <w:rsid w:val="000F720F"/>
    <w:rsid w:val="000F7256"/>
    <w:rsid w:val="000F7345"/>
    <w:rsid w:val="000F7406"/>
    <w:rsid w:val="000F7499"/>
    <w:rsid w:val="000F74B2"/>
    <w:rsid w:val="000F7522"/>
    <w:rsid w:val="000F753C"/>
    <w:rsid w:val="000F7600"/>
    <w:rsid w:val="000F7797"/>
    <w:rsid w:val="000F7855"/>
    <w:rsid w:val="000F787D"/>
    <w:rsid w:val="000F78B8"/>
    <w:rsid w:val="000F796A"/>
    <w:rsid w:val="000F79B2"/>
    <w:rsid w:val="000F7A35"/>
    <w:rsid w:val="000F7B4B"/>
    <w:rsid w:val="000F7BA4"/>
    <w:rsid w:val="000F7D4B"/>
    <w:rsid w:val="000F7D7B"/>
    <w:rsid w:val="000F7EB0"/>
    <w:rsid w:val="000F7ED1"/>
    <w:rsid w:val="000F7F77"/>
    <w:rsid w:val="00100072"/>
    <w:rsid w:val="00100253"/>
    <w:rsid w:val="00100322"/>
    <w:rsid w:val="001003EB"/>
    <w:rsid w:val="001003F4"/>
    <w:rsid w:val="00100628"/>
    <w:rsid w:val="0010066C"/>
    <w:rsid w:val="001006DF"/>
    <w:rsid w:val="00100757"/>
    <w:rsid w:val="001008EC"/>
    <w:rsid w:val="001008F2"/>
    <w:rsid w:val="00100A69"/>
    <w:rsid w:val="00100B59"/>
    <w:rsid w:val="00100E22"/>
    <w:rsid w:val="00100E8C"/>
    <w:rsid w:val="00100EA3"/>
    <w:rsid w:val="00100FF8"/>
    <w:rsid w:val="0010110D"/>
    <w:rsid w:val="00101182"/>
    <w:rsid w:val="0010121C"/>
    <w:rsid w:val="001012D9"/>
    <w:rsid w:val="00101404"/>
    <w:rsid w:val="0010150F"/>
    <w:rsid w:val="0010162A"/>
    <w:rsid w:val="0010188A"/>
    <w:rsid w:val="0010191B"/>
    <w:rsid w:val="00101938"/>
    <w:rsid w:val="00101BDF"/>
    <w:rsid w:val="00101C7F"/>
    <w:rsid w:val="00101D10"/>
    <w:rsid w:val="00101ED9"/>
    <w:rsid w:val="00101F86"/>
    <w:rsid w:val="001021D2"/>
    <w:rsid w:val="001022AD"/>
    <w:rsid w:val="00102396"/>
    <w:rsid w:val="001023B3"/>
    <w:rsid w:val="001024FA"/>
    <w:rsid w:val="001025C4"/>
    <w:rsid w:val="00102604"/>
    <w:rsid w:val="00102637"/>
    <w:rsid w:val="00102764"/>
    <w:rsid w:val="001027B6"/>
    <w:rsid w:val="0010283B"/>
    <w:rsid w:val="00102C5A"/>
    <w:rsid w:val="00102D08"/>
    <w:rsid w:val="00102DC0"/>
    <w:rsid w:val="00102E40"/>
    <w:rsid w:val="00102F76"/>
    <w:rsid w:val="00102F8E"/>
    <w:rsid w:val="00103037"/>
    <w:rsid w:val="0010322B"/>
    <w:rsid w:val="0010328B"/>
    <w:rsid w:val="001033D6"/>
    <w:rsid w:val="001034C9"/>
    <w:rsid w:val="00103514"/>
    <w:rsid w:val="00103553"/>
    <w:rsid w:val="001036FB"/>
    <w:rsid w:val="001037D5"/>
    <w:rsid w:val="001037E8"/>
    <w:rsid w:val="00103897"/>
    <w:rsid w:val="00103C0D"/>
    <w:rsid w:val="00103CA9"/>
    <w:rsid w:val="00103DAE"/>
    <w:rsid w:val="00103FC5"/>
    <w:rsid w:val="00103FD7"/>
    <w:rsid w:val="0010427A"/>
    <w:rsid w:val="00104378"/>
    <w:rsid w:val="001043C3"/>
    <w:rsid w:val="00104433"/>
    <w:rsid w:val="001044A1"/>
    <w:rsid w:val="001044D0"/>
    <w:rsid w:val="001044D6"/>
    <w:rsid w:val="001045B1"/>
    <w:rsid w:val="00104634"/>
    <w:rsid w:val="00104744"/>
    <w:rsid w:val="001047C4"/>
    <w:rsid w:val="00104882"/>
    <w:rsid w:val="001048A7"/>
    <w:rsid w:val="001049B0"/>
    <w:rsid w:val="00104A32"/>
    <w:rsid w:val="00104B40"/>
    <w:rsid w:val="00104BF3"/>
    <w:rsid w:val="00104C69"/>
    <w:rsid w:val="00104E6F"/>
    <w:rsid w:val="00104E85"/>
    <w:rsid w:val="00105002"/>
    <w:rsid w:val="00105158"/>
    <w:rsid w:val="001051B0"/>
    <w:rsid w:val="00105211"/>
    <w:rsid w:val="00105354"/>
    <w:rsid w:val="00105413"/>
    <w:rsid w:val="00105440"/>
    <w:rsid w:val="00105466"/>
    <w:rsid w:val="0010554F"/>
    <w:rsid w:val="00105571"/>
    <w:rsid w:val="00105648"/>
    <w:rsid w:val="0010565C"/>
    <w:rsid w:val="00105751"/>
    <w:rsid w:val="0010585D"/>
    <w:rsid w:val="001058F3"/>
    <w:rsid w:val="00105A97"/>
    <w:rsid w:val="00105AE4"/>
    <w:rsid w:val="00105AEF"/>
    <w:rsid w:val="00105BF5"/>
    <w:rsid w:val="00105C14"/>
    <w:rsid w:val="00105CD5"/>
    <w:rsid w:val="00105D80"/>
    <w:rsid w:val="00105F3E"/>
    <w:rsid w:val="00105FA8"/>
    <w:rsid w:val="0010600C"/>
    <w:rsid w:val="001060F5"/>
    <w:rsid w:val="00106152"/>
    <w:rsid w:val="0010616D"/>
    <w:rsid w:val="00106208"/>
    <w:rsid w:val="001062D1"/>
    <w:rsid w:val="001062FF"/>
    <w:rsid w:val="00106360"/>
    <w:rsid w:val="00106414"/>
    <w:rsid w:val="0010659C"/>
    <w:rsid w:val="001065C2"/>
    <w:rsid w:val="0010685B"/>
    <w:rsid w:val="00106894"/>
    <w:rsid w:val="00106911"/>
    <w:rsid w:val="0010693A"/>
    <w:rsid w:val="001069E8"/>
    <w:rsid w:val="00106AF2"/>
    <w:rsid w:val="00106B2C"/>
    <w:rsid w:val="00106BA9"/>
    <w:rsid w:val="00106BC8"/>
    <w:rsid w:val="00106C0F"/>
    <w:rsid w:val="00106D36"/>
    <w:rsid w:val="00106D84"/>
    <w:rsid w:val="00106D9A"/>
    <w:rsid w:val="00106E26"/>
    <w:rsid w:val="00106F13"/>
    <w:rsid w:val="0010726A"/>
    <w:rsid w:val="00107280"/>
    <w:rsid w:val="0010730D"/>
    <w:rsid w:val="00107329"/>
    <w:rsid w:val="001074F0"/>
    <w:rsid w:val="00107500"/>
    <w:rsid w:val="00107512"/>
    <w:rsid w:val="0010753C"/>
    <w:rsid w:val="001075E2"/>
    <w:rsid w:val="0010766D"/>
    <w:rsid w:val="001076D9"/>
    <w:rsid w:val="00107748"/>
    <w:rsid w:val="001077FE"/>
    <w:rsid w:val="0010792B"/>
    <w:rsid w:val="00107B88"/>
    <w:rsid w:val="00107C05"/>
    <w:rsid w:val="00107C4D"/>
    <w:rsid w:val="00107C89"/>
    <w:rsid w:val="00107D9B"/>
    <w:rsid w:val="00107DD3"/>
    <w:rsid w:val="00107DD5"/>
    <w:rsid w:val="00107E26"/>
    <w:rsid w:val="00107E61"/>
    <w:rsid w:val="0010A50F"/>
    <w:rsid w:val="00110051"/>
    <w:rsid w:val="0011042F"/>
    <w:rsid w:val="00110478"/>
    <w:rsid w:val="00110508"/>
    <w:rsid w:val="00110575"/>
    <w:rsid w:val="001106A8"/>
    <w:rsid w:val="001106E3"/>
    <w:rsid w:val="0011076A"/>
    <w:rsid w:val="001107F5"/>
    <w:rsid w:val="0011098A"/>
    <w:rsid w:val="00110A51"/>
    <w:rsid w:val="00110AB7"/>
    <w:rsid w:val="00110B6D"/>
    <w:rsid w:val="00110BAA"/>
    <w:rsid w:val="00110BF4"/>
    <w:rsid w:val="00110BFF"/>
    <w:rsid w:val="00110C23"/>
    <w:rsid w:val="00110CDD"/>
    <w:rsid w:val="00110E53"/>
    <w:rsid w:val="00110EFD"/>
    <w:rsid w:val="00110F2D"/>
    <w:rsid w:val="00110F66"/>
    <w:rsid w:val="001110B5"/>
    <w:rsid w:val="00111394"/>
    <w:rsid w:val="00111521"/>
    <w:rsid w:val="00111560"/>
    <w:rsid w:val="00111614"/>
    <w:rsid w:val="0011169C"/>
    <w:rsid w:val="001116E6"/>
    <w:rsid w:val="001117C1"/>
    <w:rsid w:val="001118D6"/>
    <w:rsid w:val="0011196D"/>
    <w:rsid w:val="00111A92"/>
    <w:rsid w:val="00111BE9"/>
    <w:rsid w:val="00111C3C"/>
    <w:rsid w:val="00111CA4"/>
    <w:rsid w:val="00111D23"/>
    <w:rsid w:val="00111F3F"/>
    <w:rsid w:val="0011207F"/>
    <w:rsid w:val="001120B3"/>
    <w:rsid w:val="00112145"/>
    <w:rsid w:val="00112158"/>
    <w:rsid w:val="001125E5"/>
    <w:rsid w:val="00112602"/>
    <w:rsid w:val="001126B9"/>
    <w:rsid w:val="001126E1"/>
    <w:rsid w:val="00112855"/>
    <w:rsid w:val="00112872"/>
    <w:rsid w:val="001129BC"/>
    <w:rsid w:val="00112AC5"/>
    <w:rsid w:val="00112B8C"/>
    <w:rsid w:val="00112CC2"/>
    <w:rsid w:val="00112D0F"/>
    <w:rsid w:val="00112D34"/>
    <w:rsid w:val="00112D36"/>
    <w:rsid w:val="00112DD6"/>
    <w:rsid w:val="00112F61"/>
    <w:rsid w:val="00112FE3"/>
    <w:rsid w:val="001131A5"/>
    <w:rsid w:val="00113216"/>
    <w:rsid w:val="001132A2"/>
    <w:rsid w:val="00113362"/>
    <w:rsid w:val="001134E1"/>
    <w:rsid w:val="001137B3"/>
    <w:rsid w:val="00113866"/>
    <w:rsid w:val="001138D6"/>
    <w:rsid w:val="001139BD"/>
    <w:rsid w:val="00113BA8"/>
    <w:rsid w:val="00113BD1"/>
    <w:rsid w:val="00113F52"/>
    <w:rsid w:val="00113FBC"/>
    <w:rsid w:val="00113FDC"/>
    <w:rsid w:val="0011401F"/>
    <w:rsid w:val="00114046"/>
    <w:rsid w:val="00114049"/>
    <w:rsid w:val="0011415C"/>
    <w:rsid w:val="00114351"/>
    <w:rsid w:val="0011438F"/>
    <w:rsid w:val="001143D9"/>
    <w:rsid w:val="00114647"/>
    <w:rsid w:val="0011468F"/>
    <w:rsid w:val="001147AB"/>
    <w:rsid w:val="001147B2"/>
    <w:rsid w:val="00114931"/>
    <w:rsid w:val="00114BBB"/>
    <w:rsid w:val="00114D12"/>
    <w:rsid w:val="00114E20"/>
    <w:rsid w:val="00114F04"/>
    <w:rsid w:val="001152A3"/>
    <w:rsid w:val="001152BF"/>
    <w:rsid w:val="00115370"/>
    <w:rsid w:val="00115396"/>
    <w:rsid w:val="001153F7"/>
    <w:rsid w:val="00115459"/>
    <w:rsid w:val="00115508"/>
    <w:rsid w:val="0011556C"/>
    <w:rsid w:val="001155B3"/>
    <w:rsid w:val="00115880"/>
    <w:rsid w:val="00115899"/>
    <w:rsid w:val="00115976"/>
    <w:rsid w:val="0011597F"/>
    <w:rsid w:val="001159C4"/>
    <w:rsid w:val="00115A55"/>
    <w:rsid w:val="00115A5D"/>
    <w:rsid w:val="00115A83"/>
    <w:rsid w:val="00115B04"/>
    <w:rsid w:val="00115EAD"/>
    <w:rsid w:val="00115FF4"/>
    <w:rsid w:val="0011606F"/>
    <w:rsid w:val="00116168"/>
    <w:rsid w:val="0011622B"/>
    <w:rsid w:val="001162B1"/>
    <w:rsid w:val="00116362"/>
    <w:rsid w:val="00116431"/>
    <w:rsid w:val="00116616"/>
    <w:rsid w:val="00116625"/>
    <w:rsid w:val="001167A6"/>
    <w:rsid w:val="00116872"/>
    <w:rsid w:val="00116A83"/>
    <w:rsid w:val="00116AAC"/>
    <w:rsid w:val="00116AC8"/>
    <w:rsid w:val="00116C6E"/>
    <w:rsid w:val="00116C9F"/>
    <w:rsid w:val="00116D11"/>
    <w:rsid w:val="00116E62"/>
    <w:rsid w:val="00116F6B"/>
    <w:rsid w:val="00117054"/>
    <w:rsid w:val="001170A3"/>
    <w:rsid w:val="001170EE"/>
    <w:rsid w:val="0011711B"/>
    <w:rsid w:val="001171C6"/>
    <w:rsid w:val="0011727B"/>
    <w:rsid w:val="0011746C"/>
    <w:rsid w:val="001175B7"/>
    <w:rsid w:val="001175F1"/>
    <w:rsid w:val="0011760E"/>
    <w:rsid w:val="00117672"/>
    <w:rsid w:val="0011767E"/>
    <w:rsid w:val="001176D6"/>
    <w:rsid w:val="001176DE"/>
    <w:rsid w:val="0011783F"/>
    <w:rsid w:val="00117960"/>
    <w:rsid w:val="00117993"/>
    <w:rsid w:val="001179DA"/>
    <w:rsid w:val="00117A39"/>
    <w:rsid w:val="00117BEB"/>
    <w:rsid w:val="00117C52"/>
    <w:rsid w:val="00117C59"/>
    <w:rsid w:val="00117C60"/>
    <w:rsid w:val="00117D05"/>
    <w:rsid w:val="00117D12"/>
    <w:rsid w:val="00117D34"/>
    <w:rsid w:val="00117DDB"/>
    <w:rsid w:val="00117EA8"/>
    <w:rsid w:val="00117EC2"/>
    <w:rsid w:val="00117EC6"/>
    <w:rsid w:val="00117F8A"/>
    <w:rsid w:val="0012006D"/>
    <w:rsid w:val="00120073"/>
    <w:rsid w:val="001200E2"/>
    <w:rsid w:val="001200EC"/>
    <w:rsid w:val="00120109"/>
    <w:rsid w:val="001201C2"/>
    <w:rsid w:val="001203FF"/>
    <w:rsid w:val="00120444"/>
    <w:rsid w:val="001204ED"/>
    <w:rsid w:val="0012066A"/>
    <w:rsid w:val="001206FF"/>
    <w:rsid w:val="001207DE"/>
    <w:rsid w:val="001207FE"/>
    <w:rsid w:val="0012081A"/>
    <w:rsid w:val="00120820"/>
    <w:rsid w:val="0012094D"/>
    <w:rsid w:val="0012094E"/>
    <w:rsid w:val="00120AF9"/>
    <w:rsid w:val="00120B0D"/>
    <w:rsid w:val="00120B5E"/>
    <w:rsid w:val="00120BA2"/>
    <w:rsid w:val="00120BFE"/>
    <w:rsid w:val="00120C35"/>
    <w:rsid w:val="00120CFC"/>
    <w:rsid w:val="00120DBF"/>
    <w:rsid w:val="00120EFD"/>
    <w:rsid w:val="00120FFE"/>
    <w:rsid w:val="0012101B"/>
    <w:rsid w:val="001210EB"/>
    <w:rsid w:val="00121136"/>
    <w:rsid w:val="0012118A"/>
    <w:rsid w:val="0012124B"/>
    <w:rsid w:val="00121301"/>
    <w:rsid w:val="00121309"/>
    <w:rsid w:val="00121449"/>
    <w:rsid w:val="00121472"/>
    <w:rsid w:val="00121663"/>
    <w:rsid w:val="001216AF"/>
    <w:rsid w:val="001217C0"/>
    <w:rsid w:val="00121A1F"/>
    <w:rsid w:val="00121A54"/>
    <w:rsid w:val="00121B9B"/>
    <w:rsid w:val="00121C45"/>
    <w:rsid w:val="00121C56"/>
    <w:rsid w:val="00121CBA"/>
    <w:rsid w:val="00121E68"/>
    <w:rsid w:val="00121FEF"/>
    <w:rsid w:val="00122069"/>
    <w:rsid w:val="00122122"/>
    <w:rsid w:val="0012222E"/>
    <w:rsid w:val="0012233D"/>
    <w:rsid w:val="0012240B"/>
    <w:rsid w:val="0012244E"/>
    <w:rsid w:val="001224AA"/>
    <w:rsid w:val="0012251A"/>
    <w:rsid w:val="00122568"/>
    <w:rsid w:val="00122888"/>
    <w:rsid w:val="0012299D"/>
    <w:rsid w:val="001229B1"/>
    <w:rsid w:val="001229C3"/>
    <w:rsid w:val="00122A01"/>
    <w:rsid w:val="00122ADC"/>
    <w:rsid w:val="00122B02"/>
    <w:rsid w:val="00122B18"/>
    <w:rsid w:val="00122C01"/>
    <w:rsid w:val="00122C19"/>
    <w:rsid w:val="00122CB8"/>
    <w:rsid w:val="00122E7E"/>
    <w:rsid w:val="0012323D"/>
    <w:rsid w:val="001232BE"/>
    <w:rsid w:val="0012343C"/>
    <w:rsid w:val="00123528"/>
    <w:rsid w:val="0012352B"/>
    <w:rsid w:val="0012368B"/>
    <w:rsid w:val="00123762"/>
    <w:rsid w:val="001237AF"/>
    <w:rsid w:val="00123873"/>
    <w:rsid w:val="00123896"/>
    <w:rsid w:val="00123932"/>
    <w:rsid w:val="00123ACF"/>
    <w:rsid w:val="00123B1B"/>
    <w:rsid w:val="00123C5B"/>
    <w:rsid w:val="00123C5C"/>
    <w:rsid w:val="00123C90"/>
    <w:rsid w:val="00123CED"/>
    <w:rsid w:val="00123D10"/>
    <w:rsid w:val="00123DA4"/>
    <w:rsid w:val="00123F45"/>
    <w:rsid w:val="00123F51"/>
    <w:rsid w:val="00123FB1"/>
    <w:rsid w:val="00123FC6"/>
    <w:rsid w:val="001242DA"/>
    <w:rsid w:val="0012431E"/>
    <w:rsid w:val="0012442D"/>
    <w:rsid w:val="00124498"/>
    <w:rsid w:val="0012453D"/>
    <w:rsid w:val="001245A5"/>
    <w:rsid w:val="001245BF"/>
    <w:rsid w:val="00124793"/>
    <w:rsid w:val="0012482C"/>
    <w:rsid w:val="00124935"/>
    <w:rsid w:val="00124975"/>
    <w:rsid w:val="00124A87"/>
    <w:rsid w:val="00124AEA"/>
    <w:rsid w:val="00124C42"/>
    <w:rsid w:val="00124D19"/>
    <w:rsid w:val="00124E60"/>
    <w:rsid w:val="00125313"/>
    <w:rsid w:val="0012542F"/>
    <w:rsid w:val="001254F6"/>
    <w:rsid w:val="00125540"/>
    <w:rsid w:val="001255DE"/>
    <w:rsid w:val="001256AB"/>
    <w:rsid w:val="001256CB"/>
    <w:rsid w:val="00125701"/>
    <w:rsid w:val="00125748"/>
    <w:rsid w:val="001257E4"/>
    <w:rsid w:val="001259DC"/>
    <w:rsid w:val="00125A04"/>
    <w:rsid w:val="00125AA9"/>
    <w:rsid w:val="00125B44"/>
    <w:rsid w:val="00125BC3"/>
    <w:rsid w:val="00125C36"/>
    <w:rsid w:val="00125D0E"/>
    <w:rsid w:val="00125D77"/>
    <w:rsid w:val="00125DB3"/>
    <w:rsid w:val="00125DBC"/>
    <w:rsid w:val="00125EDE"/>
    <w:rsid w:val="00125F05"/>
    <w:rsid w:val="00125FE3"/>
    <w:rsid w:val="00125FEA"/>
    <w:rsid w:val="00126084"/>
    <w:rsid w:val="00126087"/>
    <w:rsid w:val="001260A7"/>
    <w:rsid w:val="0012618C"/>
    <w:rsid w:val="0012622B"/>
    <w:rsid w:val="00126245"/>
    <w:rsid w:val="001264F7"/>
    <w:rsid w:val="00126512"/>
    <w:rsid w:val="00126576"/>
    <w:rsid w:val="001266A2"/>
    <w:rsid w:val="001266C8"/>
    <w:rsid w:val="0012677A"/>
    <w:rsid w:val="00126791"/>
    <w:rsid w:val="00126796"/>
    <w:rsid w:val="001267FA"/>
    <w:rsid w:val="001268FA"/>
    <w:rsid w:val="00126922"/>
    <w:rsid w:val="00126945"/>
    <w:rsid w:val="001269C4"/>
    <w:rsid w:val="00126A07"/>
    <w:rsid w:val="00126A51"/>
    <w:rsid w:val="00126AC1"/>
    <w:rsid w:val="00126B9E"/>
    <w:rsid w:val="00126C26"/>
    <w:rsid w:val="00126DC4"/>
    <w:rsid w:val="00126DF8"/>
    <w:rsid w:val="00126EFA"/>
    <w:rsid w:val="00126F53"/>
    <w:rsid w:val="00126F59"/>
    <w:rsid w:val="00126F71"/>
    <w:rsid w:val="00126F88"/>
    <w:rsid w:val="00127030"/>
    <w:rsid w:val="0012703B"/>
    <w:rsid w:val="001270B2"/>
    <w:rsid w:val="0012712C"/>
    <w:rsid w:val="0012717F"/>
    <w:rsid w:val="001272F9"/>
    <w:rsid w:val="00127361"/>
    <w:rsid w:val="001275B7"/>
    <w:rsid w:val="001275BF"/>
    <w:rsid w:val="00127699"/>
    <w:rsid w:val="0012778F"/>
    <w:rsid w:val="001277BF"/>
    <w:rsid w:val="001277CF"/>
    <w:rsid w:val="001279C3"/>
    <w:rsid w:val="00127B51"/>
    <w:rsid w:val="00127B7C"/>
    <w:rsid w:val="00127C1B"/>
    <w:rsid w:val="00127C52"/>
    <w:rsid w:val="00127D6B"/>
    <w:rsid w:val="00127F59"/>
    <w:rsid w:val="00127F77"/>
    <w:rsid w:val="00127F8D"/>
    <w:rsid w:val="00130026"/>
    <w:rsid w:val="001301F4"/>
    <w:rsid w:val="00130341"/>
    <w:rsid w:val="0013037F"/>
    <w:rsid w:val="00130428"/>
    <w:rsid w:val="00130588"/>
    <w:rsid w:val="00130623"/>
    <w:rsid w:val="001306F2"/>
    <w:rsid w:val="00130766"/>
    <w:rsid w:val="00130939"/>
    <w:rsid w:val="001309C0"/>
    <w:rsid w:val="00130A3B"/>
    <w:rsid w:val="00130A99"/>
    <w:rsid w:val="00130AFD"/>
    <w:rsid w:val="00130B86"/>
    <w:rsid w:val="00130C52"/>
    <w:rsid w:val="00130D2E"/>
    <w:rsid w:val="00130DC9"/>
    <w:rsid w:val="00130E22"/>
    <w:rsid w:val="00130F59"/>
    <w:rsid w:val="00130FA3"/>
    <w:rsid w:val="001310B0"/>
    <w:rsid w:val="00131118"/>
    <w:rsid w:val="00131365"/>
    <w:rsid w:val="001313CA"/>
    <w:rsid w:val="00131471"/>
    <w:rsid w:val="001314B4"/>
    <w:rsid w:val="001316BF"/>
    <w:rsid w:val="001316F5"/>
    <w:rsid w:val="0013179B"/>
    <w:rsid w:val="00131879"/>
    <w:rsid w:val="001318D8"/>
    <w:rsid w:val="001318E8"/>
    <w:rsid w:val="001318FD"/>
    <w:rsid w:val="00131A5B"/>
    <w:rsid w:val="00131AC3"/>
    <w:rsid w:val="00131B6F"/>
    <w:rsid w:val="00131BE6"/>
    <w:rsid w:val="00131C22"/>
    <w:rsid w:val="00131C42"/>
    <w:rsid w:val="00131CAC"/>
    <w:rsid w:val="00131D33"/>
    <w:rsid w:val="00131D5C"/>
    <w:rsid w:val="00131D6E"/>
    <w:rsid w:val="00131E25"/>
    <w:rsid w:val="00131E60"/>
    <w:rsid w:val="0013204D"/>
    <w:rsid w:val="001320FF"/>
    <w:rsid w:val="001322CE"/>
    <w:rsid w:val="001323CA"/>
    <w:rsid w:val="001323E1"/>
    <w:rsid w:val="00132430"/>
    <w:rsid w:val="001324A8"/>
    <w:rsid w:val="001324C6"/>
    <w:rsid w:val="00132534"/>
    <w:rsid w:val="00132544"/>
    <w:rsid w:val="001325A5"/>
    <w:rsid w:val="0013261F"/>
    <w:rsid w:val="00132649"/>
    <w:rsid w:val="001326DC"/>
    <w:rsid w:val="001326E4"/>
    <w:rsid w:val="00132780"/>
    <w:rsid w:val="001328E6"/>
    <w:rsid w:val="00132AE9"/>
    <w:rsid w:val="00132B94"/>
    <w:rsid w:val="00132E29"/>
    <w:rsid w:val="0013305C"/>
    <w:rsid w:val="00133103"/>
    <w:rsid w:val="00133144"/>
    <w:rsid w:val="001331D1"/>
    <w:rsid w:val="00133223"/>
    <w:rsid w:val="001332A0"/>
    <w:rsid w:val="00133337"/>
    <w:rsid w:val="00133664"/>
    <w:rsid w:val="00133693"/>
    <w:rsid w:val="00133791"/>
    <w:rsid w:val="00133855"/>
    <w:rsid w:val="001338A4"/>
    <w:rsid w:val="00133A33"/>
    <w:rsid w:val="00133DE0"/>
    <w:rsid w:val="00133E89"/>
    <w:rsid w:val="00133E91"/>
    <w:rsid w:val="00133EC0"/>
    <w:rsid w:val="00133F4C"/>
    <w:rsid w:val="00133F5A"/>
    <w:rsid w:val="0013410A"/>
    <w:rsid w:val="00134253"/>
    <w:rsid w:val="00134365"/>
    <w:rsid w:val="0013439B"/>
    <w:rsid w:val="00134412"/>
    <w:rsid w:val="00134428"/>
    <w:rsid w:val="0013458D"/>
    <w:rsid w:val="001345DD"/>
    <w:rsid w:val="00134639"/>
    <w:rsid w:val="001346E5"/>
    <w:rsid w:val="00134986"/>
    <w:rsid w:val="00134A49"/>
    <w:rsid w:val="00134ABC"/>
    <w:rsid w:val="00134E46"/>
    <w:rsid w:val="00134ECB"/>
    <w:rsid w:val="00134FFA"/>
    <w:rsid w:val="00135016"/>
    <w:rsid w:val="00135108"/>
    <w:rsid w:val="00135142"/>
    <w:rsid w:val="0013518A"/>
    <w:rsid w:val="00135266"/>
    <w:rsid w:val="00135277"/>
    <w:rsid w:val="001352FE"/>
    <w:rsid w:val="001353A1"/>
    <w:rsid w:val="001353E2"/>
    <w:rsid w:val="001354A5"/>
    <w:rsid w:val="001354F0"/>
    <w:rsid w:val="001355DB"/>
    <w:rsid w:val="001356DB"/>
    <w:rsid w:val="00135760"/>
    <w:rsid w:val="00135788"/>
    <w:rsid w:val="00135899"/>
    <w:rsid w:val="00135936"/>
    <w:rsid w:val="001359AB"/>
    <w:rsid w:val="001359AE"/>
    <w:rsid w:val="00135A5F"/>
    <w:rsid w:val="00135B4B"/>
    <w:rsid w:val="00135D01"/>
    <w:rsid w:val="00135DB1"/>
    <w:rsid w:val="00135E0B"/>
    <w:rsid w:val="00135E38"/>
    <w:rsid w:val="00135F23"/>
    <w:rsid w:val="00135F27"/>
    <w:rsid w:val="00135F39"/>
    <w:rsid w:val="00135F3A"/>
    <w:rsid w:val="00135F60"/>
    <w:rsid w:val="00135FC9"/>
    <w:rsid w:val="00136111"/>
    <w:rsid w:val="0013615E"/>
    <w:rsid w:val="001361C8"/>
    <w:rsid w:val="0013627C"/>
    <w:rsid w:val="001362D4"/>
    <w:rsid w:val="00136362"/>
    <w:rsid w:val="0013648B"/>
    <w:rsid w:val="001364CE"/>
    <w:rsid w:val="001364D6"/>
    <w:rsid w:val="001365B4"/>
    <w:rsid w:val="00136860"/>
    <w:rsid w:val="00136898"/>
    <w:rsid w:val="00136962"/>
    <w:rsid w:val="0013696F"/>
    <w:rsid w:val="00136A0A"/>
    <w:rsid w:val="00136B8F"/>
    <w:rsid w:val="00136C6F"/>
    <w:rsid w:val="00136D62"/>
    <w:rsid w:val="00136FC8"/>
    <w:rsid w:val="0013703A"/>
    <w:rsid w:val="001370CB"/>
    <w:rsid w:val="0013711C"/>
    <w:rsid w:val="00137238"/>
    <w:rsid w:val="0013731E"/>
    <w:rsid w:val="00137357"/>
    <w:rsid w:val="00137369"/>
    <w:rsid w:val="00137390"/>
    <w:rsid w:val="0013748F"/>
    <w:rsid w:val="00137615"/>
    <w:rsid w:val="0013775A"/>
    <w:rsid w:val="00137778"/>
    <w:rsid w:val="001377B6"/>
    <w:rsid w:val="00137874"/>
    <w:rsid w:val="001379EB"/>
    <w:rsid w:val="00137ACB"/>
    <w:rsid w:val="00137BBF"/>
    <w:rsid w:val="00137CC3"/>
    <w:rsid w:val="00137D83"/>
    <w:rsid w:val="00137D8A"/>
    <w:rsid w:val="00137E24"/>
    <w:rsid w:val="00140047"/>
    <w:rsid w:val="0014024E"/>
    <w:rsid w:val="00140259"/>
    <w:rsid w:val="001402C6"/>
    <w:rsid w:val="0014031F"/>
    <w:rsid w:val="001403E1"/>
    <w:rsid w:val="00140435"/>
    <w:rsid w:val="001405D4"/>
    <w:rsid w:val="001406B5"/>
    <w:rsid w:val="001406EE"/>
    <w:rsid w:val="00140780"/>
    <w:rsid w:val="001407DE"/>
    <w:rsid w:val="00140A52"/>
    <w:rsid w:val="00140A71"/>
    <w:rsid w:val="00140B14"/>
    <w:rsid w:val="00140B37"/>
    <w:rsid w:val="00140BC4"/>
    <w:rsid w:val="00140D4D"/>
    <w:rsid w:val="00140DA5"/>
    <w:rsid w:val="00140EE5"/>
    <w:rsid w:val="00140EFA"/>
    <w:rsid w:val="00140F37"/>
    <w:rsid w:val="00141046"/>
    <w:rsid w:val="0014107E"/>
    <w:rsid w:val="001410AB"/>
    <w:rsid w:val="001411DE"/>
    <w:rsid w:val="0014123C"/>
    <w:rsid w:val="0014127F"/>
    <w:rsid w:val="001412C7"/>
    <w:rsid w:val="00141681"/>
    <w:rsid w:val="0014173E"/>
    <w:rsid w:val="0014178D"/>
    <w:rsid w:val="00141829"/>
    <w:rsid w:val="001418B4"/>
    <w:rsid w:val="00141924"/>
    <w:rsid w:val="001419A2"/>
    <w:rsid w:val="00141A4A"/>
    <w:rsid w:val="00141AED"/>
    <w:rsid w:val="00141CE5"/>
    <w:rsid w:val="00141D9B"/>
    <w:rsid w:val="00141E02"/>
    <w:rsid w:val="00141E2B"/>
    <w:rsid w:val="00141E97"/>
    <w:rsid w:val="00141EFD"/>
    <w:rsid w:val="00141FB0"/>
    <w:rsid w:val="00141FF0"/>
    <w:rsid w:val="00142093"/>
    <w:rsid w:val="00142172"/>
    <w:rsid w:val="00142428"/>
    <w:rsid w:val="0014250E"/>
    <w:rsid w:val="00142617"/>
    <w:rsid w:val="0014261E"/>
    <w:rsid w:val="00142645"/>
    <w:rsid w:val="00142793"/>
    <w:rsid w:val="00142815"/>
    <w:rsid w:val="0014286F"/>
    <w:rsid w:val="001428AF"/>
    <w:rsid w:val="00142A7D"/>
    <w:rsid w:val="00142AAB"/>
    <w:rsid w:val="00142AAF"/>
    <w:rsid w:val="00142CCE"/>
    <w:rsid w:val="00142DDE"/>
    <w:rsid w:val="00142EE1"/>
    <w:rsid w:val="00142EF4"/>
    <w:rsid w:val="00143079"/>
    <w:rsid w:val="00143107"/>
    <w:rsid w:val="00143129"/>
    <w:rsid w:val="00143344"/>
    <w:rsid w:val="0014337B"/>
    <w:rsid w:val="001436CB"/>
    <w:rsid w:val="00143766"/>
    <w:rsid w:val="001437C1"/>
    <w:rsid w:val="0014381C"/>
    <w:rsid w:val="001439AA"/>
    <w:rsid w:val="00143AE0"/>
    <w:rsid w:val="00143E22"/>
    <w:rsid w:val="00143F14"/>
    <w:rsid w:val="001441C3"/>
    <w:rsid w:val="001441CA"/>
    <w:rsid w:val="00144234"/>
    <w:rsid w:val="00144265"/>
    <w:rsid w:val="001444E7"/>
    <w:rsid w:val="00144616"/>
    <w:rsid w:val="001447BD"/>
    <w:rsid w:val="001447C1"/>
    <w:rsid w:val="0014483E"/>
    <w:rsid w:val="0014488B"/>
    <w:rsid w:val="00144908"/>
    <w:rsid w:val="00144AD9"/>
    <w:rsid w:val="00144B95"/>
    <w:rsid w:val="00144BA6"/>
    <w:rsid w:val="00144BC5"/>
    <w:rsid w:val="00144BEF"/>
    <w:rsid w:val="00144C8C"/>
    <w:rsid w:val="00144D0B"/>
    <w:rsid w:val="00144D81"/>
    <w:rsid w:val="00144E07"/>
    <w:rsid w:val="00144E24"/>
    <w:rsid w:val="00144EF6"/>
    <w:rsid w:val="00144F5A"/>
    <w:rsid w:val="00144FFB"/>
    <w:rsid w:val="00145038"/>
    <w:rsid w:val="00145150"/>
    <w:rsid w:val="001452C2"/>
    <w:rsid w:val="001452EC"/>
    <w:rsid w:val="00145323"/>
    <w:rsid w:val="0014550D"/>
    <w:rsid w:val="001455AF"/>
    <w:rsid w:val="0014564C"/>
    <w:rsid w:val="001456F8"/>
    <w:rsid w:val="0014571C"/>
    <w:rsid w:val="00145BE3"/>
    <w:rsid w:val="00145CF4"/>
    <w:rsid w:val="00145D03"/>
    <w:rsid w:val="00145D0D"/>
    <w:rsid w:val="00145D36"/>
    <w:rsid w:val="00145D4B"/>
    <w:rsid w:val="00145D6F"/>
    <w:rsid w:val="00145F27"/>
    <w:rsid w:val="00145F46"/>
    <w:rsid w:val="00145F72"/>
    <w:rsid w:val="00146007"/>
    <w:rsid w:val="00146116"/>
    <w:rsid w:val="00146491"/>
    <w:rsid w:val="001464B0"/>
    <w:rsid w:val="001464DF"/>
    <w:rsid w:val="00146542"/>
    <w:rsid w:val="0014663C"/>
    <w:rsid w:val="001466FB"/>
    <w:rsid w:val="00146788"/>
    <w:rsid w:val="001467D5"/>
    <w:rsid w:val="00146878"/>
    <w:rsid w:val="00146888"/>
    <w:rsid w:val="0014696D"/>
    <w:rsid w:val="00146AA7"/>
    <w:rsid w:val="00146AE2"/>
    <w:rsid w:val="00146B73"/>
    <w:rsid w:val="00146C90"/>
    <w:rsid w:val="00146D3F"/>
    <w:rsid w:val="00146D58"/>
    <w:rsid w:val="00146EDE"/>
    <w:rsid w:val="00147081"/>
    <w:rsid w:val="00147262"/>
    <w:rsid w:val="00147300"/>
    <w:rsid w:val="00147466"/>
    <w:rsid w:val="0014748D"/>
    <w:rsid w:val="0014750F"/>
    <w:rsid w:val="00147594"/>
    <w:rsid w:val="00147644"/>
    <w:rsid w:val="00147646"/>
    <w:rsid w:val="001476B3"/>
    <w:rsid w:val="001476CA"/>
    <w:rsid w:val="001477B9"/>
    <w:rsid w:val="001478A0"/>
    <w:rsid w:val="00147A75"/>
    <w:rsid w:val="00147B5A"/>
    <w:rsid w:val="00147C3C"/>
    <w:rsid w:val="00147E1E"/>
    <w:rsid w:val="00147E88"/>
    <w:rsid w:val="00147EC2"/>
    <w:rsid w:val="00147F1F"/>
    <w:rsid w:val="00147F94"/>
    <w:rsid w:val="0015006D"/>
    <w:rsid w:val="001500AE"/>
    <w:rsid w:val="00150104"/>
    <w:rsid w:val="0015026A"/>
    <w:rsid w:val="001502FD"/>
    <w:rsid w:val="0015046F"/>
    <w:rsid w:val="00150545"/>
    <w:rsid w:val="001505FE"/>
    <w:rsid w:val="0015062E"/>
    <w:rsid w:val="001506CC"/>
    <w:rsid w:val="0015084D"/>
    <w:rsid w:val="00150928"/>
    <w:rsid w:val="00150951"/>
    <w:rsid w:val="00150ABC"/>
    <w:rsid w:val="00150B77"/>
    <w:rsid w:val="00150B8A"/>
    <w:rsid w:val="00150B8C"/>
    <w:rsid w:val="00150C45"/>
    <w:rsid w:val="00150D1C"/>
    <w:rsid w:val="00150D85"/>
    <w:rsid w:val="00150DAA"/>
    <w:rsid w:val="00150E12"/>
    <w:rsid w:val="00150EA1"/>
    <w:rsid w:val="00151010"/>
    <w:rsid w:val="001510EE"/>
    <w:rsid w:val="001510F8"/>
    <w:rsid w:val="001512B7"/>
    <w:rsid w:val="0015134A"/>
    <w:rsid w:val="0015178A"/>
    <w:rsid w:val="001517F0"/>
    <w:rsid w:val="001517FF"/>
    <w:rsid w:val="001518E0"/>
    <w:rsid w:val="0015192E"/>
    <w:rsid w:val="00151A84"/>
    <w:rsid w:val="00151BED"/>
    <w:rsid w:val="00151C3E"/>
    <w:rsid w:val="00151D71"/>
    <w:rsid w:val="00151DD3"/>
    <w:rsid w:val="00151DE6"/>
    <w:rsid w:val="00151E4C"/>
    <w:rsid w:val="00151EAF"/>
    <w:rsid w:val="00152164"/>
    <w:rsid w:val="001521DE"/>
    <w:rsid w:val="00152232"/>
    <w:rsid w:val="0015229F"/>
    <w:rsid w:val="00152315"/>
    <w:rsid w:val="00152374"/>
    <w:rsid w:val="001523A5"/>
    <w:rsid w:val="00152593"/>
    <w:rsid w:val="0015260A"/>
    <w:rsid w:val="001526A0"/>
    <w:rsid w:val="001526E0"/>
    <w:rsid w:val="0015275F"/>
    <w:rsid w:val="001527D3"/>
    <w:rsid w:val="0015283B"/>
    <w:rsid w:val="001528C0"/>
    <w:rsid w:val="001529B0"/>
    <w:rsid w:val="00152A23"/>
    <w:rsid w:val="00152E1B"/>
    <w:rsid w:val="00152E78"/>
    <w:rsid w:val="00152F8E"/>
    <w:rsid w:val="00153072"/>
    <w:rsid w:val="0015314C"/>
    <w:rsid w:val="00153172"/>
    <w:rsid w:val="001531CB"/>
    <w:rsid w:val="001534F1"/>
    <w:rsid w:val="001535CC"/>
    <w:rsid w:val="00153796"/>
    <w:rsid w:val="001537DE"/>
    <w:rsid w:val="00153824"/>
    <w:rsid w:val="001538A6"/>
    <w:rsid w:val="00153AA6"/>
    <w:rsid w:val="00153AED"/>
    <w:rsid w:val="00153B2E"/>
    <w:rsid w:val="00153BD9"/>
    <w:rsid w:val="00153C9C"/>
    <w:rsid w:val="00153CE9"/>
    <w:rsid w:val="00153D82"/>
    <w:rsid w:val="00153E42"/>
    <w:rsid w:val="00153EC4"/>
    <w:rsid w:val="00154085"/>
    <w:rsid w:val="001540BA"/>
    <w:rsid w:val="001540DF"/>
    <w:rsid w:val="001541B5"/>
    <w:rsid w:val="0015423F"/>
    <w:rsid w:val="00154436"/>
    <w:rsid w:val="00154441"/>
    <w:rsid w:val="00154643"/>
    <w:rsid w:val="001546C8"/>
    <w:rsid w:val="00154A0C"/>
    <w:rsid w:val="00154C1A"/>
    <w:rsid w:val="00154C3C"/>
    <w:rsid w:val="00154CAE"/>
    <w:rsid w:val="00154E6D"/>
    <w:rsid w:val="00154EAC"/>
    <w:rsid w:val="00154EEB"/>
    <w:rsid w:val="00154F9A"/>
    <w:rsid w:val="0015515C"/>
    <w:rsid w:val="0015549D"/>
    <w:rsid w:val="0015561C"/>
    <w:rsid w:val="0015564B"/>
    <w:rsid w:val="00155694"/>
    <w:rsid w:val="00155752"/>
    <w:rsid w:val="001557CF"/>
    <w:rsid w:val="0015583B"/>
    <w:rsid w:val="001558BA"/>
    <w:rsid w:val="001558DA"/>
    <w:rsid w:val="00155A3F"/>
    <w:rsid w:val="00155B91"/>
    <w:rsid w:val="00155CE0"/>
    <w:rsid w:val="00155D09"/>
    <w:rsid w:val="00155DC0"/>
    <w:rsid w:val="00155F14"/>
    <w:rsid w:val="00155F30"/>
    <w:rsid w:val="001561C0"/>
    <w:rsid w:val="00156253"/>
    <w:rsid w:val="0015626B"/>
    <w:rsid w:val="00156322"/>
    <w:rsid w:val="00156564"/>
    <w:rsid w:val="00156769"/>
    <w:rsid w:val="00156805"/>
    <w:rsid w:val="00156B43"/>
    <w:rsid w:val="00156BA5"/>
    <w:rsid w:val="00156CE9"/>
    <w:rsid w:val="00156CEA"/>
    <w:rsid w:val="00156D96"/>
    <w:rsid w:val="00156D99"/>
    <w:rsid w:val="00156E78"/>
    <w:rsid w:val="00156E7A"/>
    <w:rsid w:val="00156EC9"/>
    <w:rsid w:val="00156F45"/>
    <w:rsid w:val="00156F8C"/>
    <w:rsid w:val="0015700B"/>
    <w:rsid w:val="001570D6"/>
    <w:rsid w:val="00157170"/>
    <w:rsid w:val="001571C7"/>
    <w:rsid w:val="0015731E"/>
    <w:rsid w:val="0015736D"/>
    <w:rsid w:val="00157436"/>
    <w:rsid w:val="0015750E"/>
    <w:rsid w:val="001576E3"/>
    <w:rsid w:val="00157706"/>
    <w:rsid w:val="001577D4"/>
    <w:rsid w:val="0015790F"/>
    <w:rsid w:val="0015795E"/>
    <w:rsid w:val="00157B83"/>
    <w:rsid w:val="00157C9E"/>
    <w:rsid w:val="0016001D"/>
    <w:rsid w:val="001600AD"/>
    <w:rsid w:val="00160186"/>
    <w:rsid w:val="00160386"/>
    <w:rsid w:val="0016056F"/>
    <w:rsid w:val="00160775"/>
    <w:rsid w:val="00160860"/>
    <w:rsid w:val="0016091B"/>
    <w:rsid w:val="00160981"/>
    <w:rsid w:val="001609F7"/>
    <w:rsid w:val="00160AA6"/>
    <w:rsid w:val="00160AA9"/>
    <w:rsid w:val="00160AD1"/>
    <w:rsid w:val="00160C5A"/>
    <w:rsid w:val="00160D12"/>
    <w:rsid w:val="00160E29"/>
    <w:rsid w:val="00160E4E"/>
    <w:rsid w:val="00160E7D"/>
    <w:rsid w:val="00160E95"/>
    <w:rsid w:val="00161047"/>
    <w:rsid w:val="00161094"/>
    <w:rsid w:val="00161222"/>
    <w:rsid w:val="001612F7"/>
    <w:rsid w:val="00161300"/>
    <w:rsid w:val="001613E1"/>
    <w:rsid w:val="0016158C"/>
    <w:rsid w:val="001615F1"/>
    <w:rsid w:val="0016166F"/>
    <w:rsid w:val="001616FC"/>
    <w:rsid w:val="00161742"/>
    <w:rsid w:val="0016176C"/>
    <w:rsid w:val="00161771"/>
    <w:rsid w:val="001617DB"/>
    <w:rsid w:val="00161913"/>
    <w:rsid w:val="0016191E"/>
    <w:rsid w:val="00161BEE"/>
    <w:rsid w:val="00161C24"/>
    <w:rsid w:val="00161E21"/>
    <w:rsid w:val="00161F34"/>
    <w:rsid w:val="00161F70"/>
    <w:rsid w:val="001620D3"/>
    <w:rsid w:val="00162184"/>
    <w:rsid w:val="001621A4"/>
    <w:rsid w:val="00162229"/>
    <w:rsid w:val="001622BA"/>
    <w:rsid w:val="001622BF"/>
    <w:rsid w:val="0016235E"/>
    <w:rsid w:val="00162388"/>
    <w:rsid w:val="001623A2"/>
    <w:rsid w:val="001623D8"/>
    <w:rsid w:val="001623EF"/>
    <w:rsid w:val="001623F5"/>
    <w:rsid w:val="001624E5"/>
    <w:rsid w:val="00162513"/>
    <w:rsid w:val="001625E7"/>
    <w:rsid w:val="00162679"/>
    <w:rsid w:val="001626BB"/>
    <w:rsid w:val="001626D1"/>
    <w:rsid w:val="0016274D"/>
    <w:rsid w:val="0016278C"/>
    <w:rsid w:val="0016294A"/>
    <w:rsid w:val="00162A3C"/>
    <w:rsid w:val="00162C15"/>
    <w:rsid w:val="00162C42"/>
    <w:rsid w:val="00162C6E"/>
    <w:rsid w:val="00162C7A"/>
    <w:rsid w:val="00162C99"/>
    <w:rsid w:val="00162D40"/>
    <w:rsid w:val="00162E95"/>
    <w:rsid w:val="00162EA8"/>
    <w:rsid w:val="00162EAD"/>
    <w:rsid w:val="00162F15"/>
    <w:rsid w:val="00163038"/>
    <w:rsid w:val="0016310B"/>
    <w:rsid w:val="001633DF"/>
    <w:rsid w:val="001633F3"/>
    <w:rsid w:val="001635A1"/>
    <w:rsid w:val="001636C7"/>
    <w:rsid w:val="001637C1"/>
    <w:rsid w:val="001637C2"/>
    <w:rsid w:val="00163810"/>
    <w:rsid w:val="00163890"/>
    <w:rsid w:val="001638E4"/>
    <w:rsid w:val="00163919"/>
    <w:rsid w:val="001639C0"/>
    <w:rsid w:val="00163AAF"/>
    <w:rsid w:val="00163B69"/>
    <w:rsid w:val="00163C34"/>
    <w:rsid w:val="00163CB3"/>
    <w:rsid w:val="00163E8A"/>
    <w:rsid w:val="00163F1E"/>
    <w:rsid w:val="001640A1"/>
    <w:rsid w:val="001640FC"/>
    <w:rsid w:val="00164398"/>
    <w:rsid w:val="001643B3"/>
    <w:rsid w:val="001643BB"/>
    <w:rsid w:val="001644C5"/>
    <w:rsid w:val="001645A5"/>
    <w:rsid w:val="00164747"/>
    <w:rsid w:val="00164761"/>
    <w:rsid w:val="001647C2"/>
    <w:rsid w:val="0016488C"/>
    <w:rsid w:val="001648FC"/>
    <w:rsid w:val="00164928"/>
    <w:rsid w:val="001649B9"/>
    <w:rsid w:val="001649D1"/>
    <w:rsid w:val="00164B10"/>
    <w:rsid w:val="00164C12"/>
    <w:rsid w:val="00164CA1"/>
    <w:rsid w:val="00164DEA"/>
    <w:rsid w:val="00164E20"/>
    <w:rsid w:val="00164E6B"/>
    <w:rsid w:val="0016520F"/>
    <w:rsid w:val="00165365"/>
    <w:rsid w:val="001654E4"/>
    <w:rsid w:val="001655E6"/>
    <w:rsid w:val="00165633"/>
    <w:rsid w:val="0016579E"/>
    <w:rsid w:val="00165886"/>
    <w:rsid w:val="001659E9"/>
    <w:rsid w:val="00165A3F"/>
    <w:rsid w:val="00165B25"/>
    <w:rsid w:val="00165BAC"/>
    <w:rsid w:val="00165DEB"/>
    <w:rsid w:val="00165E38"/>
    <w:rsid w:val="00165EF5"/>
    <w:rsid w:val="00165F38"/>
    <w:rsid w:val="00166260"/>
    <w:rsid w:val="00166297"/>
    <w:rsid w:val="001662A0"/>
    <w:rsid w:val="001662DB"/>
    <w:rsid w:val="001662E5"/>
    <w:rsid w:val="001663F3"/>
    <w:rsid w:val="0016643D"/>
    <w:rsid w:val="00166575"/>
    <w:rsid w:val="001665B5"/>
    <w:rsid w:val="00166607"/>
    <w:rsid w:val="0016678E"/>
    <w:rsid w:val="001667E9"/>
    <w:rsid w:val="00166A78"/>
    <w:rsid w:val="00166AAE"/>
    <w:rsid w:val="00166AE8"/>
    <w:rsid w:val="00166B51"/>
    <w:rsid w:val="00166E18"/>
    <w:rsid w:val="00166E58"/>
    <w:rsid w:val="001670A3"/>
    <w:rsid w:val="00167118"/>
    <w:rsid w:val="0016711D"/>
    <w:rsid w:val="00167157"/>
    <w:rsid w:val="0016716C"/>
    <w:rsid w:val="00167262"/>
    <w:rsid w:val="0016729E"/>
    <w:rsid w:val="001674AE"/>
    <w:rsid w:val="0016750E"/>
    <w:rsid w:val="00167558"/>
    <w:rsid w:val="001675AE"/>
    <w:rsid w:val="001675CA"/>
    <w:rsid w:val="00167627"/>
    <w:rsid w:val="00167871"/>
    <w:rsid w:val="00167880"/>
    <w:rsid w:val="00167B34"/>
    <w:rsid w:val="00167B93"/>
    <w:rsid w:val="00167BE2"/>
    <w:rsid w:val="00167BE9"/>
    <w:rsid w:val="00167C76"/>
    <w:rsid w:val="00167CF2"/>
    <w:rsid w:val="00167D2B"/>
    <w:rsid w:val="00167D6F"/>
    <w:rsid w:val="00167F09"/>
    <w:rsid w:val="00167FA2"/>
    <w:rsid w:val="0017007A"/>
    <w:rsid w:val="001700A3"/>
    <w:rsid w:val="001700FD"/>
    <w:rsid w:val="0017045E"/>
    <w:rsid w:val="00170634"/>
    <w:rsid w:val="00170684"/>
    <w:rsid w:val="001707CF"/>
    <w:rsid w:val="0017082D"/>
    <w:rsid w:val="00170904"/>
    <w:rsid w:val="00170920"/>
    <w:rsid w:val="00170946"/>
    <w:rsid w:val="0017095A"/>
    <w:rsid w:val="0017097D"/>
    <w:rsid w:val="00170A3D"/>
    <w:rsid w:val="00170A3E"/>
    <w:rsid w:val="00170BBD"/>
    <w:rsid w:val="00170E8E"/>
    <w:rsid w:val="00170F01"/>
    <w:rsid w:val="00171009"/>
    <w:rsid w:val="00171020"/>
    <w:rsid w:val="0017104D"/>
    <w:rsid w:val="00171096"/>
    <w:rsid w:val="0017113C"/>
    <w:rsid w:val="00171144"/>
    <w:rsid w:val="001712FD"/>
    <w:rsid w:val="00171381"/>
    <w:rsid w:val="00171879"/>
    <w:rsid w:val="00171A5F"/>
    <w:rsid w:val="00171A8C"/>
    <w:rsid w:val="00171BEC"/>
    <w:rsid w:val="00171C4C"/>
    <w:rsid w:val="00171D75"/>
    <w:rsid w:val="00171E62"/>
    <w:rsid w:val="00171ECF"/>
    <w:rsid w:val="00171F45"/>
    <w:rsid w:val="001721A3"/>
    <w:rsid w:val="00172238"/>
    <w:rsid w:val="00172314"/>
    <w:rsid w:val="0017233B"/>
    <w:rsid w:val="001724B8"/>
    <w:rsid w:val="0017252F"/>
    <w:rsid w:val="00172607"/>
    <w:rsid w:val="00172649"/>
    <w:rsid w:val="00172660"/>
    <w:rsid w:val="001726C5"/>
    <w:rsid w:val="0017277C"/>
    <w:rsid w:val="001727DE"/>
    <w:rsid w:val="00172997"/>
    <w:rsid w:val="001729F4"/>
    <w:rsid w:val="00172A0C"/>
    <w:rsid w:val="00172A34"/>
    <w:rsid w:val="00172B57"/>
    <w:rsid w:val="00172C1F"/>
    <w:rsid w:val="00172C54"/>
    <w:rsid w:val="00172C67"/>
    <w:rsid w:val="00172C93"/>
    <w:rsid w:val="00172CE9"/>
    <w:rsid w:val="00172DD3"/>
    <w:rsid w:val="00172F81"/>
    <w:rsid w:val="0017317F"/>
    <w:rsid w:val="001732B4"/>
    <w:rsid w:val="0017345C"/>
    <w:rsid w:val="001734AB"/>
    <w:rsid w:val="001734D2"/>
    <w:rsid w:val="0017355A"/>
    <w:rsid w:val="001735C5"/>
    <w:rsid w:val="00173603"/>
    <w:rsid w:val="0017365B"/>
    <w:rsid w:val="0017366A"/>
    <w:rsid w:val="00173869"/>
    <w:rsid w:val="001738AF"/>
    <w:rsid w:val="001739FA"/>
    <w:rsid w:val="00173A13"/>
    <w:rsid w:val="00173A21"/>
    <w:rsid w:val="00173ADD"/>
    <w:rsid w:val="00173AE1"/>
    <w:rsid w:val="00173D28"/>
    <w:rsid w:val="00173D72"/>
    <w:rsid w:val="00173EC4"/>
    <w:rsid w:val="00173F13"/>
    <w:rsid w:val="00173F34"/>
    <w:rsid w:val="00173FA3"/>
    <w:rsid w:val="00174150"/>
    <w:rsid w:val="0017420E"/>
    <w:rsid w:val="0017421C"/>
    <w:rsid w:val="001742C6"/>
    <w:rsid w:val="00174326"/>
    <w:rsid w:val="00174333"/>
    <w:rsid w:val="00174335"/>
    <w:rsid w:val="0017442D"/>
    <w:rsid w:val="0017442F"/>
    <w:rsid w:val="00174494"/>
    <w:rsid w:val="0017453E"/>
    <w:rsid w:val="00174561"/>
    <w:rsid w:val="00174567"/>
    <w:rsid w:val="001745D6"/>
    <w:rsid w:val="0017461B"/>
    <w:rsid w:val="0017472D"/>
    <w:rsid w:val="00174731"/>
    <w:rsid w:val="0017474C"/>
    <w:rsid w:val="00174757"/>
    <w:rsid w:val="00174786"/>
    <w:rsid w:val="00174838"/>
    <w:rsid w:val="0017495B"/>
    <w:rsid w:val="00174973"/>
    <w:rsid w:val="0017498C"/>
    <w:rsid w:val="00174A2E"/>
    <w:rsid w:val="00174A65"/>
    <w:rsid w:val="00174BE2"/>
    <w:rsid w:val="00174CA3"/>
    <w:rsid w:val="00174E0E"/>
    <w:rsid w:val="00174E5A"/>
    <w:rsid w:val="00174F0D"/>
    <w:rsid w:val="00174FDA"/>
    <w:rsid w:val="0017509F"/>
    <w:rsid w:val="001750A6"/>
    <w:rsid w:val="00175128"/>
    <w:rsid w:val="00175171"/>
    <w:rsid w:val="00175232"/>
    <w:rsid w:val="0017530E"/>
    <w:rsid w:val="00175329"/>
    <w:rsid w:val="0017533E"/>
    <w:rsid w:val="001754E1"/>
    <w:rsid w:val="001754FF"/>
    <w:rsid w:val="00175536"/>
    <w:rsid w:val="001755E8"/>
    <w:rsid w:val="0017583B"/>
    <w:rsid w:val="0017584D"/>
    <w:rsid w:val="0017588E"/>
    <w:rsid w:val="00175B14"/>
    <w:rsid w:val="00175B26"/>
    <w:rsid w:val="00175B5E"/>
    <w:rsid w:val="00175BE7"/>
    <w:rsid w:val="00175E37"/>
    <w:rsid w:val="00175E3A"/>
    <w:rsid w:val="00175E65"/>
    <w:rsid w:val="00175EA0"/>
    <w:rsid w:val="00175F3C"/>
    <w:rsid w:val="0017605D"/>
    <w:rsid w:val="001760EC"/>
    <w:rsid w:val="00176130"/>
    <w:rsid w:val="00176189"/>
    <w:rsid w:val="001761D8"/>
    <w:rsid w:val="001762BD"/>
    <w:rsid w:val="001762FC"/>
    <w:rsid w:val="00176309"/>
    <w:rsid w:val="00176320"/>
    <w:rsid w:val="00176377"/>
    <w:rsid w:val="001763FB"/>
    <w:rsid w:val="00176468"/>
    <w:rsid w:val="001764AF"/>
    <w:rsid w:val="0017665C"/>
    <w:rsid w:val="00176672"/>
    <w:rsid w:val="001766B5"/>
    <w:rsid w:val="00176742"/>
    <w:rsid w:val="00176745"/>
    <w:rsid w:val="001767CE"/>
    <w:rsid w:val="00176817"/>
    <w:rsid w:val="00176947"/>
    <w:rsid w:val="00176A2F"/>
    <w:rsid w:val="00176A43"/>
    <w:rsid w:val="00176A8C"/>
    <w:rsid w:val="00176BA3"/>
    <w:rsid w:val="00176BD5"/>
    <w:rsid w:val="00176CB1"/>
    <w:rsid w:val="00176F23"/>
    <w:rsid w:val="00176F7B"/>
    <w:rsid w:val="00176F9D"/>
    <w:rsid w:val="00176FBF"/>
    <w:rsid w:val="00176FCE"/>
    <w:rsid w:val="00177147"/>
    <w:rsid w:val="001771BF"/>
    <w:rsid w:val="001774E3"/>
    <w:rsid w:val="00177569"/>
    <w:rsid w:val="00177647"/>
    <w:rsid w:val="001776FC"/>
    <w:rsid w:val="00177874"/>
    <w:rsid w:val="001779A4"/>
    <w:rsid w:val="00177A08"/>
    <w:rsid w:val="00177AA6"/>
    <w:rsid w:val="00177AD2"/>
    <w:rsid w:val="00177B0E"/>
    <w:rsid w:val="00177B0F"/>
    <w:rsid w:val="00177BF5"/>
    <w:rsid w:val="00177CCE"/>
    <w:rsid w:val="00177D0E"/>
    <w:rsid w:val="00177E21"/>
    <w:rsid w:val="00177F2C"/>
    <w:rsid w:val="00180160"/>
    <w:rsid w:val="00180195"/>
    <w:rsid w:val="00180218"/>
    <w:rsid w:val="00180289"/>
    <w:rsid w:val="00180348"/>
    <w:rsid w:val="0018040D"/>
    <w:rsid w:val="00180441"/>
    <w:rsid w:val="001804DE"/>
    <w:rsid w:val="00180532"/>
    <w:rsid w:val="0018062C"/>
    <w:rsid w:val="00180659"/>
    <w:rsid w:val="001806A3"/>
    <w:rsid w:val="001806B7"/>
    <w:rsid w:val="001806D9"/>
    <w:rsid w:val="0018076A"/>
    <w:rsid w:val="0018077C"/>
    <w:rsid w:val="0018090E"/>
    <w:rsid w:val="00180915"/>
    <w:rsid w:val="00180988"/>
    <w:rsid w:val="00180A0B"/>
    <w:rsid w:val="00180A76"/>
    <w:rsid w:val="00180B20"/>
    <w:rsid w:val="00180B6E"/>
    <w:rsid w:val="00180BDD"/>
    <w:rsid w:val="00180BE6"/>
    <w:rsid w:val="00180BFA"/>
    <w:rsid w:val="00180C04"/>
    <w:rsid w:val="00180C54"/>
    <w:rsid w:val="00180CD2"/>
    <w:rsid w:val="00180E92"/>
    <w:rsid w:val="00180F64"/>
    <w:rsid w:val="00180F6E"/>
    <w:rsid w:val="00181189"/>
    <w:rsid w:val="001813F1"/>
    <w:rsid w:val="0018144D"/>
    <w:rsid w:val="001815A8"/>
    <w:rsid w:val="001815B3"/>
    <w:rsid w:val="0018160C"/>
    <w:rsid w:val="001816E9"/>
    <w:rsid w:val="001816FF"/>
    <w:rsid w:val="001817D0"/>
    <w:rsid w:val="001817FE"/>
    <w:rsid w:val="00181843"/>
    <w:rsid w:val="00181844"/>
    <w:rsid w:val="0018195C"/>
    <w:rsid w:val="001819EF"/>
    <w:rsid w:val="00181B12"/>
    <w:rsid w:val="00181C78"/>
    <w:rsid w:val="00181CB3"/>
    <w:rsid w:val="00181D7B"/>
    <w:rsid w:val="00181DB7"/>
    <w:rsid w:val="00181FBF"/>
    <w:rsid w:val="0018203D"/>
    <w:rsid w:val="00182057"/>
    <w:rsid w:val="00182125"/>
    <w:rsid w:val="001821CF"/>
    <w:rsid w:val="00182396"/>
    <w:rsid w:val="00182402"/>
    <w:rsid w:val="00182409"/>
    <w:rsid w:val="00182563"/>
    <w:rsid w:val="0018277E"/>
    <w:rsid w:val="0018289C"/>
    <w:rsid w:val="001829DC"/>
    <w:rsid w:val="00182AE4"/>
    <w:rsid w:val="00182B2F"/>
    <w:rsid w:val="00182B80"/>
    <w:rsid w:val="00182C45"/>
    <w:rsid w:val="00182C84"/>
    <w:rsid w:val="00182C8B"/>
    <w:rsid w:val="00182C97"/>
    <w:rsid w:val="00182CA9"/>
    <w:rsid w:val="00182D4C"/>
    <w:rsid w:val="00182E47"/>
    <w:rsid w:val="00182F08"/>
    <w:rsid w:val="00182F92"/>
    <w:rsid w:val="00182FCE"/>
    <w:rsid w:val="001832BF"/>
    <w:rsid w:val="00183433"/>
    <w:rsid w:val="001834BD"/>
    <w:rsid w:val="0018366F"/>
    <w:rsid w:val="001836A2"/>
    <w:rsid w:val="001836A3"/>
    <w:rsid w:val="001836E0"/>
    <w:rsid w:val="0018374C"/>
    <w:rsid w:val="001839DB"/>
    <w:rsid w:val="00183B99"/>
    <w:rsid w:val="00183BBC"/>
    <w:rsid w:val="00183BE2"/>
    <w:rsid w:val="00183F95"/>
    <w:rsid w:val="00183FA7"/>
    <w:rsid w:val="001840F3"/>
    <w:rsid w:val="001840FA"/>
    <w:rsid w:val="0018417C"/>
    <w:rsid w:val="00184303"/>
    <w:rsid w:val="0018431D"/>
    <w:rsid w:val="00184372"/>
    <w:rsid w:val="00184487"/>
    <w:rsid w:val="00184517"/>
    <w:rsid w:val="00184799"/>
    <w:rsid w:val="001847A0"/>
    <w:rsid w:val="001847E3"/>
    <w:rsid w:val="001848A8"/>
    <w:rsid w:val="0018496B"/>
    <w:rsid w:val="001849BB"/>
    <w:rsid w:val="00184C50"/>
    <w:rsid w:val="00184CDE"/>
    <w:rsid w:val="00184E31"/>
    <w:rsid w:val="00184F5E"/>
    <w:rsid w:val="00184F60"/>
    <w:rsid w:val="00184F9A"/>
    <w:rsid w:val="0018500F"/>
    <w:rsid w:val="001850E4"/>
    <w:rsid w:val="001854BA"/>
    <w:rsid w:val="001854BC"/>
    <w:rsid w:val="001854E6"/>
    <w:rsid w:val="001855B9"/>
    <w:rsid w:val="0018561C"/>
    <w:rsid w:val="001857E1"/>
    <w:rsid w:val="001857E6"/>
    <w:rsid w:val="0018582F"/>
    <w:rsid w:val="001858A3"/>
    <w:rsid w:val="001858CE"/>
    <w:rsid w:val="001858D5"/>
    <w:rsid w:val="00185BDC"/>
    <w:rsid w:val="00185BE1"/>
    <w:rsid w:val="00185C2E"/>
    <w:rsid w:val="00185C89"/>
    <w:rsid w:val="00185F89"/>
    <w:rsid w:val="00186194"/>
    <w:rsid w:val="00186216"/>
    <w:rsid w:val="001862BE"/>
    <w:rsid w:val="001862EF"/>
    <w:rsid w:val="001865A8"/>
    <w:rsid w:val="001866F7"/>
    <w:rsid w:val="00186803"/>
    <w:rsid w:val="0018686A"/>
    <w:rsid w:val="00186B65"/>
    <w:rsid w:val="00186BFD"/>
    <w:rsid w:val="00186C92"/>
    <w:rsid w:val="00186F04"/>
    <w:rsid w:val="00186F0D"/>
    <w:rsid w:val="00186F45"/>
    <w:rsid w:val="00186F60"/>
    <w:rsid w:val="001872CE"/>
    <w:rsid w:val="001874FF"/>
    <w:rsid w:val="001875BA"/>
    <w:rsid w:val="00187648"/>
    <w:rsid w:val="0018777D"/>
    <w:rsid w:val="001877DD"/>
    <w:rsid w:val="0018785E"/>
    <w:rsid w:val="00187947"/>
    <w:rsid w:val="00187981"/>
    <w:rsid w:val="001879BA"/>
    <w:rsid w:val="00187A2D"/>
    <w:rsid w:val="00187AE5"/>
    <w:rsid w:val="00187AF0"/>
    <w:rsid w:val="00187B46"/>
    <w:rsid w:val="00187C7D"/>
    <w:rsid w:val="00187D36"/>
    <w:rsid w:val="00187DBB"/>
    <w:rsid w:val="00187F1A"/>
    <w:rsid w:val="00190079"/>
    <w:rsid w:val="001901D2"/>
    <w:rsid w:val="00190281"/>
    <w:rsid w:val="001902B7"/>
    <w:rsid w:val="001902E0"/>
    <w:rsid w:val="001902F1"/>
    <w:rsid w:val="00190300"/>
    <w:rsid w:val="0019034B"/>
    <w:rsid w:val="001903D2"/>
    <w:rsid w:val="001904C7"/>
    <w:rsid w:val="001904F4"/>
    <w:rsid w:val="0019054C"/>
    <w:rsid w:val="0019069E"/>
    <w:rsid w:val="001907D2"/>
    <w:rsid w:val="0019097F"/>
    <w:rsid w:val="00190A27"/>
    <w:rsid w:val="00190B26"/>
    <w:rsid w:val="00190B48"/>
    <w:rsid w:val="00190BE6"/>
    <w:rsid w:val="00190D52"/>
    <w:rsid w:val="00190E29"/>
    <w:rsid w:val="00190E51"/>
    <w:rsid w:val="00190E80"/>
    <w:rsid w:val="00190F4E"/>
    <w:rsid w:val="00191051"/>
    <w:rsid w:val="00191058"/>
    <w:rsid w:val="00191063"/>
    <w:rsid w:val="001910DA"/>
    <w:rsid w:val="001910F1"/>
    <w:rsid w:val="00191183"/>
    <w:rsid w:val="001911BA"/>
    <w:rsid w:val="001911D2"/>
    <w:rsid w:val="001913E8"/>
    <w:rsid w:val="0019145A"/>
    <w:rsid w:val="00191734"/>
    <w:rsid w:val="0019174E"/>
    <w:rsid w:val="0019195E"/>
    <w:rsid w:val="00191B23"/>
    <w:rsid w:val="00191C15"/>
    <w:rsid w:val="00191C54"/>
    <w:rsid w:val="00191D52"/>
    <w:rsid w:val="00191E3B"/>
    <w:rsid w:val="00191F27"/>
    <w:rsid w:val="0019206E"/>
    <w:rsid w:val="0019210D"/>
    <w:rsid w:val="001921D3"/>
    <w:rsid w:val="001922FD"/>
    <w:rsid w:val="0019235F"/>
    <w:rsid w:val="0019247A"/>
    <w:rsid w:val="00192713"/>
    <w:rsid w:val="001927FB"/>
    <w:rsid w:val="00192869"/>
    <w:rsid w:val="00192910"/>
    <w:rsid w:val="001929BE"/>
    <w:rsid w:val="00192B09"/>
    <w:rsid w:val="00192B8D"/>
    <w:rsid w:val="00192C7C"/>
    <w:rsid w:val="00192CA5"/>
    <w:rsid w:val="00192D6F"/>
    <w:rsid w:val="00192D78"/>
    <w:rsid w:val="00192D9B"/>
    <w:rsid w:val="00192E03"/>
    <w:rsid w:val="00192E05"/>
    <w:rsid w:val="00192E62"/>
    <w:rsid w:val="00192E93"/>
    <w:rsid w:val="00192F76"/>
    <w:rsid w:val="00192F7B"/>
    <w:rsid w:val="00193045"/>
    <w:rsid w:val="00193109"/>
    <w:rsid w:val="0019315A"/>
    <w:rsid w:val="001931DE"/>
    <w:rsid w:val="00193258"/>
    <w:rsid w:val="001932DA"/>
    <w:rsid w:val="001932DB"/>
    <w:rsid w:val="0019337E"/>
    <w:rsid w:val="001933C1"/>
    <w:rsid w:val="001934BF"/>
    <w:rsid w:val="00193528"/>
    <w:rsid w:val="0019352F"/>
    <w:rsid w:val="00193619"/>
    <w:rsid w:val="001937CA"/>
    <w:rsid w:val="00193A3E"/>
    <w:rsid w:val="00193B27"/>
    <w:rsid w:val="00193B75"/>
    <w:rsid w:val="00193C37"/>
    <w:rsid w:val="00193D47"/>
    <w:rsid w:val="00193DE0"/>
    <w:rsid w:val="00193E3E"/>
    <w:rsid w:val="00193EA8"/>
    <w:rsid w:val="00193F11"/>
    <w:rsid w:val="00193FFC"/>
    <w:rsid w:val="00193FFE"/>
    <w:rsid w:val="00194042"/>
    <w:rsid w:val="001940EC"/>
    <w:rsid w:val="0019417C"/>
    <w:rsid w:val="00194202"/>
    <w:rsid w:val="0019426E"/>
    <w:rsid w:val="00194310"/>
    <w:rsid w:val="001946F0"/>
    <w:rsid w:val="00194701"/>
    <w:rsid w:val="00194AC4"/>
    <w:rsid w:val="00194AD1"/>
    <w:rsid w:val="00194ADA"/>
    <w:rsid w:val="00194B61"/>
    <w:rsid w:val="00194B89"/>
    <w:rsid w:val="00194D41"/>
    <w:rsid w:val="00194DDF"/>
    <w:rsid w:val="00194FB2"/>
    <w:rsid w:val="00195008"/>
    <w:rsid w:val="001950C5"/>
    <w:rsid w:val="00195153"/>
    <w:rsid w:val="0019518D"/>
    <w:rsid w:val="00195244"/>
    <w:rsid w:val="00195330"/>
    <w:rsid w:val="0019535B"/>
    <w:rsid w:val="00195417"/>
    <w:rsid w:val="001955B8"/>
    <w:rsid w:val="001956DB"/>
    <w:rsid w:val="00195853"/>
    <w:rsid w:val="001958D9"/>
    <w:rsid w:val="00195952"/>
    <w:rsid w:val="00195973"/>
    <w:rsid w:val="00195A1E"/>
    <w:rsid w:val="00195AB8"/>
    <w:rsid w:val="00195B37"/>
    <w:rsid w:val="00195D6A"/>
    <w:rsid w:val="00195EC4"/>
    <w:rsid w:val="00195EF5"/>
    <w:rsid w:val="00195F3E"/>
    <w:rsid w:val="00196078"/>
    <w:rsid w:val="00196140"/>
    <w:rsid w:val="0019619D"/>
    <w:rsid w:val="0019622E"/>
    <w:rsid w:val="001962F0"/>
    <w:rsid w:val="0019636F"/>
    <w:rsid w:val="00196426"/>
    <w:rsid w:val="00196566"/>
    <w:rsid w:val="00196578"/>
    <w:rsid w:val="001965F2"/>
    <w:rsid w:val="001966A7"/>
    <w:rsid w:val="0019684C"/>
    <w:rsid w:val="0019685F"/>
    <w:rsid w:val="00196972"/>
    <w:rsid w:val="00196AF8"/>
    <w:rsid w:val="00196B30"/>
    <w:rsid w:val="00196CA0"/>
    <w:rsid w:val="00196D94"/>
    <w:rsid w:val="00196DEA"/>
    <w:rsid w:val="00196EF8"/>
    <w:rsid w:val="00197039"/>
    <w:rsid w:val="00197085"/>
    <w:rsid w:val="001970EF"/>
    <w:rsid w:val="00197225"/>
    <w:rsid w:val="00197240"/>
    <w:rsid w:val="001972A7"/>
    <w:rsid w:val="0019730B"/>
    <w:rsid w:val="001976BB"/>
    <w:rsid w:val="001977E5"/>
    <w:rsid w:val="00197899"/>
    <w:rsid w:val="00197A0C"/>
    <w:rsid w:val="00197B89"/>
    <w:rsid w:val="00197D01"/>
    <w:rsid w:val="00197D36"/>
    <w:rsid w:val="00197F2A"/>
    <w:rsid w:val="001A0086"/>
    <w:rsid w:val="001A019B"/>
    <w:rsid w:val="001A01A7"/>
    <w:rsid w:val="001A01B3"/>
    <w:rsid w:val="001A0212"/>
    <w:rsid w:val="001A02B5"/>
    <w:rsid w:val="001A031B"/>
    <w:rsid w:val="001A03C7"/>
    <w:rsid w:val="001A041B"/>
    <w:rsid w:val="001A04CB"/>
    <w:rsid w:val="001A05A9"/>
    <w:rsid w:val="001A06B7"/>
    <w:rsid w:val="001A0711"/>
    <w:rsid w:val="001A08AE"/>
    <w:rsid w:val="001A0937"/>
    <w:rsid w:val="001A0963"/>
    <w:rsid w:val="001A0AE6"/>
    <w:rsid w:val="001A0AF2"/>
    <w:rsid w:val="001A0B52"/>
    <w:rsid w:val="001A0C2D"/>
    <w:rsid w:val="001A0F08"/>
    <w:rsid w:val="001A0F5F"/>
    <w:rsid w:val="001A0F67"/>
    <w:rsid w:val="001A1351"/>
    <w:rsid w:val="001A13A5"/>
    <w:rsid w:val="001A1463"/>
    <w:rsid w:val="001A14AB"/>
    <w:rsid w:val="001A1520"/>
    <w:rsid w:val="001A1549"/>
    <w:rsid w:val="001A16B6"/>
    <w:rsid w:val="001A17FB"/>
    <w:rsid w:val="001A183D"/>
    <w:rsid w:val="001A19C8"/>
    <w:rsid w:val="001A1AF8"/>
    <w:rsid w:val="001A1C7F"/>
    <w:rsid w:val="001A1D57"/>
    <w:rsid w:val="001A1D97"/>
    <w:rsid w:val="001A1E50"/>
    <w:rsid w:val="001A1E85"/>
    <w:rsid w:val="001A1F02"/>
    <w:rsid w:val="001A20AC"/>
    <w:rsid w:val="001A219B"/>
    <w:rsid w:val="001A23DB"/>
    <w:rsid w:val="001A23EF"/>
    <w:rsid w:val="001A244A"/>
    <w:rsid w:val="001A24FE"/>
    <w:rsid w:val="001A251D"/>
    <w:rsid w:val="001A2591"/>
    <w:rsid w:val="001A278C"/>
    <w:rsid w:val="001A27FF"/>
    <w:rsid w:val="001A2826"/>
    <w:rsid w:val="001A28FD"/>
    <w:rsid w:val="001A2916"/>
    <w:rsid w:val="001A292F"/>
    <w:rsid w:val="001A2935"/>
    <w:rsid w:val="001A2D31"/>
    <w:rsid w:val="001A2D3C"/>
    <w:rsid w:val="001A2D7C"/>
    <w:rsid w:val="001A2F4D"/>
    <w:rsid w:val="001A30E3"/>
    <w:rsid w:val="001A325F"/>
    <w:rsid w:val="001A3294"/>
    <w:rsid w:val="001A32A8"/>
    <w:rsid w:val="001A32C9"/>
    <w:rsid w:val="001A3358"/>
    <w:rsid w:val="001A34DD"/>
    <w:rsid w:val="001A3521"/>
    <w:rsid w:val="001A35CA"/>
    <w:rsid w:val="001A36E1"/>
    <w:rsid w:val="001A378D"/>
    <w:rsid w:val="001A378F"/>
    <w:rsid w:val="001A3919"/>
    <w:rsid w:val="001A3A29"/>
    <w:rsid w:val="001A3AC3"/>
    <w:rsid w:val="001A3B88"/>
    <w:rsid w:val="001A3C78"/>
    <w:rsid w:val="001A3D31"/>
    <w:rsid w:val="001A3D63"/>
    <w:rsid w:val="001A3D9F"/>
    <w:rsid w:val="001A3ED5"/>
    <w:rsid w:val="001A3EDE"/>
    <w:rsid w:val="001A3F22"/>
    <w:rsid w:val="001A3FC5"/>
    <w:rsid w:val="001A4022"/>
    <w:rsid w:val="001A40B5"/>
    <w:rsid w:val="001A42FA"/>
    <w:rsid w:val="001A4382"/>
    <w:rsid w:val="001A44C8"/>
    <w:rsid w:val="001A4627"/>
    <w:rsid w:val="001A4717"/>
    <w:rsid w:val="001A475E"/>
    <w:rsid w:val="001A4837"/>
    <w:rsid w:val="001A4853"/>
    <w:rsid w:val="001A48E7"/>
    <w:rsid w:val="001A4944"/>
    <w:rsid w:val="001A4979"/>
    <w:rsid w:val="001A49DD"/>
    <w:rsid w:val="001A4B4A"/>
    <w:rsid w:val="001A4BE9"/>
    <w:rsid w:val="001A4C8B"/>
    <w:rsid w:val="001A4F4D"/>
    <w:rsid w:val="001A5003"/>
    <w:rsid w:val="001A500E"/>
    <w:rsid w:val="001A5023"/>
    <w:rsid w:val="001A526F"/>
    <w:rsid w:val="001A531D"/>
    <w:rsid w:val="001A54A0"/>
    <w:rsid w:val="001A55EF"/>
    <w:rsid w:val="001A5626"/>
    <w:rsid w:val="001A5743"/>
    <w:rsid w:val="001A577A"/>
    <w:rsid w:val="001A5896"/>
    <w:rsid w:val="001A58B0"/>
    <w:rsid w:val="001A58C6"/>
    <w:rsid w:val="001A59A6"/>
    <w:rsid w:val="001A5A3F"/>
    <w:rsid w:val="001A5A92"/>
    <w:rsid w:val="001A5AE1"/>
    <w:rsid w:val="001A5C77"/>
    <w:rsid w:val="001A5D38"/>
    <w:rsid w:val="001A5DE5"/>
    <w:rsid w:val="001A5E7E"/>
    <w:rsid w:val="001A5FC7"/>
    <w:rsid w:val="001A60AE"/>
    <w:rsid w:val="001A61E7"/>
    <w:rsid w:val="001A6270"/>
    <w:rsid w:val="001A6277"/>
    <w:rsid w:val="001A64C6"/>
    <w:rsid w:val="001A6573"/>
    <w:rsid w:val="001A66FE"/>
    <w:rsid w:val="001A6782"/>
    <w:rsid w:val="001A67B9"/>
    <w:rsid w:val="001A6846"/>
    <w:rsid w:val="001A68ED"/>
    <w:rsid w:val="001A69DD"/>
    <w:rsid w:val="001A6A22"/>
    <w:rsid w:val="001A6B21"/>
    <w:rsid w:val="001A6B5A"/>
    <w:rsid w:val="001A6C20"/>
    <w:rsid w:val="001A6D1B"/>
    <w:rsid w:val="001A6DE1"/>
    <w:rsid w:val="001A6E75"/>
    <w:rsid w:val="001A6F04"/>
    <w:rsid w:val="001A6FED"/>
    <w:rsid w:val="001A7074"/>
    <w:rsid w:val="001A71DE"/>
    <w:rsid w:val="001A7224"/>
    <w:rsid w:val="001A7324"/>
    <w:rsid w:val="001A733D"/>
    <w:rsid w:val="001A735C"/>
    <w:rsid w:val="001A73EF"/>
    <w:rsid w:val="001A7435"/>
    <w:rsid w:val="001A74C1"/>
    <w:rsid w:val="001A74EE"/>
    <w:rsid w:val="001A7688"/>
    <w:rsid w:val="001A7779"/>
    <w:rsid w:val="001A7992"/>
    <w:rsid w:val="001A7A65"/>
    <w:rsid w:val="001A7A74"/>
    <w:rsid w:val="001A7AB0"/>
    <w:rsid w:val="001A7B0B"/>
    <w:rsid w:val="001A7B3A"/>
    <w:rsid w:val="001A7C21"/>
    <w:rsid w:val="001A7D1D"/>
    <w:rsid w:val="001A7DAB"/>
    <w:rsid w:val="001A7E83"/>
    <w:rsid w:val="001B0079"/>
    <w:rsid w:val="001B00BE"/>
    <w:rsid w:val="001B0210"/>
    <w:rsid w:val="001B0238"/>
    <w:rsid w:val="001B02AA"/>
    <w:rsid w:val="001B02B4"/>
    <w:rsid w:val="001B035A"/>
    <w:rsid w:val="001B048B"/>
    <w:rsid w:val="001B04D3"/>
    <w:rsid w:val="001B05C8"/>
    <w:rsid w:val="001B06B2"/>
    <w:rsid w:val="001B0754"/>
    <w:rsid w:val="001B0A1D"/>
    <w:rsid w:val="001B0C70"/>
    <w:rsid w:val="001B0CBD"/>
    <w:rsid w:val="001B0CE4"/>
    <w:rsid w:val="001B0DA9"/>
    <w:rsid w:val="001B0F0B"/>
    <w:rsid w:val="001B0FE4"/>
    <w:rsid w:val="001B112E"/>
    <w:rsid w:val="001B11F0"/>
    <w:rsid w:val="001B1296"/>
    <w:rsid w:val="001B135A"/>
    <w:rsid w:val="001B13A0"/>
    <w:rsid w:val="001B1518"/>
    <w:rsid w:val="001B15BC"/>
    <w:rsid w:val="001B15D3"/>
    <w:rsid w:val="001B165B"/>
    <w:rsid w:val="001B16C7"/>
    <w:rsid w:val="001B170B"/>
    <w:rsid w:val="001B174D"/>
    <w:rsid w:val="001B182F"/>
    <w:rsid w:val="001B18DF"/>
    <w:rsid w:val="001B1960"/>
    <w:rsid w:val="001B19AE"/>
    <w:rsid w:val="001B1A71"/>
    <w:rsid w:val="001B1ADF"/>
    <w:rsid w:val="001B1B48"/>
    <w:rsid w:val="001B1BB8"/>
    <w:rsid w:val="001B1BC8"/>
    <w:rsid w:val="001B1CD6"/>
    <w:rsid w:val="001B1D93"/>
    <w:rsid w:val="001B1DB6"/>
    <w:rsid w:val="001B1DBE"/>
    <w:rsid w:val="001B1E11"/>
    <w:rsid w:val="001B1ED8"/>
    <w:rsid w:val="001B1F5E"/>
    <w:rsid w:val="001B1FAD"/>
    <w:rsid w:val="001B220A"/>
    <w:rsid w:val="001B2260"/>
    <w:rsid w:val="001B22B5"/>
    <w:rsid w:val="001B22FC"/>
    <w:rsid w:val="001B23CF"/>
    <w:rsid w:val="001B2402"/>
    <w:rsid w:val="001B2454"/>
    <w:rsid w:val="001B24A2"/>
    <w:rsid w:val="001B2592"/>
    <w:rsid w:val="001B26BE"/>
    <w:rsid w:val="001B2783"/>
    <w:rsid w:val="001B28EE"/>
    <w:rsid w:val="001B292C"/>
    <w:rsid w:val="001B296C"/>
    <w:rsid w:val="001B2999"/>
    <w:rsid w:val="001B299A"/>
    <w:rsid w:val="001B29BB"/>
    <w:rsid w:val="001B2A9D"/>
    <w:rsid w:val="001B2D2B"/>
    <w:rsid w:val="001B2D42"/>
    <w:rsid w:val="001B2D93"/>
    <w:rsid w:val="001B2EAE"/>
    <w:rsid w:val="001B3091"/>
    <w:rsid w:val="001B3321"/>
    <w:rsid w:val="001B3346"/>
    <w:rsid w:val="001B3384"/>
    <w:rsid w:val="001B3385"/>
    <w:rsid w:val="001B3443"/>
    <w:rsid w:val="001B3638"/>
    <w:rsid w:val="001B3664"/>
    <w:rsid w:val="001B369D"/>
    <w:rsid w:val="001B36DF"/>
    <w:rsid w:val="001B3724"/>
    <w:rsid w:val="001B3729"/>
    <w:rsid w:val="001B374B"/>
    <w:rsid w:val="001B3A27"/>
    <w:rsid w:val="001B3A86"/>
    <w:rsid w:val="001B3B33"/>
    <w:rsid w:val="001B3B4C"/>
    <w:rsid w:val="001B3BFE"/>
    <w:rsid w:val="001B3CCB"/>
    <w:rsid w:val="001B3D22"/>
    <w:rsid w:val="001B3DD2"/>
    <w:rsid w:val="001B3FC9"/>
    <w:rsid w:val="001B3FEA"/>
    <w:rsid w:val="001B40AF"/>
    <w:rsid w:val="001B424F"/>
    <w:rsid w:val="001B443E"/>
    <w:rsid w:val="001B4490"/>
    <w:rsid w:val="001B454C"/>
    <w:rsid w:val="001B458E"/>
    <w:rsid w:val="001B45A6"/>
    <w:rsid w:val="001B46CA"/>
    <w:rsid w:val="001B4706"/>
    <w:rsid w:val="001B47BC"/>
    <w:rsid w:val="001B4867"/>
    <w:rsid w:val="001B4996"/>
    <w:rsid w:val="001B4AFF"/>
    <w:rsid w:val="001B4C01"/>
    <w:rsid w:val="001B4D52"/>
    <w:rsid w:val="001B4DAE"/>
    <w:rsid w:val="001B4DE5"/>
    <w:rsid w:val="001B4EED"/>
    <w:rsid w:val="001B4F39"/>
    <w:rsid w:val="001B4F80"/>
    <w:rsid w:val="001B4FEB"/>
    <w:rsid w:val="001B503B"/>
    <w:rsid w:val="001B5058"/>
    <w:rsid w:val="001B5074"/>
    <w:rsid w:val="001B50F4"/>
    <w:rsid w:val="001B5156"/>
    <w:rsid w:val="001B5289"/>
    <w:rsid w:val="001B546D"/>
    <w:rsid w:val="001B5809"/>
    <w:rsid w:val="001B5AC5"/>
    <w:rsid w:val="001B5B28"/>
    <w:rsid w:val="001B5B69"/>
    <w:rsid w:val="001B5C3B"/>
    <w:rsid w:val="001B5CEF"/>
    <w:rsid w:val="001B5D42"/>
    <w:rsid w:val="001B5DD3"/>
    <w:rsid w:val="001B5E1C"/>
    <w:rsid w:val="001B5E2F"/>
    <w:rsid w:val="001B5E36"/>
    <w:rsid w:val="001B5E47"/>
    <w:rsid w:val="001B5EF9"/>
    <w:rsid w:val="001B601E"/>
    <w:rsid w:val="001B6122"/>
    <w:rsid w:val="001B623F"/>
    <w:rsid w:val="001B6316"/>
    <w:rsid w:val="001B6447"/>
    <w:rsid w:val="001B64D1"/>
    <w:rsid w:val="001B6605"/>
    <w:rsid w:val="001B682F"/>
    <w:rsid w:val="001B6888"/>
    <w:rsid w:val="001B690C"/>
    <w:rsid w:val="001B6951"/>
    <w:rsid w:val="001B6B63"/>
    <w:rsid w:val="001B6DE3"/>
    <w:rsid w:val="001B6E1B"/>
    <w:rsid w:val="001B6E77"/>
    <w:rsid w:val="001B6F43"/>
    <w:rsid w:val="001B6F4D"/>
    <w:rsid w:val="001B7056"/>
    <w:rsid w:val="001B7081"/>
    <w:rsid w:val="001B7107"/>
    <w:rsid w:val="001B7113"/>
    <w:rsid w:val="001B7173"/>
    <w:rsid w:val="001B7481"/>
    <w:rsid w:val="001B749D"/>
    <w:rsid w:val="001B74AD"/>
    <w:rsid w:val="001B77AC"/>
    <w:rsid w:val="001B77D6"/>
    <w:rsid w:val="001B77FE"/>
    <w:rsid w:val="001B7D21"/>
    <w:rsid w:val="001B7E1A"/>
    <w:rsid w:val="001B7F0B"/>
    <w:rsid w:val="001B7F49"/>
    <w:rsid w:val="001B7FDC"/>
    <w:rsid w:val="001C0239"/>
    <w:rsid w:val="001C0261"/>
    <w:rsid w:val="001C02B5"/>
    <w:rsid w:val="001C0313"/>
    <w:rsid w:val="001C031D"/>
    <w:rsid w:val="001C0326"/>
    <w:rsid w:val="001C0370"/>
    <w:rsid w:val="001C047B"/>
    <w:rsid w:val="001C056E"/>
    <w:rsid w:val="001C066D"/>
    <w:rsid w:val="001C0705"/>
    <w:rsid w:val="001C0754"/>
    <w:rsid w:val="001C0769"/>
    <w:rsid w:val="001C08DB"/>
    <w:rsid w:val="001C0BFB"/>
    <w:rsid w:val="001C0C0E"/>
    <w:rsid w:val="001C0C22"/>
    <w:rsid w:val="001C0C94"/>
    <w:rsid w:val="001C0CFE"/>
    <w:rsid w:val="001C0D23"/>
    <w:rsid w:val="001C0D29"/>
    <w:rsid w:val="001C0D4D"/>
    <w:rsid w:val="001C0FB0"/>
    <w:rsid w:val="001C0FE7"/>
    <w:rsid w:val="001C105D"/>
    <w:rsid w:val="001C119E"/>
    <w:rsid w:val="001C1243"/>
    <w:rsid w:val="001C1311"/>
    <w:rsid w:val="001C1448"/>
    <w:rsid w:val="001C1536"/>
    <w:rsid w:val="001C163B"/>
    <w:rsid w:val="001C1646"/>
    <w:rsid w:val="001C16CB"/>
    <w:rsid w:val="001C172B"/>
    <w:rsid w:val="001C1772"/>
    <w:rsid w:val="001C1780"/>
    <w:rsid w:val="001C17DE"/>
    <w:rsid w:val="001C1875"/>
    <w:rsid w:val="001C192F"/>
    <w:rsid w:val="001C1998"/>
    <w:rsid w:val="001C1B98"/>
    <w:rsid w:val="001C1BA2"/>
    <w:rsid w:val="001C1C3A"/>
    <w:rsid w:val="001C1DB6"/>
    <w:rsid w:val="001C1E4C"/>
    <w:rsid w:val="001C1E8C"/>
    <w:rsid w:val="001C1E98"/>
    <w:rsid w:val="001C1F70"/>
    <w:rsid w:val="001C1FC6"/>
    <w:rsid w:val="001C2046"/>
    <w:rsid w:val="001C2063"/>
    <w:rsid w:val="001C2171"/>
    <w:rsid w:val="001C2383"/>
    <w:rsid w:val="001C23D8"/>
    <w:rsid w:val="001C23E9"/>
    <w:rsid w:val="001C24E1"/>
    <w:rsid w:val="001C253A"/>
    <w:rsid w:val="001C25A0"/>
    <w:rsid w:val="001C2622"/>
    <w:rsid w:val="001C2641"/>
    <w:rsid w:val="001C2648"/>
    <w:rsid w:val="001C2717"/>
    <w:rsid w:val="001C2755"/>
    <w:rsid w:val="001C2849"/>
    <w:rsid w:val="001C284F"/>
    <w:rsid w:val="001C28B5"/>
    <w:rsid w:val="001C29E9"/>
    <w:rsid w:val="001C2B59"/>
    <w:rsid w:val="001C2DBA"/>
    <w:rsid w:val="001C2E90"/>
    <w:rsid w:val="001C31B6"/>
    <w:rsid w:val="001C32B1"/>
    <w:rsid w:val="001C34DB"/>
    <w:rsid w:val="001C3623"/>
    <w:rsid w:val="001C36D6"/>
    <w:rsid w:val="001C3727"/>
    <w:rsid w:val="001C38AB"/>
    <w:rsid w:val="001C3A07"/>
    <w:rsid w:val="001C3AB7"/>
    <w:rsid w:val="001C3AF7"/>
    <w:rsid w:val="001C3C16"/>
    <w:rsid w:val="001C3C42"/>
    <w:rsid w:val="001C3CCC"/>
    <w:rsid w:val="001C3D8D"/>
    <w:rsid w:val="001C3E0D"/>
    <w:rsid w:val="001C3EBA"/>
    <w:rsid w:val="001C3EF7"/>
    <w:rsid w:val="001C3FA1"/>
    <w:rsid w:val="001C3FA7"/>
    <w:rsid w:val="001C4137"/>
    <w:rsid w:val="001C41C1"/>
    <w:rsid w:val="001C41D0"/>
    <w:rsid w:val="001C4260"/>
    <w:rsid w:val="001C4341"/>
    <w:rsid w:val="001C439E"/>
    <w:rsid w:val="001C43AC"/>
    <w:rsid w:val="001C43C1"/>
    <w:rsid w:val="001C462C"/>
    <w:rsid w:val="001C465E"/>
    <w:rsid w:val="001C46B6"/>
    <w:rsid w:val="001C486E"/>
    <w:rsid w:val="001C48B7"/>
    <w:rsid w:val="001C4930"/>
    <w:rsid w:val="001C49E2"/>
    <w:rsid w:val="001C4C84"/>
    <w:rsid w:val="001C4CFD"/>
    <w:rsid w:val="001C4D6F"/>
    <w:rsid w:val="001C4E05"/>
    <w:rsid w:val="001C4F02"/>
    <w:rsid w:val="001C4F99"/>
    <w:rsid w:val="001C5110"/>
    <w:rsid w:val="001C5186"/>
    <w:rsid w:val="001C5214"/>
    <w:rsid w:val="001C522A"/>
    <w:rsid w:val="001C537B"/>
    <w:rsid w:val="001C53FB"/>
    <w:rsid w:val="001C5450"/>
    <w:rsid w:val="001C5544"/>
    <w:rsid w:val="001C558F"/>
    <w:rsid w:val="001C55B9"/>
    <w:rsid w:val="001C576C"/>
    <w:rsid w:val="001C5821"/>
    <w:rsid w:val="001C598D"/>
    <w:rsid w:val="001C59A6"/>
    <w:rsid w:val="001C59EE"/>
    <w:rsid w:val="001C5A43"/>
    <w:rsid w:val="001C5AD8"/>
    <w:rsid w:val="001C5D25"/>
    <w:rsid w:val="001C5D34"/>
    <w:rsid w:val="001C5DC8"/>
    <w:rsid w:val="001C5ECD"/>
    <w:rsid w:val="001C5ED9"/>
    <w:rsid w:val="001C5FC6"/>
    <w:rsid w:val="001C5FD1"/>
    <w:rsid w:val="001C603A"/>
    <w:rsid w:val="001C6348"/>
    <w:rsid w:val="001C63C3"/>
    <w:rsid w:val="001C644D"/>
    <w:rsid w:val="001C65A2"/>
    <w:rsid w:val="001C667E"/>
    <w:rsid w:val="001C66A4"/>
    <w:rsid w:val="001C678E"/>
    <w:rsid w:val="001C6878"/>
    <w:rsid w:val="001C689E"/>
    <w:rsid w:val="001C68B7"/>
    <w:rsid w:val="001C68CB"/>
    <w:rsid w:val="001C68D6"/>
    <w:rsid w:val="001C6908"/>
    <w:rsid w:val="001C69D6"/>
    <w:rsid w:val="001C6AD6"/>
    <w:rsid w:val="001C6AFA"/>
    <w:rsid w:val="001C6B87"/>
    <w:rsid w:val="001C6C3D"/>
    <w:rsid w:val="001C6C4F"/>
    <w:rsid w:val="001C6C95"/>
    <w:rsid w:val="001C6E1A"/>
    <w:rsid w:val="001C6E63"/>
    <w:rsid w:val="001C6F81"/>
    <w:rsid w:val="001C6FAA"/>
    <w:rsid w:val="001C6FCA"/>
    <w:rsid w:val="001C7021"/>
    <w:rsid w:val="001C71C1"/>
    <w:rsid w:val="001C7224"/>
    <w:rsid w:val="001C73AF"/>
    <w:rsid w:val="001C74A5"/>
    <w:rsid w:val="001C74CB"/>
    <w:rsid w:val="001C74FD"/>
    <w:rsid w:val="001C76AC"/>
    <w:rsid w:val="001C773A"/>
    <w:rsid w:val="001C7742"/>
    <w:rsid w:val="001C775F"/>
    <w:rsid w:val="001C7763"/>
    <w:rsid w:val="001C77BE"/>
    <w:rsid w:val="001C781E"/>
    <w:rsid w:val="001C797E"/>
    <w:rsid w:val="001C7990"/>
    <w:rsid w:val="001C7A00"/>
    <w:rsid w:val="001C7A76"/>
    <w:rsid w:val="001C7ABD"/>
    <w:rsid w:val="001C7B34"/>
    <w:rsid w:val="001C7D02"/>
    <w:rsid w:val="001C7D81"/>
    <w:rsid w:val="001C7E4F"/>
    <w:rsid w:val="001C7EF1"/>
    <w:rsid w:val="001CE20D"/>
    <w:rsid w:val="001D0171"/>
    <w:rsid w:val="001D017A"/>
    <w:rsid w:val="001D0201"/>
    <w:rsid w:val="001D023C"/>
    <w:rsid w:val="001D0331"/>
    <w:rsid w:val="001D03CF"/>
    <w:rsid w:val="001D0411"/>
    <w:rsid w:val="001D042F"/>
    <w:rsid w:val="001D0585"/>
    <w:rsid w:val="001D063F"/>
    <w:rsid w:val="001D06C4"/>
    <w:rsid w:val="001D07B5"/>
    <w:rsid w:val="001D083A"/>
    <w:rsid w:val="001D08F7"/>
    <w:rsid w:val="001D091B"/>
    <w:rsid w:val="001D0939"/>
    <w:rsid w:val="001D0954"/>
    <w:rsid w:val="001D09D8"/>
    <w:rsid w:val="001D0A7D"/>
    <w:rsid w:val="001D0AAD"/>
    <w:rsid w:val="001D0ACA"/>
    <w:rsid w:val="001D0B5D"/>
    <w:rsid w:val="001D0BD4"/>
    <w:rsid w:val="001D0CFE"/>
    <w:rsid w:val="001D0D68"/>
    <w:rsid w:val="001D0E07"/>
    <w:rsid w:val="001D0E43"/>
    <w:rsid w:val="001D0E78"/>
    <w:rsid w:val="001D0E94"/>
    <w:rsid w:val="001D1325"/>
    <w:rsid w:val="001D1704"/>
    <w:rsid w:val="001D1A53"/>
    <w:rsid w:val="001D1A68"/>
    <w:rsid w:val="001D1C67"/>
    <w:rsid w:val="001D1FB4"/>
    <w:rsid w:val="001D213F"/>
    <w:rsid w:val="001D2193"/>
    <w:rsid w:val="001D21E3"/>
    <w:rsid w:val="001D21F3"/>
    <w:rsid w:val="001D23EB"/>
    <w:rsid w:val="001D249E"/>
    <w:rsid w:val="001D2501"/>
    <w:rsid w:val="001D250E"/>
    <w:rsid w:val="001D25DC"/>
    <w:rsid w:val="001D2632"/>
    <w:rsid w:val="001D2661"/>
    <w:rsid w:val="001D269A"/>
    <w:rsid w:val="001D27B1"/>
    <w:rsid w:val="001D27D0"/>
    <w:rsid w:val="001D2924"/>
    <w:rsid w:val="001D2A24"/>
    <w:rsid w:val="001D2A7B"/>
    <w:rsid w:val="001D2AA8"/>
    <w:rsid w:val="001D2B31"/>
    <w:rsid w:val="001D2B37"/>
    <w:rsid w:val="001D2B99"/>
    <w:rsid w:val="001D2C21"/>
    <w:rsid w:val="001D2CE5"/>
    <w:rsid w:val="001D2D64"/>
    <w:rsid w:val="001D2FA6"/>
    <w:rsid w:val="001D31F3"/>
    <w:rsid w:val="001D349D"/>
    <w:rsid w:val="001D3529"/>
    <w:rsid w:val="001D354A"/>
    <w:rsid w:val="001D367E"/>
    <w:rsid w:val="001D36CD"/>
    <w:rsid w:val="001D36F7"/>
    <w:rsid w:val="001D37D1"/>
    <w:rsid w:val="001D37D4"/>
    <w:rsid w:val="001D3833"/>
    <w:rsid w:val="001D3868"/>
    <w:rsid w:val="001D3A16"/>
    <w:rsid w:val="001D3A63"/>
    <w:rsid w:val="001D3A9E"/>
    <w:rsid w:val="001D3ADF"/>
    <w:rsid w:val="001D3B14"/>
    <w:rsid w:val="001D3C46"/>
    <w:rsid w:val="001D3C81"/>
    <w:rsid w:val="001D3CDA"/>
    <w:rsid w:val="001D3E7A"/>
    <w:rsid w:val="001D3EB3"/>
    <w:rsid w:val="001D4106"/>
    <w:rsid w:val="001D4112"/>
    <w:rsid w:val="001D41D9"/>
    <w:rsid w:val="001D41DF"/>
    <w:rsid w:val="001D41F9"/>
    <w:rsid w:val="001D4218"/>
    <w:rsid w:val="001D4239"/>
    <w:rsid w:val="001D438D"/>
    <w:rsid w:val="001D439B"/>
    <w:rsid w:val="001D44FD"/>
    <w:rsid w:val="001D459E"/>
    <w:rsid w:val="001D45CE"/>
    <w:rsid w:val="001D472C"/>
    <w:rsid w:val="001D4884"/>
    <w:rsid w:val="001D499D"/>
    <w:rsid w:val="001D4A31"/>
    <w:rsid w:val="001D4A50"/>
    <w:rsid w:val="001D4BE7"/>
    <w:rsid w:val="001D4D61"/>
    <w:rsid w:val="001D4E39"/>
    <w:rsid w:val="001D4E6D"/>
    <w:rsid w:val="001D4F11"/>
    <w:rsid w:val="001D4F47"/>
    <w:rsid w:val="001D4FF8"/>
    <w:rsid w:val="001D5065"/>
    <w:rsid w:val="001D512B"/>
    <w:rsid w:val="001D5286"/>
    <w:rsid w:val="001D52B5"/>
    <w:rsid w:val="001D533C"/>
    <w:rsid w:val="001D53CF"/>
    <w:rsid w:val="001D5419"/>
    <w:rsid w:val="001D5460"/>
    <w:rsid w:val="001D5491"/>
    <w:rsid w:val="001D54DE"/>
    <w:rsid w:val="001D54EA"/>
    <w:rsid w:val="001D54ED"/>
    <w:rsid w:val="001D54FD"/>
    <w:rsid w:val="001D557E"/>
    <w:rsid w:val="001D5620"/>
    <w:rsid w:val="001D595C"/>
    <w:rsid w:val="001D5CBB"/>
    <w:rsid w:val="001D5CF1"/>
    <w:rsid w:val="001D5D98"/>
    <w:rsid w:val="001D5F85"/>
    <w:rsid w:val="001D6031"/>
    <w:rsid w:val="001D612E"/>
    <w:rsid w:val="001D6274"/>
    <w:rsid w:val="001D62C6"/>
    <w:rsid w:val="001D647C"/>
    <w:rsid w:val="001D64C4"/>
    <w:rsid w:val="001D64E9"/>
    <w:rsid w:val="001D6706"/>
    <w:rsid w:val="001D67B0"/>
    <w:rsid w:val="001D689D"/>
    <w:rsid w:val="001D6BB6"/>
    <w:rsid w:val="001D6BCE"/>
    <w:rsid w:val="001D6BD7"/>
    <w:rsid w:val="001D6D08"/>
    <w:rsid w:val="001D6D59"/>
    <w:rsid w:val="001D6DAA"/>
    <w:rsid w:val="001D6E24"/>
    <w:rsid w:val="001D6ECA"/>
    <w:rsid w:val="001D6F86"/>
    <w:rsid w:val="001D7085"/>
    <w:rsid w:val="001D70AB"/>
    <w:rsid w:val="001D70B7"/>
    <w:rsid w:val="001D7160"/>
    <w:rsid w:val="001D7161"/>
    <w:rsid w:val="001D71F0"/>
    <w:rsid w:val="001D724B"/>
    <w:rsid w:val="001D7250"/>
    <w:rsid w:val="001D72D3"/>
    <w:rsid w:val="001D72ED"/>
    <w:rsid w:val="001D7302"/>
    <w:rsid w:val="001D743F"/>
    <w:rsid w:val="001D762A"/>
    <w:rsid w:val="001D767E"/>
    <w:rsid w:val="001D76C2"/>
    <w:rsid w:val="001D76C7"/>
    <w:rsid w:val="001D77DB"/>
    <w:rsid w:val="001D7869"/>
    <w:rsid w:val="001D788A"/>
    <w:rsid w:val="001D78CE"/>
    <w:rsid w:val="001D7910"/>
    <w:rsid w:val="001D7963"/>
    <w:rsid w:val="001D79DB"/>
    <w:rsid w:val="001D7BFA"/>
    <w:rsid w:val="001D7CE0"/>
    <w:rsid w:val="001D7D52"/>
    <w:rsid w:val="001D7EDF"/>
    <w:rsid w:val="001D7F1B"/>
    <w:rsid w:val="001E0029"/>
    <w:rsid w:val="001E0067"/>
    <w:rsid w:val="001E0125"/>
    <w:rsid w:val="001E021D"/>
    <w:rsid w:val="001E0696"/>
    <w:rsid w:val="001E06C4"/>
    <w:rsid w:val="001E07D4"/>
    <w:rsid w:val="001E0AF1"/>
    <w:rsid w:val="001E0CA2"/>
    <w:rsid w:val="001E0CC6"/>
    <w:rsid w:val="001E0CD9"/>
    <w:rsid w:val="001E0DE2"/>
    <w:rsid w:val="001E0EF0"/>
    <w:rsid w:val="001E0FEB"/>
    <w:rsid w:val="001E10A3"/>
    <w:rsid w:val="001E1113"/>
    <w:rsid w:val="001E1135"/>
    <w:rsid w:val="001E1254"/>
    <w:rsid w:val="001E12DE"/>
    <w:rsid w:val="001E12E2"/>
    <w:rsid w:val="001E1381"/>
    <w:rsid w:val="001E13A3"/>
    <w:rsid w:val="001E1588"/>
    <w:rsid w:val="001E15AD"/>
    <w:rsid w:val="001E18B9"/>
    <w:rsid w:val="001E1AF5"/>
    <w:rsid w:val="001E1B27"/>
    <w:rsid w:val="001E1B6F"/>
    <w:rsid w:val="001E1C1B"/>
    <w:rsid w:val="001E1CCA"/>
    <w:rsid w:val="001E1D5E"/>
    <w:rsid w:val="001E2035"/>
    <w:rsid w:val="001E2137"/>
    <w:rsid w:val="001E227E"/>
    <w:rsid w:val="001E22A2"/>
    <w:rsid w:val="001E22DD"/>
    <w:rsid w:val="001E2507"/>
    <w:rsid w:val="001E25A7"/>
    <w:rsid w:val="001E263D"/>
    <w:rsid w:val="001E27B3"/>
    <w:rsid w:val="001E29CB"/>
    <w:rsid w:val="001E2BEB"/>
    <w:rsid w:val="001E2BF7"/>
    <w:rsid w:val="001E2D4C"/>
    <w:rsid w:val="001E2DA1"/>
    <w:rsid w:val="001E2DE1"/>
    <w:rsid w:val="001E2FFF"/>
    <w:rsid w:val="001E3027"/>
    <w:rsid w:val="001E3081"/>
    <w:rsid w:val="001E30A5"/>
    <w:rsid w:val="001E3120"/>
    <w:rsid w:val="001E322F"/>
    <w:rsid w:val="001E323C"/>
    <w:rsid w:val="001E33F6"/>
    <w:rsid w:val="001E3456"/>
    <w:rsid w:val="001E367D"/>
    <w:rsid w:val="001E3706"/>
    <w:rsid w:val="001E3762"/>
    <w:rsid w:val="001E3801"/>
    <w:rsid w:val="001E38CC"/>
    <w:rsid w:val="001E38FC"/>
    <w:rsid w:val="001E3981"/>
    <w:rsid w:val="001E39A0"/>
    <w:rsid w:val="001E3B2E"/>
    <w:rsid w:val="001E3D0D"/>
    <w:rsid w:val="001E3D16"/>
    <w:rsid w:val="001E3F38"/>
    <w:rsid w:val="001E3FF8"/>
    <w:rsid w:val="001E40F0"/>
    <w:rsid w:val="001E4119"/>
    <w:rsid w:val="001E41CF"/>
    <w:rsid w:val="001E420E"/>
    <w:rsid w:val="001E44A8"/>
    <w:rsid w:val="001E4742"/>
    <w:rsid w:val="001E4849"/>
    <w:rsid w:val="001E49BE"/>
    <w:rsid w:val="001E4A4D"/>
    <w:rsid w:val="001E4A8E"/>
    <w:rsid w:val="001E4AEF"/>
    <w:rsid w:val="001E4B63"/>
    <w:rsid w:val="001E4DE8"/>
    <w:rsid w:val="001E4FDD"/>
    <w:rsid w:val="001E5005"/>
    <w:rsid w:val="001E504C"/>
    <w:rsid w:val="001E517B"/>
    <w:rsid w:val="001E522C"/>
    <w:rsid w:val="001E5396"/>
    <w:rsid w:val="001E552E"/>
    <w:rsid w:val="001E5531"/>
    <w:rsid w:val="001E55A0"/>
    <w:rsid w:val="001E566F"/>
    <w:rsid w:val="001E5743"/>
    <w:rsid w:val="001E57F1"/>
    <w:rsid w:val="001E586C"/>
    <w:rsid w:val="001E596F"/>
    <w:rsid w:val="001E5979"/>
    <w:rsid w:val="001E5C91"/>
    <w:rsid w:val="001E5CA6"/>
    <w:rsid w:val="001E5D45"/>
    <w:rsid w:val="001E5FEE"/>
    <w:rsid w:val="001E62B4"/>
    <w:rsid w:val="001E63AF"/>
    <w:rsid w:val="001E6410"/>
    <w:rsid w:val="001E64A5"/>
    <w:rsid w:val="001E64BE"/>
    <w:rsid w:val="001E6513"/>
    <w:rsid w:val="001E6629"/>
    <w:rsid w:val="001E662D"/>
    <w:rsid w:val="001E66DD"/>
    <w:rsid w:val="001E67CC"/>
    <w:rsid w:val="001E6828"/>
    <w:rsid w:val="001E691D"/>
    <w:rsid w:val="001E6AA8"/>
    <w:rsid w:val="001E6AC5"/>
    <w:rsid w:val="001E6D71"/>
    <w:rsid w:val="001E6DFA"/>
    <w:rsid w:val="001E6E37"/>
    <w:rsid w:val="001E6F43"/>
    <w:rsid w:val="001E6F4C"/>
    <w:rsid w:val="001E702A"/>
    <w:rsid w:val="001E7096"/>
    <w:rsid w:val="001E7176"/>
    <w:rsid w:val="001E7296"/>
    <w:rsid w:val="001E7353"/>
    <w:rsid w:val="001E7489"/>
    <w:rsid w:val="001E74E7"/>
    <w:rsid w:val="001E775B"/>
    <w:rsid w:val="001E78E0"/>
    <w:rsid w:val="001E7A3F"/>
    <w:rsid w:val="001E7AD0"/>
    <w:rsid w:val="001E7C4A"/>
    <w:rsid w:val="001E7C59"/>
    <w:rsid w:val="001E7F0F"/>
    <w:rsid w:val="001E7FD7"/>
    <w:rsid w:val="001F01A1"/>
    <w:rsid w:val="001F0350"/>
    <w:rsid w:val="001F050F"/>
    <w:rsid w:val="001F05DA"/>
    <w:rsid w:val="001F0730"/>
    <w:rsid w:val="001F0816"/>
    <w:rsid w:val="001F09C2"/>
    <w:rsid w:val="001F0AC2"/>
    <w:rsid w:val="001F0CDB"/>
    <w:rsid w:val="001F0CF1"/>
    <w:rsid w:val="001F0D26"/>
    <w:rsid w:val="001F0D78"/>
    <w:rsid w:val="001F0E95"/>
    <w:rsid w:val="001F0E97"/>
    <w:rsid w:val="001F0ED4"/>
    <w:rsid w:val="001F0F05"/>
    <w:rsid w:val="001F10CB"/>
    <w:rsid w:val="001F11DD"/>
    <w:rsid w:val="001F12C2"/>
    <w:rsid w:val="001F14D6"/>
    <w:rsid w:val="001F169C"/>
    <w:rsid w:val="001F1815"/>
    <w:rsid w:val="001F18BB"/>
    <w:rsid w:val="001F18FE"/>
    <w:rsid w:val="001F198A"/>
    <w:rsid w:val="001F19FF"/>
    <w:rsid w:val="001F1A1B"/>
    <w:rsid w:val="001F1AFE"/>
    <w:rsid w:val="001F1B52"/>
    <w:rsid w:val="001F1B85"/>
    <w:rsid w:val="001F1BFC"/>
    <w:rsid w:val="001F1C43"/>
    <w:rsid w:val="001F1C57"/>
    <w:rsid w:val="001F1F18"/>
    <w:rsid w:val="001F202E"/>
    <w:rsid w:val="001F2273"/>
    <w:rsid w:val="001F22A8"/>
    <w:rsid w:val="001F22EA"/>
    <w:rsid w:val="001F232D"/>
    <w:rsid w:val="001F234B"/>
    <w:rsid w:val="001F24AD"/>
    <w:rsid w:val="001F252D"/>
    <w:rsid w:val="001F25A7"/>
    <w:rsid w:val="001F25D6"/>
    <w:rsid w:val="001F2679"/>
    <w:rsid w:val="001F2727"/>
    <w:rsid w:val="001F2917"/>
    <w:rsid w:val="001F29C9"/>
    <w:rsid w:val="001F2AA0"/>
    <w:rsid w:val="001F2AE9"/>
    <w:rsid w:val="001F2CFA"/>
    <w:rsid w:val="001F2E6D"/>
    <w:rsid w:val="001F2F4E"/>
    <w:rsid w:val="001F303A"/>
    <w:rsid w:val="001F30B7"/>
    <w:rsid w:val="001F30CF"/>
    <w:rsid w:val="001F3147"/>
    <w:rsid w:val="001F3329"/>
    <w:rsid w:val="001F3347"/>
    <w:rsid w:val="001F3367"/>
    <w:rsid w:val="001F33AF"/>
    <w:rsid w:val="001F3473"/>
    <w:rsid w:val="001F3624"/>
    <w:rsid w:val="001F36A5"/>
    <w:rsid w:val="001F37AB"/>
    <w:rsid w:val="001F386B"/>
    <w:rsid w:val="001F388B"/>
    <w:rsid w:val="001F38B2"/>
    <w:rsid w:val="001F3971"/>
    <w:rsid w:val="001F3A17"/>
    <w:rsid w:val="001F3AAF"/>
    <w:rsid w:val="001F3B23"/>
    <w:rsid w:val="001F3C8B"/>
    <w:rsid w:val="001F3C9B"/>
    <w:rsid w:val="001F3CB3"/>
    <w:rsid w:val="001F3F3C"/>
    <w:rsid w:val="001F3FD0"/>
    <w:rsid w:val="001F418A"/>
    <w:rsid w:val="001F4282"/>
    <w:rsid w:val="001F43D1"/>
    <w:rsid w:val="001F43E4"/>
    <w:rsid w:val="001F445E"/>
    <w:rsid w:val="001F452F"/>
    <w:rsid w:val="001F45CE"/>
    <w:rsid w:val="001F4694"/>
    <w:rsid w:val="001F4774"/>
    <w:rsid w:val="001F47D8"/>
    <w:rsid w:val="001F482B"/>
    <w:rsid w:val="001F4972"/>
    <w:rsid w:val="001F4D63"/>
    <w:rsid w:val="001F4E25"/>
    <w:rsid w:val="001F4F0A"/>
    <w:rsid w:val="001F4F93"/>
    <w:rsid w:val="001F5080"/>
    <w:rsid w:val="001F5118"/>
    <w:rsid w:val="001F519C"/>
    <w:rsid w:val="001F530F"/>
    <w:rsid w:val="001F5442"/>
    <w:rsid w:val="001F54E9"/>
    <w:rsid w:val="001F55B3"/>
    <w:rsid w:val="001F55FF"/>
    <w:rsid w:val="001F5614"/>
    <w:rsid w:val="001F565F"/>
    <w:rsid w:val="001F57C4"/>
    <w:rsid w:val="001F5943"/>
    <w:rsid w:val="001F5A24"/>
    <w:rsid w:val="001F5A56"/>
    <w:rsid w:val="001F5B33"/>
    <w:rsid w:val="001F5B52"/>
    <w:rsid w:val="001F5B86"/>
    <w:rsid w:val="001F5CDE"/>
    <w:rsid w:val="001F5D4A"/>
    <w:rsid w:val="001F5F9D"/>
    <w:rsid w:val="001F60BD"/>
    <w:rsid w:val="001F6222"/>
    <w:rsid w:val="001F63D8"/>
    <w:rsid w:val="001F63E6"/>
    <w:rsid w:val="001F6518"/>
    <w:rsid w:val="001F666D"/>
    <w:rsid w:val="001F6672"/>
    <w:rsid w:val="001F6A0F"/>
    <w:rsid w:val="001F6A5F"/>
    <w:rsid w:val="001F6AAB"/>
    <w:rsid w:val="001F6D2C"/>
    <w:rsid w:val="001F6FBA"/>
    <w:rsid w:val="001F709F"/>
    <w:rsid w:val="001F7132"/>
    <w:rsid w:val="001F7138"/>
    <w:rsid w:val="001F7210"/>
    <w:rsid w:val="001F724E"/>
    <w:rsid w:val="001F739D"/>
    <w:rsid w:val="001F7415"/>
    <w:rsid w:val="001F74F7"/>
    <w:rsid w:val="001F75E8"/>
    <w:rsid w:val="001F7675"/>
    <w:rsid w:val="001F7732"/>
    <w:rsid w:val="001F7793"/>
    <w:rsid w:val="001F78F0"/>
    <w:rsid w:val="001F7A46"/>
    <w:rsid w:val="001F7A9B"/>
    <w:rsid w:val="001F7C58"/>
    <w:rsid w:val="001F7E21"/>
    <w:rsid w:val="001F7F7B"/>
    <w:rsid w:val="0020011F"/>
    <w:rsid w:val="00200205"/>
    <w:rsid w:val="0020035A"/>
    <w:rsid w:val="0020047E"/>
    <w:rsid w:val="002004E9"/>
    <w:rsid w:val="00200650"/>
    <w:rsid w:val="002006E1"/>
    <w:rsid w:val="0020082F"/>
    <w:rsid w:val="00200891"/>
    <w:rsid w:val="0020089F"/>
    <w:rsid w:val="002008DA"/>
    <w:rsid w:val="002009A1"/>
    <w:rsid w:val="00200A59"/>
    <w:rsid w:val="00200B49"/>
    <w:rsid w:val="00200C8D"/>
    <w:rsid w:val="00200DD6"/>
    <w:rsid w:val="00200EB2"/>
    <w:rsid w:val="00200F4E"/>
    <w:rsid w:val="00201034"/>
    <w:rsid w:val="00201068"/>
    <w:rsid w:val="002013C4"/>
    <w:rsid w:val="0020154D"/>
    <w:rsid w:val="002015C5"/>
    <w:rsid w:val="002016FD"/>
    <w:rsid w:val="002017AE"/>
    <w:rsid w:val="0020184F"/>
    <w:rsid w:val="00201856"/>
    <w:rsid w:val="002019B6"/>
    <w:rsid w:val="00201ACB"/>
    <w:rsid w:val="00201AD2"/>
    <w:rsid w:val="00201AE2"/>
    <w:rsid w:val="00201B1F"/>
    <w:rsid w:val="00201B77"/>
    <w:rsid w:val="00201C08"/>
    <w:rsid w:val="00201EE2"/>
    <w:rsid w:val="00201EF9"/>
    <w:rsid w:val="002020CF"/>
    <w:rsid w:val="00202151"/>
    <w:rsid w:val="0020242B"/>
    <w:rsid w:val="002026CD"/>
    <w:rsid w:val="002026D2"/>
    <w:rsid w:val="002026DA"/>
    <w:rsid w:val="00202751"/>
    <w:rsid w:val="002027F9"/>
    <w:rsid w:val="002028A2"/>
    <w:rsid w:val="002029D1"/>
    <w:rsid w:val="00202AB3"/>
    <w:rsid w:val="00202BA1"/>
    <w:rsid w:val="00202C21"/>
    <w:rsid w:val="00202E89"/>
    <w:rsid w:val="00202E92"/>
    <w:rsid w:val="00202F87"/>
    <w:rsid w:val="00202F8D"/>
    <w:rsid w:val="002030A3"/>
    <w:rsid w:val="0020314C"/>
    <w:rsid w:val="00203163"/>
    <w:rsid w:val="002031DD"/>
    <w:rsid w:val="002031EE"/>
    <w:rsid w:val="00203371"/>
    <w:rsid w:val="002033FC"/>
    <w:rsid w:val="002034A7"/>
    <w:rsid w:val="0020360F"/>
    <w:rsid w:val="0020365C"/>
    <w:rsid w:val="00203669"/>
    <w:rsid w:val="0020369B"/>
    <w:rsid w:val="00203751"/>
    <w:rsid w:val="00203840"/>
    <w:rsid w:val="002038A9"/>
    <w:rsid w:val="00203909"/>
    <w:rsid w:val="0020392D"/>
    <w:rsid w:val="00203945"/>
    <w:rsid w:val="002039E9"/>
    <w:rsid w:val="00203A29"/>
    <w:rsid w:val="00203AD9"/>
    <w:rsid w:val="00203BC7"/>
    <w:rsid w:val="0020408F"/>
    <w:rsid w:val="00204133"/>
    <w:rsid w:val="002041A8"/>
    <w:rsid w:val="002041C1"/>
    <w:rsid w:val="0020423E"/>
    <w:rsid w:val="00204454"/>
    <w:rsid w:val="002044BB"/>
    <w:rsid w:val="002044C8"/>
    <w:rsid w:val="0020452D"/>
    <w:rsid w:val="00204553"/>
    <w:rsid w:val="0020457A"/>
    <w:rsid w:val="00204613"/>
    <w:rsid w:val="00204672"/>
    <w:rsid w:val="00204768"/>
    <w:rsid w:val="002047B3"/>
    <w:rsid w:val="002047C4"/>
    <w:rsid w:val="00204825"/>
    <w:rsid w:val="002048D6"/>
    <w:rsid w:val="00204959"/>
    <w:rsid w:val="00204B39"/>
    <w:rsid w:val="00204C2A"/>
    <w:rsid w:val="00204C4A"/>
    <w:rsid w:val="00204CED"/>
    <w:rsid w:val="00204D50"/>
    <w:rsid w:val="00204D79"/>
    <w:rsid w:val="00204FB7"/>
    <w:rsid w:val="0020509D"/>
    <w:rsid w:val="00205238"/>
    <w:rsid w:val="002052F2"/>
    <w:rsid w:val="00205308"/>
    <w:rsid w:val="002053ED"/>
    <w:rsid w:val="00205459"/>
    <w:rsid w:val="0020554A"/>
    <w:rsid w:val="002055A5"/>
    <w:rsid w:val="002055C8"/>
    <w:rsid w:val="0020573D"/>
    <w:rsid w:val="00205784"/>
    <w:rsid w:val="0020583A"/>
    <w:rsid w:val="00205980"/>
    <w:rsid w:val="00205A56"/>
    <w:rsid w:val="00205B5E"/>
    <w:rsid w:val="00205BEF"/>
    <w:rsid w:val="00205C24"/>
    <w:rsid w:val="00205C6D"/>
    <w:rsid w:val="00205CD8"/>
    <w:rsid w:val="00205E8B"/>
    <w:rsid w:val="00205EAB"/>
    <w:rsid w:val="00205EEE"/>
    <w:rsid w:val="00205F4F"/>
    <w:rsid w:val="002060C8"/>
    <w:rsid w:val="002060E7"/>
    <w:rsid w:val="0020618A"/>
    <w:rsid w:val="002062EE"/>
    <w:rsid w:val="00206449"/>
    <w:rsid w:val="002067D1"/>
    <w:rsid w:val="00206857"/>
    <w:rsid w:val="00206863"/>
    <w:rsid w:val="002068CB"/>
    <w:rsid w:val="0020695F"/>
    <w:rsid w:val="00206975"/>
    <w:rsid w:val="0020697B"/>
    <w:rsid w:val="00206A76"/>
    <w:rsid w:val="00206AEF"/>
    <w:rsid w:val="00206B50"/>
    <w:rsid w:val="00206BC0"/>
    <w:rsid w:val="00206C99"/>
    <w:rsid w:val="00206DF6"/>
    <w:rsid w:val="00207076"/>
    <w:rsid w:val="0020708A"/>
    <w:rsid w:val="002071B5"/>
    <w:rsid w:val="002071F2"/>
    <w:rsid w:val="00207398"/>
    <w:rsid w:val="002073A2"/>
    <w:rsid w:val="00207523"/>
    <w:rsid w:val="00207587"/>
    <w:rsid w:val="002075F6"/>
    <w:rsid w:val="0020763E"/>
    <w:rsid w:val="0020766F"/>
    <w:rsid w:val="00207788"/>
    <w:rsid w:val="0020788C"/>
    <w:rsid w:val="002078E2"/>
    <w:rsid w:val="0020790A"/>
    <w:rsid w:val="00207943"/>
    <w:rsid w:val="00207961"/>
    <w:rsid w:val="00207A0F"/>
    <w:rsid w:val="00207A63"/>
    <w:rsid w:val="00207A71"/>
    <w:rsid w:val="00207A7E"/>
    <w:rsid w:val="00207ACC"/>
    <w:rsid w:val="00207ADE"/>
    <w:rsid w:val="00207B5C"/>
    <w:rsid w:val="00207B77"/>
    <w:rsid w:val="00207C82"/>
    <w:rsid w:val="00207CB0"/>
    <w:rsid w:val="00207E83"/>
    <w:rsid w:val="0020EB8A"/>
    <w:rsid w:val="002102F6"/>
    <w:rsid w:val="0021040C"/>
    <w:rsid w:val="002105EF"/>
    <w:rsid w:val="002107AB"/>
    <w:rsid w:val="002108BD"/>
    <w:rsid w:val="00210B09"/>
    <w:rsid w:val="00210BC7"/>
    <w:rsid w:val="00210BCF"/>
    <w:rsid w:val="00210C61"/>
    <w:rsid w:val="00210C9E"/>
    <w:rsid w:val="00210D56"/>
    <w:rsid w:val="00210DA2"/>
    <w:rsid w:val="00210DC3"/>
    <w:rsid w:val="00210E10"/>
    <w:rsid w:val="00210ECF"/>
    <w:rsid w:val="00210F77"/>
    <w:rsid w:val="0021107D"/>
    <w:rsid w:val="002110D5"/>
    <w:rsid w:val="002114A5"/>
    <w:rsid w:val="00211563"/>
    <w:rsid w:val="002115A2"/>
    <w:rsid w:val="00211635"/>
    <w:rsid w:val="0021168E"/>
    <w:rsid w:val="002116AE"/>
    <w:rsid w:val="0021177D"/>
    <w:rsid w:val="0021180F"/>
    <w:rsid w:val="00211840"/>
    <w:rsid w:val="002119E8"/>
    <w:rsid w:val="00211A1F"/>
    <w:rsid w:val="00211A31"/>
    <w:rsid w:val="00211AE3"/>
    <w:rsid w:val="00211BE6"/>
    <w:rsid w:val="00211C29"/>
    <w:rsid w:val="00211CA9"/>
    <w:rsid w:val="00211D1D"/>
    <w:rsid w:val="00211D2E"/>
    <w:rsid w:val="00211E06"/>
    <w:rsid w:val="00211E57"/>
    <w:rsid w:val="00211E65"/>
    <w:rsid w:val="00211EBE"/>
    <w:rsid w:val="0021201B"/>
    <w:rsid w:val="0021203D"/>
    <w:rsid w:val="0021208E"/>
    <w:rsid w:val="002120B8"/>
    <w:rsid w:val="0021210A"/>
    <w:rsid w:val="002121D8"/>
    <w:rsid w:val="00212427"/>
    <w:rsid w:val="0021247F"/>
    <w:rsid w:val="0021260D"/>
    <w:rsid w:val="0021272F"/>
    <w:rsid w:val="00212732"/>
    <w:rsid w:val="002127A3"/>
    <w:rsid w:val="002128F5"/>
    <w:rsid w:val="00212919"/>
    <w:rsid w:val="00212A18"/>
    <w:rsid w:val="00212A90"/>
    <w:rsid w:val="00212A9E"/>
    <w:rsid w:val="00212B52"/>
    <w:rsid w:val="00212BDF"/>
    <w:rsid w:val="00212C75"/>
    <w:rsid w:val="00212E19"/>
    <w:rsid w:val="00212E79"/>
    <w:rsid w:val="0021304A"/>
    <w:rsid w:val="002130D2"/>
    <w:rsid w:val="002131E3"/>
    <w:rsid w:val="00213267"/>
    <w:rsid w:val="00213632"/>
    <w:rsid w:val="00213692"/>
    <w:rsid w:val="00213798"/>
    <w:rsid w:val="0021397F"/>
    <w:rsid w:val="00213986"/>
    <w:rsid w:val="00213B2D"/>
    <w:rsid w:val="00213B37"/>
    <w:rsid w:val="00213C44"/>
    <w:rsid w:val="00213DA2"/>
    <w:rsid w:val="00213E75"/>
    <w:rsid w:val="00213F37"/>
    <w:rsid w:val="00213F6A"/>
    <w:rsid w:val="00213F72"/>
    <w:rsid w:val="002140B5"/>
    <w:rsid w:val="00214166"/>
    <w:rsid w:val="002141E0"/>
    <w:rsid w:val="002141F2"/>
    <w:rsid w:val="00214499"/>
    <w:rsid w:val="00214561"/>
    <w:rsid w:val="00214578"/>
    <w:rsid w:val="002145CE"/>
    <w:rsid w:val="0021461D"/>
    <w:rsid w:val="00214690"/>
    <w:rsid w:val="00214747"/>
    <w:rsid w:val="00214869"/>
    <w:rsid w:val="0021494E"/>
    <w:rsid w:val="00214A1E"/>
    <w:rsid w:val="00214AFF"/>
    <w:rsid w:val="00214B55"/>
    <w:rsid w:val="00214C57"/>
    <w:rsid w:val="00214C67"/>
    <w:rsid w:val="00214C76"/>
    <w:rsid w:val="00214D3A"/>
    <w:rsid w:val="00214E03"/>
    <w:rsid w:val="00214E59"/>
    <w:rsid w:val="00215057"/>
    <w:rsid w:val="0021537C"/>
    <w:rsid w:val="002153AD"/>
    <w:rsid w:val="002153F8"/>
    <w:rsid w:val="0021544F"/>
    <w:rsid w:val="00215490"/>
    <w:rsid w:val="002154CA"/>
    <w:rsid w:val="002154F4"/>
    <w:rsid w:val="00215696"/>
    <w:rsid w:val="0021576E"/>
    <w:rsid w:val="0021594A"/>
    <w:rsid w:val="00215965"/>
    <w:rsid w:val="002159AE"/>
    <w:rsid w:val="002159E1"/>
    <w:rsid w:val="00215A1E"/>
    <w:rsid w:val="00215B17"/>
    <w:rsid w:val="00215BDB"/>
    <w:rsid w:val="00215BEA"/>
    <w:rsid w:val="00215BFB"/>
    <w:rsid w:val="00215D87"/>
    <w:rsid w:val="00215DEC"/>
    <w:rsid w:val="00215E9B"/>
    <w:rsid w:val="00216101"/>
    <w:rsid w:val="0021622A"/>
    <w:rsid w:val="00216366"/>
    <w:rsid w:val="00216399"/>
    <w:rsid w:val="0021648A"/>
    <w:rsid w:val="00216541"/>
    <w:rsid w:val="0021660C"/>
    <w:rsid w:val="002166A9"/>
    <w:rsid w:val="002166FF"/>
    <w:rsid w:val="002167E4"/>
    <w:rsid w:val="002168BE"/>
    <w:rsid w:val="002168DB"/>
    <w:rsid w:val="00216A2C"/>
    <w:rsid w:val="00216B19"/>
    <w:rsid w:val="00216B8B"/>
    <w:rsid w:val="00216BA7"/>
    <w:rsid w:val="00216BC7"/>
    <w:rsid w:val="00216BC9"/>
    <w:rsid w:val="00216C52"/>
    <w:rsid w:val="00216CC1"/>
    <w:rsid w:val="00216D05"/>
    <w:rsid w:val="00216E8E"/>
    <w:rsid w:val="00216F0C"/>
    <w:rsid w:val="00216F77"/>
    <w:rsid w:val="002170FA"/>
    <w:rsid w:val="00217210"/>
    <w:rsid w:val="0021723A"/>
    <w:rsid w:val="002172A8"/>
    <w:rsid w:val="002172AC"/>
    <w:rsid w:val="00217361"/>
    <w:rsid w:val="002173FA"/>
    <w:rsid w:val="00217483"/>
    <w:rsid w:val="002174DA"/>
    <w:rsid w:val="00217601"/>
    <w:rsid w:val="00217706"/>
    <w:rsid w:val="00217750"/>
    <w:rsid w:val="00217782"/>
    <w:rsid w:val="002177AA"/>
    <w:rsid w:val="002177D2"/>
    <w:rsid w:val="00217879"/>
    <w:rsid w:val="0021791B"/>
    <w:rsid w:val="0021791E"/>
    <w:rsid w:val="00217D96"/>
    <w:rsid w:val="00217FAC"/>
    <w:rsid w:val="00217FFB"/>
    <w:rsid w:val="00220030"/>
    <w:rsid w:val="00220061"/>
    <w:rsid w:val="00220236"/>
    <w:rsid w:val="00220294"/>
    <w:rsid w:val="002202F0"/>
    <w:rsid w:val="00220300"/>
    <w:rsid w:val="0022038C"/>
    <w:rsid w:val="0022039C"/>
    <w:rsid w:val="00220401"/>
    <w:rsid w:val="00220430"/>
    <w:rsid w:val="002204DD"/>
    <w:rsid w:val="002206C6"/>
    <w:rsid w:val="00220768"/>
    <w:rsid w:val="00220AE8"/>
    <w:rsid w:val="00220B3C"/>
    <w:rsid w:val="00220C6E"/>
    <w:rsid w:val="00220E5F"/>
    <w:rsid w:val="00220E70"/>
    <w:rsid w:val="00220F50"/>
    <w:rsid w:val="0022104D"/>
    <w:rsid w:val="0022119D"/>
    <w:rsid w:val="0022120C"/>
    <w:rsid w:val="00221221"/>
    <w:rsid w:val="002212AF"/>
    <w:rsid w:val="002212B5"/>
    <w:rsid w:val="002213B1"/>
    <w:rsid w:val="002213C9"/>
    <w:rsid w:val="0022144E"/>
    <w:rsid w:val="0022153F"/>
    <w:rsid w:val="00221630"/>
    <w:rsid w:val="00221874"/>
    <w:rsid w:val="002218DA"/>
    <w:rsid w:val="00221A30"/>
    <w:rsid w:val="00221C3A"/>
    <w:rsid w:val="00221CDC"/>
    <w:rsid w:val="00221D53"/>
    <w:rsid w:val="00221DA2"/>
    <w:rsid w:val="002220D9"/>
    <w:rsid w:val="002221D0"/>
    <w:rsid w:val="002222DA"/>
    <w:rsid w:val="00222318"/>
    <w:rsid w:val="0022235D"/>
    <w:rsid w:val="002225BA"/>
    <w:rsid w:val="002226CD"/>
    <w:rsid w:val="002226F1"/>
    <w:rsid w:val="002227FE"/>
    <w:rsid w:val="002228C0"/>
    <w:rsid w:val="002228CB"/>
    <w:rsid w:val="0022292C"/>
    <w:rsid w:val="00222A00"/>
    <w:rsid w:val="00222A38"/>
    <w:rsid w:val="00222B60"/>
    <w:rsid w:val="00222C29"/>
    <w:rsid w:val="00222CAC"/>
    <w:rsid w:val="00222CFA"/>
    <w:rsid w:val="00222D26"/>
    <w:rsid w:val="00222ED2"/>
    <w:rsid w:val="00222F71"/>
    <w:rsid w:val="00222F83"/>
    <w:rsid w:val="0022303C"/>
    <w:rsid w:val="002231CD"/>
    <w:rsid w:val="00223249"/>
    <w:rsid w:val="00223279"/>
    <w:rsid w:val="002232E7"/>
    <w:rsid w:val="0022342B"/>
    <w:rsid w:val="002235CE"/>
    <w:rsid w:val="00223823"/>
    <w:rsid w:val="00223892"/>
    <w:rsid w:val="002239CB"/>
    <w:rsid w:val="00223A68"/>
    <w:rsid w:val="00223AB2"/>
    <w:rsid w:val="00223C48"/>
    <w:rsid w:val="00223E0C"/>
    <w:rsid w:val="00223EB6"/>
    <w:rsid w:val="00223ECD"/>
    <w:rsid w:val="00223F38"/>
    <w:rsid w:val="0022408D"/>
    <w:rsid w:val="002241D3"/>
    <w:rsid w:val="002243B6"/>
    <w:rsid w:val="002244FB"/>
    <w:rsid w:val="00224533"/>
    <w:rsid w:val="002247FC"/>
    <w:rsid w:val="002248FF"/>
    <w:rsid w:val="00224930"/>
    <w:rsid w:val="002249CC"/>
    <w:rsid w:val="00224A8E"/>
    <w:rsid w:val="00224D3D"/>
    <w:rsid w:val="00224DA9"/>
    <w:rsid w:val="00224E8F"/>
    <w:rsid w:val="00224F9D"/>
    <w:rsid w:val="00224FD0"/>
    <w:rsid w:val="00225081"/>
    <w:rsid w:val="0022512D"/>
    <w:rsid w:val="0022537A"/>
    <w:rsid w:val="0022537D"/>
    <w:rsid w:val="00225471"/>
    <w:rsid w:val="002254C2"/>
    <w:rsid w:val="002256F3"/>
    <w:rsid w:val="0022570A"/>
    <w:rsid w:val="002257FD"/>
    <w:rsid w:val="00225878"/>
    <w:rsid w:val="00225A3B"/>
    <w:rsid w:val="00225A53"/>
    <w:rsid w:val="00225B71"/>
    <w:rsid w:val="00225C5D"/>
    <w:rsid w:val="00225C75"/>
    <w:rsid w:val="00225CB4"/>
    <w:rsid w:val="00225CC0"/>
    <w:rsid w:val="00225CCC"/>
    <w:rsid w:val="00225D31"/>
    <w:rsid w:val="00225DF5"/>
    <w:rsid w:val="00225E1B"/>
    <w:rsid w:val="00225E57"/>
    <w:rsid w:val="00225F1C"/>
    <w:rsid w:val="00225FB2"/>
    <w:rsid w:val="00225FD2"/>
    <w:rsid w:val="00225FF6"/>
    <w:rsid w:val="00226034"/>
    <w:rsid w:val="002261CE"/>
    <w:rsid w:val="002262C7"/>
    <w:rsid w:val="00226370"/>
    <w:rsid w:val="0022653D"/>
    <w:rsid w:val="00226668"/>
    <w:rsid w:val="002266CF"/>
    <w:rsid w:val="00226B5A"/>
    <w:rsid w:val="00226BF1"/>
    <w:rsid w:val="00226C3D"/>
    <w:rsid w:val="00226C74"/>
    <w:rsid w:val="00226EBA"/>
    <w:rsid w:val="00226F66"/>
    <w:rsid w:val="00227063"/>
    <w:rsid w:val="00227093"/>
    <w:rsid w:val="00227234"/>
    <w:rsid w:val="00227244"/>
    <w:rsid w:val="002272C2"/>
    <w:rsid w:val="00227378"/>
    <w:rsid w:val="002273A0"/>
    <w:rsid w:val="002274AC"/>
    <w:rsid w:val="00227538"/>
    <w:rsid w:val="002275BB"/>
    <w:rsid w:val="0022767D"/>
    <w:rsid w:val="0022775E"/>
    <w:rsid w:val="00227812"/>
    <w:rsid w:val="00227878"/>
    <w:rsid w:val="002278D9"/>
    <w:rsid w:val="002279CA"/>
    <w:rsid w:val="00227A62"/>
    <w:rsid w:val="00227B02"/>
    <w:rsid w:val="00227B1C"/>
    <w:rsid w:val="00227C16"/>
    <w:rsid w:val="00227CAA"/>
    <w:rsid w:val="00227CEC"/>
    <w:rsid w:val="00227E49"/>
    <w:rsid w:val="00227FBC"/>
    <w:rsid w:val="00230128"/>
    <w:rsid w:val="00230136"/>
    <w:rsid w:val="00230155"/>
    <w:rsid w:val="00230222"/>
    <w:rsid w:val="0023027A"/>
    <w:rsid w:val="002304F2"/>
    <w:rsid w:val="002305D0"/>
    <w:rsid w:val="002307FF"/>
    <w:rsid w:val="00230824"/>
    <w:rsid w:val="00230886"/>
    <w:rsid w:val="002309D8"/>
    <w:rsid w:val="00230A67"/>
    <w:rsid w:val="00230B8D"/>
    <w:rsid w:val="00230BD3"/>
    <w:rsid w:val="00230C5B"/>
    <w:rsid w:val="00230D03"/>
    <w:rsid w:val="00230D8C"/>
    <w:rsid w:val="00230DC4"/>
    <w:rsid w:val="00231198"/>
    <w:rsid w:val="0023122F"/>
    <w:rsid w:val="0023129E"/>
    <w:rsid w:val="00231325"/>
    <w:rsid w:val="0023137C"/>
    <w:rsid w:val="00231472"/>
    <w:rsid w:val="002314FC"/>
    <w:rsid w:val="00231586"/>
    <w:rsid w:val="00231737"/>
    <w:rsid w:val="0023175C"/>
    <w:rsid w:val="00231867"/>
    <w:rsid w:val="00231899"/>
    <w:rsid w:val="002318A9"/>
    <w:rsid w:val="00231B46"/>
    <w:rsid w:val="00231C6F"/>
    <w:rsid w:val="00231D11"/>
    <w:rsid w:val="00231E08"/>
    <w:rsid w:val="00231E8D"/>
    <w:rsid w:val="00231F5D"/>
    <w:rsid w:val="002320AD"/>
    <w:rsid w:val="002320BB"/>
    <w:rsid w:val="00232252"/>
    <w:rsid w:val="0023231A"/>
    <w:rsid w:val="00232430"/>
    <w:rsid w:val="00232612"/>
    <w:rsid w:val="00232634"/>
    <w:rsid w:val="002327A9"/>
    <w:rsid w:val="00232856"/>
    <w:rsid w:val="00232897"/>
    <w:rsid w:val="00232A6F"/>
    <w:rsid w:val="00232A82"/>
    <w:rsid w:val="00232AC0"/>
    <w:rsid w:val="00232BB5"/>
    <w:rsid w:val="00232C25"/>
    <w:rsid w:val="00232C9C"/>
    <w:rsid w:val="00232D50"/>
    <w:rsid w:val="00232E4F"/>
    <w:rsid w:val="00232E9E"/>
    <w:rsid w:val="002330A5"/>
    <w:rsid w:val="002330F3"/>
    <w:rsid w:val="00233149"/>
    <w:rsid w:val="002331ED"/>
    <w:rsid w:val="00233303"/>
    <w:rsid w:val="0023351F"/>
    <w:rsid w:val="002335C2"/>
    <w:rsid w:val="002335E4"/>
    <w:rsid w:val="00233671"/>
    <w:rsid w:val="0023369C"/>
    <w:rsid w:val="00233809"/>
    <w:rsid w:val="00233917"/>
    <w:rsid w:val="0023395B"/>
    <w:rsid w:val="00233978"/>
    <w:rsid w:val="00233B2D"/>
    <w:rsid w:val="00233B5F"/>
    <w:rsid w:val="00233C77"/>
    <w:rsid w:val="00233CE7"/>
    <w:rsid w:val="00233D66"/>
    <w:rsid w:val="00234197"/>
    <w:rsid w:val="002341FB"/>
    <w:rsid w:val="0023421D"/>
    <w:rsid w:val="00234234"/>
    <w:rsid w:val="00234256"/>
    <w:rsid w:val="002342AB"/>
    <w:rsid w:val="002343C8"/>
    <w:rsid w:val="00234425"/>
    <w:rsid w:val="002344F7"/>
    <w:rsid w:val="0023461B"/>
    <w:rsid w:val="002346AD"/>
    <w:rsid w:val="0023473B"/>
    <w:rsid w:val="002348B2"/>
    <w:rsid w:val="0023497A"/>
    <w:rsid w:val="00234A31"/>
    <w:rsid w:val="00234A37"/>
    <w:rsid w:val="00234B2A"/>
    <w:rsid w:val="00234B80"/>
    <w:rsid w:val="00234BA3"/>
    <w:rsid w:val="00234BBA"/>
    <w:rsid w:val="00234CDF"/>
    <w:rsid w:val="00234D28"/>
    <w:rsid w:val="00234D3F"/>
    <w:rsid w:val="00234D8D"/>
    <w:rsid w:val="002350ED"/>
    <w:rsid w:val="0023510B"/>
    <w:rsid w:val="002352D5"/>
    <w:rsid w:val="002352E6"/>
    <w:rsid w:val="00235311"/>
    <w:rsid w:val="00235343"/>
    <w:rsid w:val="00235346"/>
    <w:rsid w:val="002353A7"/>
    <w:rsid w:val="00235466"/>
    <w:rsid w:val="002354A6"/>
    <w:rsid w:val="002354FF"/>
    <w:rsid w:val="0023553E"/>
    <w:rsid w:val="00235581"/>
    <w:rsid w:val="00235589"/>
    <w:rsid w:val="00235629"/>
    <w:rsid w:val="00235681"/>
    <w:rsid w:val="0023569A"/>
    <w:rsid w:val="00235706"/>
    <w:rsid w:val="00235727"/>
    <w:rsid w:val="0023590B"/>
    <w:rsid w:val="002359AD"/>
    <w:rsid w:val="002359DD"/>
    <w:rsid w:val="00235A0F"/>
    <w:rsid w:val="00235A65"/>
    <w:rsid w:val="00235BBA"/>
    <w:rsid w:val="00235E46"/>
    <w:rsid w:val="00235EB5"/>
    <w:rsid w:val="00235F0C"/>
    <w:rsid w:val="00235F79"/>
    <w:rsid w:val="00235F7A"/>
    <w:rsid w:val="002360A7"/>
    <w:rsid w:val="002361DA"/>
    <w:rsid w:val="00236306"/>
    <w:rsid w:val="0023634A"/>
    <w:rsid w:val="0023650D"/>
    <w:rsid w:val="002367D1"/>
    <w:rsid w:val="002368EB"/>
    <w:rsid w:val="00236956"/>
    <w:rsid w:val="00236BB2"/>
    <w:rsid w:val="00236BFB"/>
    <w:rsid w:val="00236C79"/>
    <w:rsid w:val="00236D3F"/>
    <w:rsid w:val="00236EDD"/>
    <w:rsid w:val="00236EF4"/>
    <w:rsid w:val="00236FB8"/>
    <w:rsid w:val="00237080"/>
    <w:rsid w:val="00237179"/>
    <w:rsid w:val="0023717E"/>
    <w:rsid w:val="002371C2"/>
    <w:rsid w:val="002371DF"/>
    <w:rsid w:val="00237238"/>
    <w:rsid w:val="0023729C"/>
    <w:rsid w:val="0023730E"/>
    <w:rsid w:val="002373D0"/>
    <w:rsid w:val="00237463"/>
    <w:rsid w:val="00237488"/>
    <w:rsid w:val="00237622"/>
    <w:rsid w:val="00237623"/>
    <w:rsid w:val="0023773D"/>
    <w:rsid w:val="002377BF"/>
    <w:rsid w:val="002379E2"/>
    <w:rsid w:val="00237A60"/>
    <w:rsid w:val="00237A62"/>
    <w:rsid w:val="00237DB8"/>
    <w:rsid w:val="00237F99"/>
    <w:rsid w:val="00239FE7"/>
    <w:rsid w:val="00240046"/>
    <w:rsid w:val="00240191"/>
    <w:rsid w:val="00240258"/>
    <w:rsid w:val="002402D7"/>
    <w:rsid w:val="00240318"/>
    <w:rsid w:val="00240437"/>
    <w:rsid w:val="00240438"/>
    <w:rsid w:val="002405FC"/>
    <w:rsid w:val="00240637"/>
    <w:rsid w:val="00240695"/>
    <w:rsid w:val="00240800"/>
    <w:rsid w:val="002408FB"/>
    <w:rsid w:val="0024097D"/>
    <w:rsid w:val="00240A58"/>
    <w:rsid w:val="00240A6C"/>
    <w:rsid w:val="00240AA6"/>
    <w:rsid w:val="00240C83"/>
    <w:rsid w:val="00240E5E"/>
    <w:rsid w:val="00240F21"/>
    <w:rsid w:val="00240F31"/>
    <w:rsid w:val="00240FEC"/>
    <w:rsid w:val="00240FFC"/>
    <w:rsid w:val="00241029"/>
    <w:rsid w:val="00241064"/>
    <w:rsid w:val="0024118F"/>
    <w:rsid w:val="00241190"/>
    <w:rsid w:val="0024124D"/>
    <w:rsid w:val="00241258"/>
    <w:rsid w:val="00241283"/>
    <w:rsid w:val="00241294"/>
    <w:rsid w:val="0024132A"/>
    <w:rsid w:val="00241391"/>
    <w:rsid w:val="00241470"/>
    <w:rsid w:val="0024149C"/>
    <w:rsid w:val="002414D9"/>
    <w:rsid w:val="002414EE"/>
    <w:rsid w:val="002415F5"/>
    <w:rsid w:val="002415FF"/>
    <w:rsid w:val="0024168B"/>
    <w:rsid w:val="00241851"/>
    <w:rsid w:val="002419D1"/>
    <w:rsid w:val="00241A0A"/>
    <w:rsid w:val="00241BAF"/>
    <w:rsid w:val="00241D69"/>
    <w:rsid w:val="00241DAD"/>
    <w:rsid w:val="00241E71"/>
    <w:rsid w:val="00241F27"/>
    <w:rsid w:val="00241FD1"/>
    <w:rsid w:val="00242015"/>
    <w:rsid w:val="002420BF"/>
    <w:rsid w:val="00242188"/>
    <w:rsid w:val="00242217"/>
    <w:rsid w:val="002422AD"/>
    <w:rsid w:val="002423A0"/>
    <w:rsid w:val="002423A2"/>
    <w:rsid w:val="00242412"/>
    <w:rsid w:val="00242450"/>
    <w:rsid w:val="002424A7"/>
    <w:rsid w:val="0024251B"/>
    <w:rsid w:val="00242644"/>
    <w:rsid w:val="00242697"/>
    <w:rsid w:val="002427FE"/>
    <w:rsid w:val="0024282C"/>
    <w:rsid w:val="00242889"/>
    <w:rsid w:val="002428A5"/>
    <w:rsid w:val="002428AF"/>
    <w:rsid w:val="002428D1"/>
    <w:rsid w:val="002428DD"/>
    <w:rsid w:val="0024292A"/>
    <w:rsid w:val="00242937"/>
    <w:rsid w:val="00242961"/>
    <w:rsid w:val="002429ED"/>
    <w:rsid w:val="00242AC3"/>
    <w:rsid w:val="00242B6B"/>
    <w:rsid w:val="00242BCA"/>
    <w:rsid w:val="00242C79"/>
    <w:rsid w:val="00242CEF"/>
    <w:rsid w:val="00242E74"/>
    <w:rsid w:val="00242F50"/>
    <w:rsid w:val="00242FB4"/>
    <w:rsid w:val="00242FF3"/>
    <w:rsid w:val="002430E3"/>
    <w:rsid w:val="002433B6"/>
    <w:rsid w:val="00243516"/>
    <w:rsid w:val="00243616"/>
    <w:rsid w:val="00243620"/>
    <w:rsid w:val="00243708"/>
    <w:rsid w:val="002437E5"/>
    <w:rsid w:val="002438AB"/>
    <w:rsid w:val="00243A08"/>
    <w:rsid w:val="00243A2A"/>
    <w:rsid w:val="00243BD3"/>
    <w:rsid w:val="00243DAB"/>
    <w:rsid w:val="00243F4F"/>
    <w:rsid w:val="00243F88"/>
    <w:rsid w:val="00244089"/>
    <w:rsid w:val="0024431B"/>
    <w:rsid w:val="00244481"/>
    <w:rsid w:val="00244658"/>
    <w:rsid w:val="002447AD"/>
    <w:rsid w:val="002447C1"/>
    <w:rsid w:val="002449B6"/>
    <w:rsid w:val="00244A2D"/>
    <w:rsid w:val="00244B3B"/>
    <w:rsid w:val="00244C04"/>
    <w:rsid w:val="00244D84"/>
    <w:rsid w:val="00244DA4"/>
    <w:rsid w:val="00244E09"/>
    <w:rsid w:val="00244F0C"/>
    <w:rsid w:val="00244F1A"/>
    <w:rsid w:val="00244F3E"/>
    <w:rsid w:val="00244F6F"/>
    <w:rsid w:val="002452A7"/>
    <w:rsid w:val="002452D2"/>
    <w:rsid w:val="002452F0"/>
    <w:rsid w:val="002453D3"/>
    <w:rsid w:val="00245560"/>
    <w:rsid w:val="00245660"/>
    <w:rsid w:val="00245662"/>
    <w:rsid w:val="00245677"/>
    <w:rsid w:val="002456AE"/>
    <w:rsid w:val="00245705"/>
    <w:rsid w:val="002458AF"/>
    <w:rsid w:val="00245A47"/>
    <w:rsid w:val="00245A83"/>
    <w:rsid w:val="00245AC8"/>
    <w:rsid w:val="00245B26"/>
    <w:rsid w:val="00245BCF"/>
    <w:rsid w:val="00245C42"/>
    <w:rsid w:val="00245D21"/>
    <w:rsid w:val="00245D81"/>
    <w:rsid w:val="00245E0A"/>
    <w:rsid w:val="00245F3E"/>
    <w:rsid w:val="002460C6"/>
    <w:rsid w:val="0024615D"/>
    <w:rsid w:val="00246171"/>
    <w:rsid w:val="002463ED"/>
    <w:rsid w:val="002467B9"/>
    <w:rsid w:val="00246830"/>
    <w:rsid w:val="002468AC"/>
    <w:rsid w:val="002468AD"/>
    <w:rsid w:val="002468E6"/>
    <w:rsid w:val="002469F8"/>
    <w:rsid w:val="00246A76"/>
    <w:rsid w:val="00246AD3"/>
    <w:rsid w:val="00246B4B"/>
    <w:rsid w:val="002470D4"/>
    <w:rsid w:val="002470DC"/>
    <w:rsid w:val="002470DF"/>
    <w:rsid w:val="00247398"/>
    <w:rsid w:val="00247632"/>
    <w:rsid w:val="0024778F"/>
    <w:rsid w:val="0024789E"/>
    <w:rsid w:val="0024797F"/>
    <w:rsid w:val="00247D89"/>
    <w:rsid w:val="00247E0C"/>
    <w:rsid w:val="00247E99"/>
    <w:rsid w:val="00247F77"/>
    <w:rsid w:val="00247FDF"/>
    <w:rsid w:val="00250067"/>
    <w:rsid w:val="00250147"/>
    <w:rsid w:val="00250272"/>
    <w:rsid w:val="002502D5"/>
    <w:rsid w:val="002502E4"/>
    <w:rsid w:val="0025031B"/>
    <w:rsid w:val="002503F7"/>
    <w:rsid w:val="002504A7"/>
    <w:rsid w:val="0025051B"/>
    <w:rsid w:val="00250608"/>
    <w:rsid w:val="00250647"/>
    <w:rsid w:val="00250665"/>
    <w:rsid w:val="00250672"/>
    <w:rsid w:val="002506DE"/>
    <w:rsid w:val="002506E6"/>
    <w:rsid w:val="00250703"/>
    <w:rsid w:val="00250707"/>
    <w:rsid w:val="0025086E"/>
    <w:rsid w:val="0025089C"/>
    <w:rsid w:val="0025099E"/>
    <w:rsid w:val="00250A62"/>
    <w:rsid w:val="00250ADF"/>
    <w:rsid w:val="00250B01"/>
    <w:rsid w:val="00250B5B"/>
    <w:rsid w:val="00250B63"/>
    <w:rsid w:val="00250CC9"/>
    <w:rsid w:val="00250E28"/>
    <w:rsid w:val="002510D6"/>
    <w:rsid w:val="0025119E"/>
    <w:rsid w:val="00251269"/>
    <w:rsid w:val="0025131C"/>
    <w:rsid w:val="00251335"/>
    <w:rsid w:val="0025145D"/>
    <w:rsid w:val="0025146D"/>
    <w:rsid w:val="002514BA"/>
    <w:rsid w:val="00251547"/>
    <w:rsid w:val="002515EE"/>
    <w:rsid w:val="002516F1"/>
    <w:rsid w:val="002517A5"/>
    <w:rsid w:val="0025195F"/>
    <w:rsid w:val="00251AA8"/>
    <w:rsid w:val="00251B50"/>
    <w:rsid w:val="00251B8A"/>
    <w:rsid w:val="00251C96"/>
    <w:rsid w:val="00251D35"/>
    <w:rsid w:val="00251E8B"/>
    <w:rsid w:val="00251E9B"/>
    <w:rsid w:val="00251EC7"/>
    <w:rsid w:val="0025206F"/>
    <w:rsid w:val="00252309"/>
    <w:rsid w:val="0025239A"/>
    <w:rsid w:val="002523CD"/>
    <w:rsid w:val="00252560"/>
    <w:rsid w:val="00252570"/>
    <w:rsid w:val="00252574"/>
    <w:rsid w:val="002525E7"/>
    <w:rsid w:val="00252778"/>
    <w:rsid w:val="00252823"/>
    <w:rsid w:val="0025282F"/>
    <w:rsid w:val="00252880"/>
    <w:rsid w:val="00252A55"/>
    <w:rsid w:val="00252ABE"/>
    <w:rsid w:val="00252AD4"/>
    <w:rsid w:val="00252B1F"/>
    <w:rsid w:val="00252D41"/>
    <w:rsid w:val="00252E5B"/>
    <w:rsid w:val="00252F5A"/>
    <w:rsid w:val="00252F83"/>
    <w:rsid w:val="00252FFF"/>
    <w:rsid w:val="0025304E"/>
    <w:rsid w:val="00253382"/>
    <w:rsid w:val="002533CC"/>
    <w:rsid w:val="002533D0"/>
    <w:rsid w:val="00253494"/>
    <w:rsid w:val="0025349D"/>
    <w:rsid w:val="00253528"/>
    <w:rsid w:val="002535A1"/>
    <w:rsid w:val="002535C0"/>
    <w:rsid w:val="00253697"/>
    <w:rsid w:val="002536A1"/>
    <w:rsid w:val="002536E6"/>
    <w:rsid w:val="002536EB"/>
    <w:rsid w:val="0025393B"/>
    <w:rsid w:val="002539F3"/>
    <w:rsid w:val="00253DBE"/>
    <w:rsid w:val="00253DD7"/>
    <w:rsid w:val="00253E4A"/>
    <w:rsid w:val="00253F6F"/>
    <w:rsid w:val="0025418C"/>
    <w:rsid w:val="002542D1"/>
    <w:rsid w:val="00254309"/>
    <w:rsid w:val="002543E5"/>
    <w:rsid w:val="002543FB"/>
    <w:rsid w:val="0025440E"/>
    <w:rsid w:val="00254418"/>
    <w:rsid w:val="0025445F"/>
    <w:rsid w:val="0025458E"/>
    <w:rsid w:val="0025462D"/>
    <w:rsid w:val="00254654"/>
    <w:rsid w:val="00254711"/>
    <w:rsid w:val="0025474E"/>
    <w:rsid w:val="00254754"/>
    <w:rsid w:val="00254760"/>
    <w:rsid w:val="0025479B"/>
    <w:rsid w:val="002547C5"/>
    <w:rsid w:val="0025494B"/>
    <w:rsid w:val="002549F7"/>
    <w:rsid w:val="00254AA5"/>
    <w:rsid w:val="00254BAC"/>
    <w:rsid w:val="00254F18"/>
    <w:rsid w:val="00255022"/>
    <w:rsid w:val="00255045"/>
    <w:rsid w:val="002550FA"/>
    <w:rsid w:val="002552F1"/>
    <w:rsid w:val="0025586B"/>
    <w:rsid w:val="002558DE"/>
    <w:rsid w:val="00255965"/>
    <w:rsid w:val="00255A7F"/>
    <w:rsid w:val="00255B5F"/>
    <w:rsid w:val="00255BEB"/>
    <w:rsid w:val="00255EE2"/>
    <w:rsid w:val="00255F79"/>
    <w:rsid w:val="00255FB8"/>
    <w:rsid w:val="00256022"/>
    <w:rsid w:val="0025608D"/>
    <w:rsid w:val="002560AC"/>
    <w:rsid w:val="002560FD"/>
    <w:rsid w:val="00256179"/>
    <w:rsid w:val="0025618E"/>
    <w:rsid w:val="002561B3"/>
    <w:rsid w:val="0025646E"/>
    <w:rsid w:val="002564FF"/>
    <w:rsid w:val="00256540"/>
    <w:rsid w:val="00256751"/>
    <w:rsid w:val="00256766"/>
    <w:rsid w:val="00256CC9"/>
    <w:rsid w:val="00256DDF"/>
    <w:rsid w:val="00256E46"/>
    <w:rsid w:val="00257008"/>
    <w:rsid w:val="002571C4"/>
    <w:rsid w:val="00257215"/>
    <w:rsid w:val="00257252"/>
    <w:rsid w:val="0025741F"/>
    <w:rsid w:val="00257456"/>
    <w:rsid w:val="00257458"/>
    <w:rsid w:val="0025784E"/>
    <w:rsid w:val="002578D2"/>
    <w:rsid w:val="002578F4"/>
    <w:rsid w:val="002579FE"/>
    <w:rsid w:val="00257A86"/>
    <w:rsid w:val="00257D65"/>
    <w:rsid w:val="002600A8"/>
    <w:rsid w:val="0026011C"/>
    <w:rsid w:val="0026025D"/>
    <w:rsid w:val="00260293"/>
    <w:rsid w:val="00260361"/>
    <w:rsid w:val="002603C8"/>
    <w:rsid w:val="002604C9"/>
    <w:rsid w:val="0026054E"/>
    <w:rsid w:val="002605C2"/>
    <w:rsid w:val="0026062F"/>
    <w:rsid w:val="002606C3"/>
    <w:rsid w:val="0026073C"/>
    <w:rsid w:val="00260912"/>
    <w:rsid w:val="0026091C"/>
    <w:rsid w:val="00260AC2"/>
    <w:rsid w:val="00260B2E"/>
    <w:rsid w:val="00260BB7"/>
    <w:rsid w:val="00260C42"/>
    <w:rsid w:val="00260D66"/>
    <w:rsid w:val="002610DA"/>
    <w:rsid w:val="0026124C"/>
    <w:rsid w:val="0026124F"/>
    <w:rsid w:val="00261282"/>
    <w:rsid w:val="00261294"/>
    <w:rsid w:val="002612C1"/>
    <w:rsid w:val="002612EB"/>
    <w:rsid w:val="00261363"/>
    <w:rsid w:val="002613BF"/>
    <w:rsid w:val="00261498"/>
    <w:rsid w:val="0026160C"/>
    <w:rsid w:val="0026165B"/>
    <w:rsid w:val="0026174C"/>
    <w:rsid w:val="00261767"/>
    <w:rsid w:val="00261771"/>
    <w:rsid w:val="002617C7"/>
    <w:rsid w:val="0026183E"/>
    <w:rsid w:val="0026192E"/>
    <w:rsid w:val="00261957"/>
    <w:rsid w:val="002619FB"/>
    <w:rsid w:val="00261C06"/>
    <w:rsid w:val="00261C91"/>
    <w:rsid w:val="00261CF9"/>
    <w:rsid w:val="00261E0E"/>
    <w:rsid w:val="00261E18"/>
    <w:rsid w:val="00262084"/>
    <w:rsid w:val="00262207"/>
    <w:rsid w:val="002624D6"/>
    <w:rsid w:val="002626FD"/>
    <w:rsid w:val="00262882"/>
    <w:rsid w:val="002628B5"/>
    <w:rsid w:val="0026298D"/>
    <w:rsid w:val="00262AA1"/>
    <w:rsid w:val="00262CA7"/>
    <w:rsid w:val="00262D85"/>
    <w:rsid w:val="00262FAE"/>
    <w:rsid w:val="00263083"/>
    <w:rsid w:val="0026311C"/>
    <w:rsid w:val="00263127"/>
    <w:rsid w:val="002632FB"/>
    <w:rsid w:val="00263375"/>
    <w:rsid w:val="002634D7"/>
    <w:rsid w:val="00263666"/>
    <w:rsid w:val="002636F3"/>
    <w:rsid w:val="00263747"/>
    <w:rsid w:val="0026382C"/>
    <w:rsid w:val="00263896"/>
    <w:rsid w:val="0026389A"/>
    <w:rsid w:val="00263A18"/>
    <w:rsid w:val="00263AC4"/>
    <w:rsid w:val="00263B3B"/>
    <w:rsid w:val="00263B5B"/>
    <w:rsid w:val="00263C6B"/>
    <w:rsid w:val="00263E0B"/>
    <w:rsid w:val="00263F34"/>
    <w:rsid w:val="00263FAD"/>
    <w:rsid w:val="0026402C"/>
    <w:rsid w:val="002642AB"/>
    <w:rsid w:val="00264353"/>
    <w:rsid w:val="0026450B"/>
    <w:rsid w:val="002646CE"/>
    <w:rsid w:val="00264738"/>
    <w:rsid w:val="0026478C"/>
    <w:rsid w:val="002647D0"/>
    <w:rsid w:val="00264803"/>
    <w:rsid w:val="00264960"/>
    <w:rsid w:val="00264A4E"/>
    <w:rsid w:val="00264C5E"/>
    <w:rsid w:val="00264ED8"/>
    <w:rsid w:val="00264F8F"/>
    <w:rsid w:val="0026511A"/>
    <w:rsid w:val="0026530A"/>
    <w:rsid w:val="00265405"/>
    <w:rsid w:val="002654B0"/>
    <w:rsid w:val="0026555F"/>
    <w:rsid w:val="00265573"/>
    <w:rsid w:val="0026564B"/>
    <w:rsid w:val="002656ED"/>
    <w:rsid w:val="00265803"/>
    <w:rsid w:val="002658BB"/>
    <w:rsid w:val="002658BE"/>
    <w:rsid w:val="002658E9"/>
    <w:rsid w:val="00265A12"/>
    <w:rsid w:val="00265A30"/>
    <w:rsid w:val="00265A52"/>
    <w:rsid w:val="00265B01"/>
    <w:rsid w:val="00265B80"/>
    <w:rsid w:val="00265CFD"/>
    <w:rsid w:val="00265D37"/>
    <w:rsid w:val="00265DB7"/>
    <w:rsid w:val="00265E03"/>
    <w:rsid w:val="00265EFB"/>
    <w:rsid w:val="00265FC1"/>
    <w:rsid w:val="002660BC"/>
    <w:rsid w:val="002661A1"/>
    <w:rsid w:val="00266438"/>
    <w:rsid w:val="0026646A"/>
    <w:rsid w:val="002664D0"/>
    <w:rsid w:val="002664F9"/>
    <w:rsid w:val="0026651D"/>
    <w:rsid w:val="002665B9"/>
    <w:rsid w:val="002665C4"/>
    <w:rsid w:val="0026668C"/>
    <w:rsid w:val="0026676A"/>
    <w:rsid w:val="00266924"/>
    <w:rsid w:val="002669A4"/>
    <w:rsid w:val="00266AC1"/>
    <w:rsid w:val="00266C85"/>
    <w:rsid w:val="00266D20"/>
    <w:rsid w:val="00266FD3"/>
    <w:rsid w:val="00267085"/>
    <w:rsid w:val="002670F3"/>
    <w:rsid w:val="00267123"/>
    <w:rsid w:val="002677F1"/>
    <w:rsid w:val="00267811"/>
    <w:rsid w:val="00267848"/>
    <w:rsid w:val="0026794B"/>
    <w:rsid w:val="00267B20"/>
    <w:rsid w:val="00267B6E"/>
    <w:rsid w:val="00267BD2"/>
    <w:rsid w:val="00267D92"/>
    <w:rsid w:val="00267E12"/>
    <w:rsid w:val="00267FEA"/>
    <w:rsid w:val="00267FF1"/>
    <w:rsid w:val="002700DD"/>
    <w:rsid w:val="0027015C"/>
    <w:rsid w:val="002701B0"/>
    <w:rsid w:val="0027023B"/>
    <w:rsid w:val="002702D3"/>
    <w:rsid w:val="002703C2"/>
    <w:rsid w:val="00270515"/>
    <w:rsid w:val="002705A5"/>
    <w:rsid w:val="00270636"/>
    <w:rsid w:val="002706C2"/>
    <w:rsid w:val="002707F8"/>
    <w:rsid w:val="00270874"/>
    <w:rsid w:val="002708AC"/>
    <w:rsid w:val="00270956"/>
    <w:rsid w:val="00270B2F"/>
    <w:rsid w:val="00270B53"/>
    <w:rsid w:val="00270B97"/>
    <w:rsid w:val="00270C2E"/>
    <w:rsid w:val="00270C8D"/>
    <w:rsid w:val="00270E48"/>
    <w:rsid w:val="00270E60"/>
    <w:rsid w:val="00270FDD"/>
    <w:rsid w:val="00271123"/>
    <w:rsid w:val="00271195"/>
    <w:rsid w:val="002711FD"/>
    <w:rsid w:val="002712C2"/>
    <w:rsid w:val="00271348"/>
    <w:rsid w:val="00271586"/>
    <w:rsid w:val="0027159C"/>
    <w:rsid w:val="002716F1"/>
    <w:rsid w:val="00271716"/>
    <w:rsid w:val="0027178C"/>
    <w:rsid w:val="002717D4"/>
    <w:rsid w:val="002718F2"/>
    <w:rsid w:val="00271971"/>
    <w:rsid w:val="002719FA"/>
    <w:rsid w:val="00271A8F"/>
    <w:rsid w:val="00271AB6"/>
    <w:rsid w:val="00271B00"/>
    <w:rsid w:val="00271C4A"/>
    <w:rsid w:val="00271CA2"/>
    <w:rsid w:val="00271FE5"/>
    <w:rsid w:val="00271FF4"/>
    <w:rsid w:val="00272185"/>
    <w:rsid w:val="002722C3"/>
    <w:rsid w:val="00272320"/>
    <w:rsid w:val="002724DD"/>
    <w:rsid w:val="002724F0"/>
    <w:rsid w:val="00272577"/>
    <w:rsid w:val="00272597"/>
    <w:rsid w:val="002725B6"/>
    <w:rsid w:val="00272668"/>
    <w:rsid w:val="0027268F"/>
    <w:rsid w:val="00272908"/>
    <w:rsid w:val="00272922"/>
    <w:rsid w:val="00272947"/>
    <w:rsid w:val="0027298A"/>
    <w:rsid w:val="002729C2"/>
    <w:rsid w:val="00272A43"/>
    <w:rsid w:val="00272BF0"/>
    <w:rsid w:val="00272C13"/>
    <w:rsid w:val="00272D85"/>
    <w:rsid w:val="00272F1D"/>
    <w:rsid w:val="00273082"/>
    <w:rsid w:val="002730B3"/>
    <w:rsid w:val="00273115"/>
    <w:rsid w:val="0027330B"/>
    <w:rsid w:val="0027348A"/>
    <w:rsid w:val="0027369C"/>
    <w:rsid w:val="002737A5"/>
    <w:rsid w:val="002737B8"/>
    <w:rsid w:val="002738F5"/>
    <w:rsid w:val="002739A8"/>
    <w:rsid w:val="002739DB"/>
    <w:rsid w:val="00273B8E"/>
    <w:rsid w:val="00273D7E"/>
    <w:rsid w:val="00273D8F"/>
    <w:rsid w:val="00273DAC"/>
    <w:rsid w:val="00273DB2"/>
    <w:rsid w:val="00273E0A"/>
    <w:rsid w:val="00273E27"/>
    <w:rsid w:val="00273E2D"/>
    <w:rsid w:val="00273EE1"/>
    <w:rsid w:val="00274044"/>
    <w:rsid w:val="0027404B"/>
    <w:rsid w:val="002740C4"/>
    <w:rsid w:val="002742BB"/>
    <w:rsid w:val="00274305"/>
    <w:rsid w:val="0027430C"/>
    <w:rsid w:val="00274564"/>
    <w:rsid w:val="002745AF"/>
    <w:rsid w:val="00274734"/>
    <w:rsid w:val="00274869"/>
    <w:rsid w:val="00274996"/>
    <w:rsid w:val="00274B85"/>
    <w:rsid w:val="00274B95"/>
    <w:rsid w:val="00274BD7"/>
    <w:rsid w:val="00274CAC"/>
    <w:rsid w:val="00274CCD"/>
    <w:rsid w:val="00274D2C"/>
    <w:rsid w:val="00274D8C"/>
    <w:rsid w:val="00274F13"/>
    <w:rsid w:val="0027514B"/>
    <w:rsid w:val="00275152"/>
    <w:rsid w:val="00275258"/>
    <w:rsid w:val="0027534D"/>
    <w:rsid w:val="00275365"/>
    <w:rsid w:val="00275376"/>
    <w:rsid w:val="00275539"/>
    <w:rsid w:val="00275568"/>
    <w:rsid w:val="002756B0"/>
    <w:rsid w:val="002757D4"/>
    <w:rsid w:val="002758AF"/>
    <w:rsid w:val="00275E25"/>
    <w:rsid w:val="00275E5B"/>
    <w:rsid w:val="00275F66"/>
    <w:rsid w:val="00275F90"/>
    <w:rsid w:val="00275FA0"/>
    <w:rsid w:val="0027613E"/>
    <w:rsid w:val="00276163"/>
    <w:rsid w:val="00276305"/>
    <w:rsid w:val="0027664E"/>
    <w:rsid w:val="00276700"/>
    <w:rsid w:val="0027688A"/>
    <w:rsid w:val="0027694A"/>
    <w:rsid w:val="00276A71"/>
    <w:rsid w:val="00276ACD"/>
    <w:rsid w:val="00276AF9"/>
    <w:rsid w:val="00276B7B"/>
    <w:rsid w:val="00276C7E"/>
    <w:rsid w:val="00276D1B"/>
    <w:rsid w:val="00276D39"/>
    <w:rsid w:val="00276E49"/>
    <w:rsid w:val="00276E66"/>
    <w:rsid w:val="00276EDF"/>
    <w:rsid w:val="00277035"/>
    <w:rsid w:val="002770E4"/>
    <w:rsid w:val="0027715F"/>
    <w:rsid w:val="002773DE"/>
    <w:rsid w:val="002773DF"/>
    <w:rsid w:val="00277445"/>
    <w:rsid w:val="002774A9"/>
    <w:rsid w:val="002774CA"/>
    <w:rsid w:val="002774D8"/>
    <w:rsid w:val="002775DB"/>
    <w:rsid w:val="0027768A"/>
    <w:rsid w:val="002776E7"/>
    <w:rsid w:val="0027779C"/>
    <w:rsid w:val="0027785F"/>
    <w:rsid w:val="00277915"/>
    <w:rsid w:val="00277916"/>
    <w:rsid w:val="0027792A"/>
    <w:rsid w:val="00277997"/>
    <w:rsid w:val="00277A4A"/>
    <w:rsid w:val="00277B21"/>
    <w:rsid w:val="00277BEB"/>
    <w:rsid w:val="00277CEC"/>
    <w:rsid w:val="00277D35"/>
    <w:rsid w:val="00277DBE"/>
    <w:rsid w:val="00277DFB"/>
    <w:rsid w:val="00277E00"/>
    <w:rsid w:val="00277FC4"/>
    <w:rsid w:val="0027BF3A"/>
    <w:rsid w:val="002800EA"/>
    <w:rsid w:val="0028028E"/>
    <w:rsid w:val="002803AD"/>
    <w:rsid w:val="002806C5"/>
    <w:rsid w:val="002806D7"/>
    <w:rsid w:val="0028072C"/>
    <w:rsid w:val="00280813"/>
    <w:rsid w:val="00280A11"/>
    <w:rsid w:val="00280A3C"/>
    <w:rsid w:val="00280A54"/>
    <w:rsid w:val="00280AC3"/>
    <w:rsid w:val="00280B32"/>
    <w:rsid w:val="00280B66"/>
    <w:rsid w:val="00280B76"/>
    <w:rsid w:val="00280C14"/>
    <w:rsid w:val="00280EB0"/>
    <w:rsid w:val="00280F24"/>
    <w:rsid w:val="00280F7F"/>
    <w:rsid w:val="00281060"/>
    <w:rsid w:val="0028117B"/>
    <w:rsid w:val="002812C9"/>
    <w:rsid w:val="002814CB"/>
    <w:rsid w:val="002816D7"/>
    <w:rsid w:val="00281767"/>
    <w:rsid w:val="002817B9"/>
    <w:rsid w:val="002817D3"/>
    <w:rsid w:val="00281806"/>
    <w:rsid w:val="00281832"/>
    <w:rsid w:val="00281845"/>
    <w:rsid w:val="00281865"/>
    <w:rsid w:val="00281A67"/>
    <w:rsid w:val="00281A8A"/>
    <w:rsid w:val="00281AF5"/>
    <w:rsid w:val="00281B00"/>
    <w:rsid w:val="00281DE5"/>
    <w:rsid w:val="00281E70"/>
    <w:rsid w:val="0028203A"/>
    <w:rsid w:val="00282052"/>
    <w:rsid w:val="00282401"/>
    <w:rsid w:val="00282462"/>
    <w:rsid w:val="00282572"/>
    <w:rsid w:val="002827FB"/>
    <w:rsid w:val="00282813"/>
    <w:rsid w:val="00282818"/>
    <w:rsid w:val="002828F2"/>
    <w:rsid w:val="00282955"/>
    <w:rsid w:val="0028296B"/>
    <w:rsid w:val="00282994"/>
    <w:rsid w:val="002829AC"/>
    <w:rsid w:val="00282A69"/>
    <w:rsid w:val="00282AD9"/>
    <w:rsid w:val="00282AE9"/>
    <w:rsid w:val="00282CA2"/>
    <w:rsid w:val="00282CD3"/>
    <w:rsid w:val="00282D13"/>
    <w:rsid w:val="00282D8F"/>
    <w:rsid w:val="00282E9F"/>
    <w:rsid w:val="00282F60"/>
    <w:rsid w:val="00283010"/>
    <w:rsid w:val="00283024"/>
    <w:rsid w:val="002830DF"/>
    <w:rsid w:val="002831A3"/>
    <w:rsid w:val="002831EC"/>
    <w:rsid w:val="002832B8"/>
    <w:rsid w:val="0028332F"/>
    <w:rsid w:val="00283373"/>
    <w:rsid w:val="00283455"/>
    <w:rsid w:val="00283495"/>
    <w:rsid w:val="00283572"/>
    <w:rsid w:val="00283746"/>
    <w:rsid w:val="00283994"/>
    <w:rsid w:val="00283A60"/>
    <w:rsid w:val="00283B07"/>
    <w:rsid w:val="00283C96"/>
    <w:rsid w:val="00283D39"/>
    <w:rsid w:val="00283D99"/>
    <w:rsid w:val="00283E2D"/>
    <w:rsid w:val="00283E37"/>
    <w:rsid w:val="00283F68"/>
    <w:rsid w:val="002840C1"/>
    <w:rsid w:val="002840C9"/>
    <w:rsid w:val="002840F4"/>
    <w:rsid w:val="00284305"/>
    <w:rsid w:val="00284415"/>
    <w:rsid w:val="00284739"/>
    <w:rsid w:val="0028482F"/>
    <w:rsid w:val="00284859"/>
    <w:rsid w:val="0028485E"/>
    <w:rsid w:val="00284C43"/>
    <w:rsid w:val="00284C65"/>
    <w:rsid w:val="00284C79"/>
    <w:rsid w:val="00284D72"/>
    <w:rsid w:val="00284F0B"/>
    <w:rsid w:val="00284F90"/>
    <w:rsid w:val="002850A1"/>
    <w:rsid w:val="002850A6"/>
    <w:rsid w:val="00285171"/>
    <w:rsid w:val="0028519E"/>
    <w:rsid w:val="002851CF"/>
    <w:rsid w:val="002851D5"/>
    <w:rsid w:val="002853EF"/>
    <w:rsid w:val="0028540C"/>
    <w:rsid w:val="00285419"/>
    <w:rsid w:val="0028548C"/>
    <w:rsid w:val="002854E6"/>
    <w:rsid w:val="00285538"/>
    <w:rsid w:val="00285546"/>
    <w:rsid w:val="0028564D"/>
    <w:rsid w:val="002856A5"/>
    <w:rsid w:val="00285770"/>
    <w:rsid w:val="002857FE"/>
    <w:rsid w:val="002858C8"/>
    <w:rsid w:val="002858E5"/>
    <w:rsid w:val="00285A18"/>
    <w:rsid w:val="00285AE0"/>
    <w:rsid w:val="00285B63"/>
    <w:rsid w:val="00285B96"/>
    <w:rsid w:val="00285BFF"/>
    <w:rsid w:val="00285CC9"/>
    <w:rsid w:val="00285E06"/>
    <w:rsid w:val="00285E76"/>
    <w:rsid w:val="002860A2"/>
    <w:rsid w:val="0028617B"/>
    <w:rsid w:val="0028617D"/>
    <w:rsid w:val="00286185"/>
    <w:rsid w:val="0028624E"/>
    <w:rsid w:val="00286341"/>
    <w:rsid w:val="002863A3"/>
    <w:rsid w:val="00286577"/>
    <w:rsid w:val="002865A4"/>
    <w:rsid w:val="002865D7"/>
    <w:rsid w:val="0028660C"/>
    <w:rsid w:val="0028673D"/>
    <w:rsid w:val="0028676D"/>
    <w:rsid w:val="00286859"/>
    <w:rsid w:val="0028687C"/>
    <w:rsid w:val="0028691F"/>
    <w:rsid w:val="0028696C"/>
    <w:rsid w:val="00286992"/>
    <w:rsid w:val="00286A88"/>
    <w:rsid w:val="00286B1F"/>
    <w:rsid w:val="00286DBD"/>
    <w:rsid w:val="00286E29"/>
    <w:rsid w:val="00286E7F"/>
    <w:rsid w:val="00286E99"/>
    <w:rsid w:val="00286EFA"/>
    <w:rsid w:val="00286F2C"/>
    <w:rsid w:val="00286FA8"/>
    <w:rsid w:val="00287020"/>
    <w:rsid w:val="0028708E"/>
    <w:rsid w:val="0028718A"/>
    <w:rsid w:val="002872ED"/>
    <w:rsid w:val="00287392"/>
    <w:rsid w:val="00287675"/>
    <w:rsid w:val="00287676"/>
    <w:rsid w:val="002876B2"/>
    <w:rsid w:val="002877C9"/>
    <w:rsid w:val="00287817"/>
    <w:rsid w:val="00287819"/>
    <w:rsid w:val="002878E6"/>
    <w:rsid w:val="00287914"/>
    <w:rsid w:val="00287942"/>
    <w:rsid w:val="00287A29"/>
    <w:rsid w:val="00287B2C"/>
    <w:rsid w:val="00287BD4"/>
    <w:rsid w:val="00287D5B"/>
    <w:rsid w:val="00287D7F"/>
    <w:rsid w:val="00287DE3"/>
    <w:rsid w:val="00287E3B"/>
    <w:rsid w:val="00287E42"/>
    <w:rsid w:val="00287E87"/>
    <w:rsid w:val="00287EBF"/>
    <w:rsid w:val="00287F1F"/>
    <w:rsid w:val="00287F9E"/>
    <w:rsid w:val="0028BD21"/>
    <w:rsid w:val="0029003E"/>
    <w:rsid w:val="002900F3"/>
    <w:rsid w:val="00290164"/>
    <w:rsid w:val="0029024F"/>
    <w:rsid w:val="00290267"/>
    <w:rsid w:val="00290420"/>
    <w:rsid w:val="0029043F"/>
    <w:rsid w:val="002905C2"/>
    <w:rsid w:val="002906E9"/>
    <w:rsid w:val="0029074D"/>
    <w:rsid w:val="0029076A"/>
    <w:rsid w:val="0029084E"/>
    <w:rsid w:val="002908AD"/>
    <w:rsid w:val="002908C1"/>
    <w:rsid w:val="00290940"/>
    <w:rsid w:val="0029095C"/>
    <w:rsid w:val="002909A1"/>
    <w:rsid w:val="002909A8"/>
    <w:rsid w:val="002909D7"/>
    <w:rsid w:val="00290A51"/>
    <w:rsid w:val="00290A9A"/>
    <w:rsid w:val="00290BBA"/>
    <w:rsid w:val="00290F04"/>
    <w:rsid w:val="00290F2E"/>
    <w:rsid w:val="0029103C"/>
    <w:rsid w:val="0029120F"/>
    <w:rsid w:val="00291274"/>
    <w:rsid w:val="002912A4"/>
    <w:rsid w:val="00291316"/>
    <w:rsid w:val="002913DB"/>
    <w:rsid w:val="0029147E"/>
    <w:rsid w:val="002914BC"/>
    <w:rsid w:val="002914C1"/>
    <w:rsid w:val="00291561"/>
    <w:rsid w:val="00291563"/>
    <w:rsid w:val="0029172A"/>
    <w:rsid w:val="0029178D"/>
    <w:rsid w:val="00291848"/>
    <w:rsid w:val="00291BA3"/>
    <w:rsid w:val="00291D1A"/>
    <w:rsid w:val="00291ED8"/>
    <w:rsid w:val="0029206A"/>
    <w:rsid w:val="0029206B"/>
    <w:rsid w:val="0029210D"/>
    <w:rsid w:val="002921AC"/>
    <w:rsid w:val="002921F0"/>
    <w:rsid w:val="0029224F"/>
    <w:rsid w:val="00292278"/>
    <w:rsid w:val="002922F1"/>
    <w:rsid w:val="00292357"/>
    <w:rsid w:val="002923FD"/>
    <w:rsid w:val="00292455"/>
    <w:rsid w:val="00292543"/>
    <w:rsid w:val="002925EA"/>
    <w:rsid w:val="00292605"/>
    <w:rsid w:val="002926D4"/>
    <w:rsid w:val="002927BC"/>
    <w:rsid w:val="00292858"/>
    <w:rsid w:val="00292983"/>
    <w:rsid w:val="002929C9"/>
    <w:rsid w:val="00292B79"/>
    <w:rsid w:val="00292C5B"/>
    <w:rsid w:val="00292DD6"/>
    <w:rsid w:val="00292EB2"/>
    <w:rsid w:val="00292EF6"/>
    <w:rsid w:val="00292FE1"/>
    <w:rsid w:val="00293107"/>
    <w:rsid w:val="002933B6"/>
    <w:rsid w:val="002934C3"/>
    <w:rsid w:val="00293533"/>
    <w:rsid w:val="002936D1"/>
    <w:rsid w:val="0029375C"/>
    <w:rsid w:val="00293A91"/>
    <w:rsid w:val="00293D3C"/>
    <w:rsid w:val="00293F0D"/>
    <w:rsid w:val="00293F13"/>
    <w:rsid w:val="00293FDF"/>
    <w:rsid w:val="00294032"/>
    <w:rsid w:val="0029413A"/>
    <w:rsid w:val="00294163"/>
    <w:rsid w:val="00294173"/>
    <w:rsid w:val="00294188"/>
    <w:rsid w:val="00294215"/>
    <w:rsid w:val="0029433E"/>
    <w:rsid w:val="0029436A"/>
    <w:rsid w:val="0029437C"/>
    <w:rsid w:val="00294445"/>
    <w:rsid w:val="00294454"/>
    <w:rsid w:val="002944CA"/>
    <w:rsid w:val="0029462E"/>
    <w:rsid w:val="00294648"/>
    <w:rsid w:val="002946E3"/>
    <w:rsid w:val="00294732"/>
    <w:rsid w:val="00294797"/>
    <w:rsid w:val="002947A6"/>
    <w:rsid w:val="002948DE"/>
    <w:rsid w:val="00294994"/>
    <w:rsid w:val="0029499A"/>
    <w:rsid w:val="00294A10"/>
    <w:rsid w:val="00294A56"/>
    <w:rsid w:val="00294AD7"/>
    <w:rsid w:val="00294B71"/>
    <w:rsid w:val="00294BAE"/>
    <w:rsid w:val="00294BFF"/>
    <w:rsid w:val="00294C3A"/>
    <w:rsid w:val="00294CB6"/>
    <w:rsid w:val="00294DC1"/>
    <w:rsid w:val="00294DC7"/>
    <w:rsid w:val="00294EE2"/>
    <w:rsid w:val="00295032"/>
    <w:rsid w:val="002950BC"/>
    <w:rsid w:val="002950F2"/>
    <w:rsid w:val="0029510B"/>
    <w:rsid w:val="002952BB"/>
    <w:rsid w:val="0029536F"/>
    <w:rsid w:val="0029552A"/>
    <w:rsid w:val="00295667"/>
    <w:rsid w:val="002956AE"/>
    <w:rsid w:val="0029571A"/>
    <w:rsid w:val="0029576C"/>
    <w:rsid w:val="002958EB"/>
    <w:rsid w:val="00295938"/>
    <w:rsid w:val="00295A3F"/>
    <w:rsid w:val="00295A7F"/>
    <w:rsid w:val="00295AF2"/>
    <w:rsid w:val="00295B34"/>
    <w:rsid w:val="00295BBC"/>
    <w:rsid w:val="00295C59"/>
    <w:rsid w:val="00295C91"/>
    <w:rsid w:val="00295CE9"/>
    <w:rsid w:val="00295D8C"/>
    <w:rsid w:val="00295F0F"/>
    <w:rsid w:val="002960DF"/>
    <w:rsid w:val="00296209"/>
    <w:rsid w:val="002964B6"/>
    <w:rsid w:val="00296682"/>
    <w:rsid w:val="00296694"/>
    <w:rsid w:val="0029689F"/>
    <w:rsid w:val="00296954"/>
    <w:rsid w:val="00296993"/>
    <w:rsid w:val="00296B37"/>
    <w:rsid w:val="00296B7B"/>
    <w:rsid w:val="00296C17"/>
    <w:rsid w:val="00296C7E"/>
    <w:rsid w:val="00296CD6"/>
    <w:rsid w:val="00296D20"/>
    <w:rsid w:val="00296D64"/>
    <w:rsid w:val="00296D8F"/>
    <w:rsid w:val="00296DCA"/>
    <w:rsid w:val="00296E15"/>
    <w:rsid w:val="00296E73"/>
    <w:rsid w:val="00296E7B"/>
    <w:rsid w:val="00296F95"/>
    <w:rsid w:val="002970BF"/>
    <w:rsid w:val="00297151"/>
    <w:rsid w:val="00297155"/>
    <w:rsid w:val="00297177"/>
    <w:rsid w:val="002971F7"/>
    <w:rsid w:val="0029746B"/>
    <w:rsid w:val="0029749E"/>
    <w:rsid w:val="002975B8"/>
    <w:rsid w:val="002975E3"/>
    <w:rsid w:val="002975E7"/>
    <w:rsid w:val="0029772E"/>
    <w:rsid w:val="00297767"/>
    <w:rsid w:val="00297823"/>
    <w:rsid w:val="0029783F"/>
    <w:rsid w:val="002979ED"/>
    <w:rsid w:val="00297A2E"/>
    <w:rsid w:val="00297A3F"/>
    <w:rsid w:val="00297A70"/>
    <w:rsid w:val="00297B21"/>
    <w:rsid w:val="00297C7D"/>
    <w:rsid w:val="00297D4A"/>
    <w:rsid w:val="00297DA7"/>
    <w:rsid w:val="00297E00"/>
    <w:rsid w:val="00297E1D"/>
    <w:rsid w:val="00297ECA"/>
    <w:rsid w:val="00297F70"/>
    <w:rsid w:val="00297F9C"/>
    <w:rsid w:val="002A002B"/>
    <w:rsid w:val="002A003C"/>
    <w:rsid w:val="002A01ED"/>
    <w:rsid w:val="002A0250"/>
    <w:rsid w:val="002A027C"/>
    <w:rsid w:val="002A03B4"/>
    <w:rsid w:val="002A040B"/>
    <w:rsid w:val="002A04E9"/>
    <w:rsid w:val="002A0528"/>
    <w:rsid w:val="002A05D5"/>
    <w:rsid w:val="002A0624"/>
    <w:rsid w:val="002A0694"/>
    <w:rsid w:val="002A06B9"/>
    <w:rsid w:val="002A06F6"/>
    <w:rsid w:val="002A0721"/>
    <w:rsid w:val="002A08A7"/>
    <w:rsid w:val="002A09BB"/>
    <w:rsid w:val="002A0DB7"/>
    <w:rsid w:val="002A0DF7"/>
    <w:rsid w:val="002A0E2E"/>
    <w:rsid w:val="002A0ED7"/>
    <w:rsid w:val="002A10BB"/>
    <w:rsid w:val="002A10E6"/>
    <w:rsid w:val="002A11FD"/>
    <w:rsid w:val="002A1397"/>
    <w:rsid w:val="002A1593"/>
    <w:rsid w:val="002A180B"/>
    <w:rsid w:val="002A18A5"/>
    <w:rsid w:val="002A19C5"/>
    <w:rsid w:val="002A1C76"/>
    <w:rsid w:val="002A1D47"/>
    <w:rsid w:val="002A1D79"/>
    <w:rsid w:val="002A1DF7"/>
    <w:rsid w:val="002A1E48"/>
    <w:rsid w:val="002A1F8B"/>
    <w:rsid w:val="002A2047"/>
    <w:rsid w:val="002A206A"/>
    <w:rsid w:val="002A20BE"/>
    <w:rsid w:val="002A238B"/>
    <w:rsid w:val="002A242D"/>
    <w:rsid w:val="002A243A"/>
    <w:rsid w:val="002A2762"/>
    <w:rsid w:val="002A28DA"/>
    <w:rsid w:val="002A28E6"/>
    <w:rsid w:val="002A294A"/>
    <w:rsid w:val="002A2AF3"/>
    <w:rsid w:val="002A2BC0"/>
    <w:rsid w:val="002A2C19"/>
    <w:rsid w:val="002A2C96"/>
    <w:rsid w:val="002A2D78"/>
    <w:rsid w:val="002A2DA4"/>
    <w:rsid w:val="002A2E94"/>
    <w:rsid w:val="002A2F5B"/>
    <w:rsid w:val="002A3001"/>
    <w:rsid w:val="002A3050"/>
    <w:rsid w:val="002A30DB"/>
    <w:rsid w:val="002A316B"/>
    <w:rsid w:val="002A3237"/>
    <w:rsid w:val="002A327E"/>
    <w:rsid w:val="002A33BE"/>
    <w:rsid w:val="002A33E8"/>
    <w:rsid w:val="002A3489"/>
    <w:rsid w:val="002A352D"/>
    <w:rsid w:val="002A35E4"/>
    <w:rsid w:val="002A36C7"/>
    <w:rsid w:val="002A36D1"/>
    <w:rsid w:val="002A3823"/>
    <w:rsid w:val="002A391B"/>
    <w:rsid w:val="002A39D8"/>
    <w:rsid w:val="002A39FD"/>
    <w:rsid w:val="002A3DA9"/>
    <w:rsid w:val="002A3F0E"/>
    <w:rsid w:val="002A423C"/>
    <w:rsid w:val="002A440A"/>
    <w:rsid w:val="002A4527"/>
    <w:rsid w:val="002A4539"/>
    <w:rsid w:val="002A453C"/>
    <w:rsid w:val="002A4549"/>
    <w:rsid w:val="002A46E9"/>
    <w:rsid w:val="002A4793"/>
    <w:rsid w:val="002A4821"/>
    <w:rsid w:val="002A486C"/>
    <w:rsid w:val="002A48F8"/>
    <w:rsid w:val="002A4951"/>
    <w:rsid w:val="002A4C06"/>
    <w:rsid w:val="002A4C1B"/>
    <w:rsid w:val="002A50D9"/>
    <w:rsid w:val="002A512A"/>
    <w:rsid w:val="002A5257"/>
    <w:rsid w:val="002A55C5"/>
    <w:rsid w:val="002A5822"/>
    <w:rsid w:val="002A585D"/>
    <w:rsid w:val="002A5AE4"/>
    <w:rsid w:val="002A5AF9"/>
    <w:rsid w:val="002A5CAE"/>
    <w:rsid w:val="002A5D1A"/>
    <w:rsid w:val="002A5E37"/>
    <w:rsid w:val="002A60F7"/>
    <w:rsid w:val="002A61A9"/>
    <w:rsid w:val="002A61D1"/>
    <w:rsid w:val="002A62BA"/>
    <w:rsid w:val="002A6311"/>
    <w:rsid w:val="002A66F5"/>
    <w:rsid w:val="002A66FA"/>
    <w:rsid w:val="002A6726"/>
    <w:rsid w:val="002A689A"/>
    <w:rsid w:val="002A6AA0"/>
    <w:rsid w:val="002A6B12"/>
    <w:rsid w:val="002A6B32"/>
    <w:rsid w:val="002A6D36"/>
    <w:rsid w:val="002A6E71"/>
    <w:rsid w:val="002A6E80"/>
    <w:rsid w:val="002A6ED4"/>
    <w:rsid w:val="002A6F66"/>
    <w:rsid w:val="002A73DE"/>
    <w:rsid w:val="002A740F"/>
    <w:rsid w:val="002A7488"/>
    <w:rsid w:val="002A7A72"/>
    <w:rsid w:val="002A7AB5"/>
    <w:rsid w:val="002A7B65"/>
    <w:rsid w:val="002A7C71"/>
    <w:rsid w:val="002A7CA5"/>
    <w:rsid w:val="002A7D09"/>
    <w:rsid w:val="002A7DCC"/>
    <w:rsid w:val="002A7E1B"/>
    <w:rsid w:val="002A7E1D"/>
    <w:rsid w:val="002A7F10"/>
    <w:rsid w:val="002AD582"/>
    <w:rsid w:val="002B000B"/>
    <w:rsid w:val="002B0145"/>
    <w:rsid w:val="002B01B4"/>
    <w:rsid w:val="002B0491"/>
    <w:rsid w:val="002B05B8"/>
    <w:rsid w:val="002B0712"/>
    <w:rsid w:val="002B0758"/>
    <w:rsid w:val="002B07CA"/>
    <w:rsid w:val="002B087B"/>
    <w:rsid w:val="002B0904"/>
    <w:rsid w:val="002B09DB"/>
    <w:rsid w:val="002B0A26"/>
    <w:rsid w:val="002B0A94"/>
    <w:rsid w:val="002B0BBF"/>
    <w:rsid w:val="002B0C5E"/>
    <w:rsid w:val="002B0C84"/>
    <w:rsid w:val="002B0DA3"/>
    <w:rsid w:val="002B0F9C"/>
    <w:rsid w:val="002B1250"/>
    <w:rsid w:val="002B1298"/>
    <w:rsid w:val="002B137A"/>
    <w:rsid w:val="002B138C"/>
    <w:rsid w:val="002B13CA"/>
    <w:rsid w:val="002B143B"/>
    <w:rsid w:val="002B1579"/>
    <w:rsid w:val="002B15A4"/>
    <w:rsid w:val="002B17DD"/>
    <w:rsid w:val="002B1939"/>
    <w:rsid w:val="002B1BBE"/>
    <w:rsid w:val="002B1DBE"/>
    <w:rsid w:val="002B1E59"/>
    <w:rsid w:val="002B1EA5"/>
    <w:rsid w:val="002B1F0B"/>
    <w:rsid w:val="002B1F44"/>
    <w:rsid w:val="002B20E6"/>
    <w:rsid w:val="002B2115"/>
    <w:rsid w:val="002B228B"/>
    <w:rsid w:val="002B2451"/>
    <w:rsid w:val="002B264A"/>
    <w:rsid w:val="002B2866"/>
    <w:rsid w:val="002B292C"/>
    <w:rsid w:val="002B2933"/>
    <w:rsid w:val="002B2957"/>
    <w:rsid w:val="002B295E"/>
    <w:rsid w:val="002B2A3C"/>
    <w:rsid w:val="002B2B1F"/>
    <w:rsid w:val="002B2BE9"/>
    <w:rsid w:val="002B3002"/>
    <w:rsid w:val="002B344C"/>
    <w:rsid w:val="002B344D"/>
    <w:rsid w:val="002B3468"/>
    <w:rsid w:val="002B346F"/>
    <w:rsid w:val="002B35BE"/>
    <w:rsid w:val="002B35CF"/>
    <w:rsid w:val="002B363A"/>
    <w:rsid w:val="002B3649"/>
    <w:rsid w:val="002B3678"/>
    <w:rsid w:val="002B36C5"/>
    <w:rsid w:val="002B3768"/>
    <w:rsid w:val="002B3820"/>
    <w:rsid w:val="002B39E3"/>
    <w:rsid w:val="002B3C30"/>
    <w:rsid w:val="002B3CF9"/>
    <w:rsid w:val="002B3D04"/>
    <w:rsid w:val="002B3EE7"/>
    <w:rsid w:val="002B3F60"/>
    <w:rsid w:val="002B40A8"/>
    <w:rsid w:val="002B40B9"/>
    <w:rsid w:val="002B4258"/>
    <w:rsid w:val="002B4266"/>
    <w:rsid w:val="002B42A3"/>
    <w:rsid w:val="002B4390"/>
    <w:rsid w:val="002B43B2"/>
    <w:rsid w:val="002B44C5"/>
    <w:rsid w:val="002B465E"/>
    <w:rsid w:val="002B4673"/>
    <w:rsid w:val="002B46E9"/>
    <w:rsid w:val="002B4749"/>
    <w:rsid w:val="002B47BA"/>
    <w:rsid w:val="002B4800"/>
    <w:rsid w:val="002B4909"/>
    <w:rsid w:val="002B49A3"/>
    <w:rsid w:val="002B4C1B"/>
    <w:rsid w:val="002B4D48"/>
    <w:rsid w:val="002B4F5A"/>
    <w:rsid w:val="002B4FA8"/>
    <w:rsid w:val="002B500A"/>
    <w:rsid w:val="002B5040"/>
    <w:rsid w:val="002B50C9"/>
    <w:rsid w:val="002B5120"/>
    <w:rsid w:val="002B5134"/>
    <w:rsid w:val="002B5181"/>
    <w:rsid w:val="002B51AF"/>
    <w:rsid w:val="002B5256"/>
    <w:rsid w:val="002B53CE"/>
    <w:rsid w:val="002B5474"/>
    <w:rsid w:val="002B55C0"/>
    <w:rsid w:val="002B56A3"/>
    <w:rsid w:val="002B57ED"/>
    <w:rsid w:val="002B5880"/>
    <w:rsid w:val="002B5933"/>
    <w:rsid w:val="002B5A4C"/>
    <w:rsid w:val="002B5A50"/>
    <w:rsid w:val="002B5B51"/>
    <w:rsid w:val="002B5CBD"/>
    <w:rsid w:val="002B5D8C"/>
    <w:rsid w:val="002B5DF3"/>
    <w:rsid w:val="002B5DFE"/>
    <w:rsid w:val="002B5E6D"/>
    <w:rsid w:val="002B5EA6"/>
    <w:rsid w:val="002B5EFC"/>
    <w:rsid w:val="002B60CC"/>
    <w:rsid w:val="002B6125"/>
    <w:rsid w:val="002B623C"/>
    <w:rsid w:val="002B6429"/>
    <w:rsid w:val="002B64C7"/>
    <w:rsid w:val="002B65A3"/>
    <w:rsid w:val="002B6610"/>
    <w:rsid w:val="002B667B"/>
    <w:rsid w:val="002B6749"/>
    <w:rsid w:val="002B6822"/>
    <w:rsid w:val="002B68B9"/>
    <w:rsid w:val="002B69BE"/>
    <w:rsid w:val="002B6AA9"/>
    <w:rsid w:val="002B6ACF"/>
    <w:rsid w:val="002B6CCD"/>
    <w:rsid w:val="002B6CFA"/>
    <w:rsid w:val="002B6D5A"/>
    <w:rsid w:val="002B6DFB"/>
    <w:rsid w:val="002B6E69"/>
    <w:rsid w:val="002B6F41"/>
    <w:rsid w:val="002B6FF2"/>
    <w:rsid w:val="002B70EC"/>
    <w:rsid w:val="002B71ED"/>
    <w:rsid w:val="002B738B"/>
    <w:rsid w:val="002B73A8"/>
    <w:rsid w:val="002B73D5"/>
    <w:rsid w:val="002B7408"/>
    <w:rsid w:val="002B7472"/>
    <w:rsid w:val="002B798E"/>
    <w:rsid w:val="002B79E7"/>
    <w:rsid w:val="002B79F2"/>
    <w:rsid w:val="002B7A29"/>
    <w:rsid w:val="002B7AFC"/>
    <w:rsid w:val="002B7B5E"/>
    <w:rsid w:val="002B7B96"/>
    <w:rsid w:val="002B7BBF"/>
    <w:rsid w:val="002B7C53"/>
    <w:rsid w:val="002B7C76"/>
    <w:rsid w:val="002B7CE8"/>
    <w:rsid w:val="002B7D72"/>
    <w:rsid w:val="002B7EC1"/>
    <w:rsid w:val="002B7F36"/>
    <w:rsid w:val="002B7FA8"/>
    <w:rsid w:val="002C00DF"/>
    <w:rsid w:val="002C0153"/>
    <w:rsid w:val="002C025C"/>
    <w:rsid w:val="002C0294"/>
    <w:rsid w:val="002C0325"/>
    <w:rsid w:val="002C049B"/>
    <w:rsid w:val="002C0703"/>
    <w:rsid w:val="002C082A"/>
    <w:rsid w:val="002C0862"/>
    <w:rsid w:val="002C0871"/>
    <w:rsid w:val="002C08A3"/>
    <w:rsid w:val="002C09FE"/>
    <w:rsid w:val="002C0A2E"/>
    <w:rsid w:val="002C0A74"/>
    <w:rsid w:val="002C0A8E"/>
    <w:rsid w:val="002C0AE1"/>
    <w:rsid w:val="002C0B11"/>
    <w:rsid w:val="002C0C2E"/>
    <w:rsid w:val="002C0C6C"/>
    <w:rsid w:val="002C0CA0"/>
    <w:rsid w:val="002C0CDD"/>
    <w:rsid w:val="002C0D64"/>
    <w:rsid w:val="002C0D6B"/>
    <w:rsid w:val="002C0DA6"/>
    <w:rsid w:val="002C0DC1"/>
    <w:rsid w:val="002C0F27"/>
    <w:rsid w:val="002C0F48"/>
    <w:rsid w:val="002C0F89"/>
    <w:rsid w:val="002C0FD2"/>
    <w:rsid w:val="002C100B"/>
    <w:rsid w:val="002C102C"/>
    <w:rsid w:val="002C11A5"/>
    <w:rsid w:val="002C1305"/>
    <w:rsid w:val="002C13F3"/>
    <w:rsid w:val="002C14AD"/>
    <w:rsid w:val="002C152A"/>
    <w:rsid w:val="002C15AD"/>
    <w:rsid w:val="002C161E"/>
    <w:rsid w:val="002C163D"/>
    <w:rsid w:val="002C17A8"/>
    <w:rsid w:val="002C17B5"/>
    <w:rsid w:val="002C17DD"/>
    <w:rsid w:val="002C1AA7"/>
    <w:rsid w:val="002C1BB8"/>
    <w:rsid w:val="002C1C4E"/>
    <w:rsid w:val="002C1D72"/>
    <w:rsid w:val="002C1DE1"/>
    <w:rsid w:val="002C1F45"/>
    <w:rsid w:val="002C1F88"/>
    <w:rsid w:val="002C1F8D"/>
    <w:rsid w:val="002C209F"/>
    <w:rsid w:val="002C20B1"/>
    <w:rsid w:val="002C20EC"/>
    <w:rsid w:val="002C21D5"/>
    <w:rsid w:val="002C21FF"/>
    <w:rsid w:val="002C24BA"/>
    <w:rsid w:val="002C24E5"/>
    <w:rsid w:val="002C2558"/>
    <w:rsid w:val="002C2624"/>
    <w:rsid w:val="002C2748"/>
    <w:rsid w:val="002C2787"/>
    <w:rsid w:val="002C2797"/>
    <w:rsid w:val="002C27A5"/>
    <w:rsid w:val="002C280C"/>
    <w:rsid w:val="002C2888"/>
    <w:rsid w:val="002C28B3"/>
    <w:rsid w:val="002C2994"/>
    <w:rsid w:val="002C29FD"/>
    <w:rsid w:val="002C2A52"/>
    <w:rsid w:val="002C2B3D"/>
    <w:rsid w:val="002C2B77"/>
    <w:rsid w:val="002C2C09"/>
    <w:rsid w:val="002C2C41"/>
    <w:rsid w:val="002C2CA3"/>
    <w:rsid w:val="002C2D0D"/>
    <w:rsid w:val="002C2E19"/>
    <w:rsid w:val="002C2EA4"/>
    <w:rsid w:val="002C2EC5"/>
    <w:rsid w:val="002C2F2F"/>
    <w:rsid w:val="002C2F79"/>
    <w:rsid w:val="002C2FB6"/>
    <w:rsid w:val="002C2FE5"/>
    <w:rsid w:val="002C3084"/>
    <w:rsid w:val="002C30DA"/>
    <w:rsid w:val="002C318B"/>
    <w:rsid w:val="002C327B"/>
    <w:rsid w:val="002C32C8"/>
    <w:rsid w:val="002C3352"/>
    <w:rsid w:val="002C33CA"/>
    <w:rsid w:val="002C3407"/>
    <w:rsid w:val="002C35D4"/>
    <w:rsid w:val="002C36B5"/>
    <w:rsid w:val="002C36CC"/>
    <w:rsid w:val="002C38C4"/>
    <w:rsid w:val="002C38FB"/>
    <w:rsid w:val="002C3939"/>
    <w:rsid w:val="002C3A62"/>
    <w:rsid w:val="002C3B08"/>
    <w:rsid w:val="002C3BC0"/>
    <w:rsid w:val="002C3C1D"/>
    <w:rsid w:val="002C3D27"/>
    <w:rsid w:val="002C3E24"/>
    <w:rsid w:val="002C3EA6"/>
    <w:rsid w:val="002C400D"/>
    <w:rsid w:val="002C43DA"/>
    <w:rsid w:val="002C43E4"/>
    <w:rsid w:val="002C44CF"/>
    <w:rsid w:val="002C4522"/>
    <w:rsid w:val="002C45B2"/>
    <w:rsid w:val="002C45C2"/>
    <w:rsid w:val="002C463D"/>
    <w:rsid w:val="002C474F"/>
    <w:rsid w:val="002C47EF"/>
    <w:rsid w:val="002C4914"/>
    <w:rsid w:val="002C49EB"/>
    <w:rsid w:val="002C4A4E"/>
    <w:rsid w:val="002C4AB9"/>
    <w:rsid w:val="002C4B32"/>
    <w:rsid w:val="002C4B92"/>
    <w:rsid w:val="002C4BCD"/>
    <w:rsid w:val="002C4CBF"/>
    <w:rsid w:val="002C4CC2"/>
    <w:rsid w:val="002C4CD6"/>
    <w:rsid w:val="002C4CF6"/>
    <w:rsid w:val="002C4D74"/>
    <w:rsid w:val="002C4DDA"/>
    <w:rsid w:val="002C4E37"/>
    <w:rsid w:val="002C4E6D"/>
    <w:rsid w:val="002C4EEE"/>
    <w:rsid w:val="002C4F15"/>
    <w:rsid w:val="002C4F3C"/>
    <w:rsid w:val="002C4FF0"/>
    <w:rsid w:val="002C4FF3"/>
    <w:rsid w:val="002C508B"/>
    <w:rsid w:val="002C509A"/>
    <w:rsid w:val="002C51C0"/>
    <w:rsid w:val="002C51C7"/>
    <w:rsid w:val="002C5222"/>
    <w:rsid w:val="002C5344"/>
    <w:rsid w:val="002C538D"/>
    <w:rsid w:val="002C54AF"/>
    <w:rsid w:val="002C577F"/>
    <w:rsid w:val="002C5A91"/>
    <w:rsid w:val="002C5AFC"/>
    <w:rsid w:val="002C5BD6"/>
    <w:rsid w:val="002C5D79"/>
    <w:rsid w:val="002C5DEE"/>
    <w:rsid w:val="002C5F81"/>
    <w:rsid w:val="002C6073"/>
    <w:rsid w:val="002C60C6"/>
    <w:rsid w:val="002C61DB"/>
    <w:rsid w:val="002C6282"/>
    <w:rsid w:val="002C62A4"/>
    <w:rsid w:val="002C6395"/>
    <w:rsid w:val="002C63D0"/>
    <w:rsid w:val="002C659D"/>
    <w:rsid w:val="002C6661"/>
    <w:rsid w:val="002C6676"/>
    <w:rsid w:val="002C673F"/>
    <w:rsid w:val="002C67C2"/>
    <w:rsid w:val="002C68D2"/>
    <w:rsid w:val="002C696A"/>
    <w:rsid w:val="002C6974"/>
    <w:rsid w:val="002C6A4D"/>
    <w:rsid w:val="002C6ACE"/>
    <w:rsid w:val="002C6B11"/>
    <w:rsid w:val="002C6BCC"/>
    <w:rsid w:val="002C6CA9"/>
    <w:rsid w:val="002C6D69"/>
    <w:rsid w:val="002C6E3D"/>
    <w:rsid w:val="002C6E7B"/>
    <w:rsid w:val="002C6E95"/>
    <w:rsid w:val="002C6EB1"/>
    <w:rsid w:val="002C6EED"/>
    <w:rsid w:val="002C6FF0"/>
    <w:rsid w:val="002C704F"/>
    <w:rsid w:val="002C7101"/>
    <w:rsid w:val="002C725B"/>
    <w:rsid w:val="002C727B"/>
    <w:rsid w:val="002C72D7"/>
    <w:rsid w:val="002C72F8"/>
    <w:rsid w:val="002C7323"/>
    <w:rsid w:val="002C74F4"/>
    <w:rsid w:val="002C751B"/>
    <w:rsid w:val="002C7649"/>
    <w:rsid w:val="002C76AB"/>
    <w:rsid w:val="002C7833"/>
    <w:rsid w:val="002C78DD"/>
    <w:rsid w:val="002C7A71"/>
    <w:rsid w:val="002C7C01"/>
    <w:rsid w:val="002C7C2B"/>
    <w:rsid w:val="002C7CA0"/>
    <w:rsid w:val="002C7CCD"/>
    <w:rsid w:val="002C7EE3"/>
    <w:rsid w:val="002C7F95"/>
    <w:rsid w:val="002D0000"/>
    <w:rsid w:val="002D00A0"/>
    <w:rsid w:val="002D0139"/>
    <w:rsid w:val="002D0152"/>
    <w:rsid w:val="002D01E6"/>
    <w:rsid w:val="002D02D3"/>
    <w:rsid w:val="002D03F0"/>
    <w:rsid w:val="002D0452"/>
    <w:rsid w:val="002D05DC"/>
    <w:rsid w:val="002D05DD"/>
    <w:rsid w:val="002D0633"/>
    <w:rsid w:val="002D068F"/>
    <w:rsid w:val="002D06E3"/>
    <w:rsid w:val="002D0723"/>
    <w:rsid w:val="002D07CB"/>
    <w:rsid w:val="002D0A84"/>
    <w:rsid w:val="002D0E7D"/>
    <w:rsid w:val="002D0F0B"/>
    <w:rsid w:val="002D101B"/>
    <w:rsid w:val="002D1131"/>
    <w:rsid w:val="002D1174"/>
    <w:rsid w:val="002D11B5"/>
    <w:rsid w:val="002D11D9"/>
    <w:rsid w:val="002D11F6"/>
    <w:rsid w:val="002D1225"/>
    <w:rsid w:val="002D125A"/>
    <w:rsid w:val="002D1282"/>
    <w:rsid w:val="002D1311"/>
    <w:rsid w:val="002D1364"/>
    <w:rsid w:val="002D13DA"/>
    <w:rsid w:val="002D13DB"/>
    <w:rsid w:val="002D164C"/>
    <w:rsid w:val="002D1659"/>
    <w:rsid w:val="002D17E0"/>
    <w:rsid w:val="002D1819"/>
    <w:rsid w:val="002D184A"/>
    <w:rsid w:val="002D18B5"/>
    <w:rsid w:val="002D1992"/>
    <w:rsid w:val="002D19EF"/>
    <w:rsid w:val="002D1C96"/>
    <w:rsid w:val="002D1D00"/>
    <w:rsid w:val="002D1E14"/>
    <w:rsid w:val="002D1F82"/>
    <w:rsid w:val="002D1FBD"/>
    <w:rsid w:val="002D2003"/>
    <w:rsid w:val="002D2059"/>
    <w:rsid w:val="002D2094"/>
    <w:rsid w:val="002D214E"/>
    <w:rsid w:val="002D216B"/>
    <w:rsid w:val="002D2365"/>
    <w:rsid w:val="002D23F6"/>
    <w:rsid w:val="002D240F"/>
    <w:rsid w:val="002D2431"/>
    <w:rsid w:val="002D2475"/>
    <w:rsid w:val="002D2545"/>
    <w:rsid w:val="002D26A6"/>
    <w:rsid w:val="002D2859"/>
    <w:rsid w:val="002D28E1"/>
    <w:rsid w:val="002D2916"/>
    <w:rsid w:val="002D293F"/>
    <w:rsid w:val="002D29DD"/>
    <w:rsid w:val="002D29DE"/>
    <w:rsid w:val="002D2A84"/>
    <w:rsid w:val="002D2AA7"/>
    <w:rsid w:val="002D2BB3"/>
    <w:rsid w:val="002D2E16"/>
    <w:rsid w:val="002D2E22"/>
    <w:rsid w:val="002D2E3A"/>
    <w:rsid w:val="002D2E8F"/>
    <w:rsid w:val="002D2F01"/>
    <w:rsid w:val="002D307A"/>
    <w:rsid w:val="002D3264"/>
    <w:rsid w:val="002D339A"/>
    <w:rsid w:val="002D3565"/>
    <w:rsid w:val="002D3584"/>
    <w:rsid w:val="002D364E"/>
    <w:rsid w:val="002D3674"/>
    <w:rsid w:val="002D381F"/>
    <w:rsid w:val="002D38EB"/>
    <w:rsid w:val="002D38FB"/>
    <w:rsid w:val="002D3BA8"/>
    <w:rsid w:val="002D3D00"/>
    <w:rsid w:val="002D3D29"/>
    <w:rsid w:val="002D3E67"/>
    <w:rsid w:val="002D3E7C"/>
    <w:rsid w:val="002D3EFD"/>
    <w:rsid w:val="002D3F69"/>
    <w:rsid w:val="002D4079"/>
    <w:rsid w:val="002D417D"/>
    <w:rsid w:val="002D41CB"/>
    <w:rsid w:val="002D42AA"/>
    <w:rsid w:val="002D42E1"/>
    <w:rsid w:val="002D434A"/>
    <w:rsid w:val="002D435C"/>
    <w:rsid w:val="002D4361"/>
    <w:rsid w:val="002D4583"/>
    <w:rsid w:val="002D458E"/>
    <w:rsid w:val="002D4631"/>
    <w:rsid w:val="002D4677"/>
    <w:rsid w:val="002D47A1"/>
    <w:rsid w:val="002D4834"/>
    <w:rsid w:val="002D483E"/>
    <w:rsid w:val="002D4880"/>
    <w:rsid w:val="002D4A1D"/>
    <w:rsid w:val="002D4AD8"/>
    <w:rsid w:val="002D4B41"/>
    <w:rsid w:val="002D4E54"/>
    <w:rsid w:val="002D4E74"/>
    <w:rsid w:val="002D4F71"/>
    <w:rsid w:val="002D4F8B"/>
    <w:rsid w:val="002D4FFE"/>
    <w:rsid w:val="002D5009"/>
    <w:rsid w:val="002D5020"/>
    <w:rsid w:val="002D514B"/>
    <w:rsid w:val="002D5290"/>
    <w:rsid w:val="002D52D6"/>
    <w:rsid w:val="002D55EB"/>
    <w:rsid w:val="002D560B"/>
    <w:rsid w:val="002D5624"/>
    <w:rsid w:val="002D57CB"/>
    <w:rsid w:val="002D5845"/>
    <w:rsid w:val="002D5B79"/>
    <w:rsid w:val="002D5E61"/>
    <w:rsid w:val="002D5F97"/>
    <w:rsid w:val="002D6009"/>
    <w:rsid w:val="002D6041"/>
    <w:rsid w:val="002D6065"/>
    <w:rsid w:val="002D60E0"/>
    <w:rsid w:val="002D6115"/>
    <w:rsid w:val="002D628A"/>
    <w:rsid w:val="002D6387"/>
    <w:rsid w:val="002D6449"/>
    <w:rsid w:val="002D64C3"/>
    <w:rsid w:val="002D6988"/>
    <w:rsid w:val="002D6C1A"/>
    <w:rsid w:val="002D6DC0"/>
    <w:rsid w:val="002D6DC9"/>
    <w:rsid w:val="002D6E1E"/>
    <w:rsid w:val="002D6E97"/>
    <w:rsid w:val="002D6EF9"/>
    <w:rsid w:val="002D7201"/>
    <w:rsid w:val="002D7421"/>
    <w:rsid w:val="002D7431"/>
    <w:rsid w:val="002D7540"/>
    <w:rsid w:val="002D76E9"/>
    <w:rsid w:val="002D7855"/>
    <w:rsid w:val="002D7867"/>
    <w:rsid w:val="002D78CC"/>
    <w:rsid w:val="002D78E4"/>
    <w:rsid w:val="002D7910"/>
    <w:rsid w:val="002D7955"/>
    <w:rsid w:val="002D79F4"/>
    <w:rsid w:val="002D7AFB"/>
    <w:rsid w:val="002D7B21"/>
    <w:rsid w:val="002D7BCE"/>
    <w:rsid w:val="002D7CAB"/>
    <w:rsid w:val="002D7E19"/>
    <w:rsid w:val="002D7EB7"/>
    <w:rsid w:val="002D7F0D"/>
    <w:rsid w:val="002E0001"/>
    <w:rsid w:val="002E016A"/>
    <w:rsid w:val="002E01D1"/>
    <w:rsid w:val="002E0258"/>
    <w:rsid w:val="002E02CC"/>
    <w:rsid w:val="002E03C6"/>
    <w:rsid w:val="002E0469"/>
    <w:rsid w:val="002E0523"/>
    <w:rsid w:val="002E0549"/>
    <w:rsid w:val="002E05A7"/>
    <w:rsid w:val="002E05D8"/>
    <w:rsid w:val="002E066B"/>
    <w:rsid w:val="002E0719"/>
    <w:rsid w:val="002E07A0"/>
    <w:rsid w:val="002E07D2"/>
    <w:rsid w:val="002E07DA"/>
    <w:rsid w:val="002E08E5"/>
    <w:rsid w:val="002E093A"/>
    <w:rsid w:val="002E0BB9"/>
    <w:rsid w:val="002E0BF0"/>
    <w:rsid w:val="002E0C7B"/>
    <w:rsid w:val="002E0C8C"/>
    <w:rsid w:val="002E0F59"/>
    <w:rsid w:val="002E1038"/>
    <w:rsid w:val="002E1042"/>
    <w:rsid w:val="002E10A3"/>
    <w:rsid w:val="002E1192"/>
    <w:rsid w:val="002E12AF"/>
    <w:rsid w:val="002E12B4"/>
    <w:rsid w:val="002E1367"/>
    <w:rsid w:val="002E13F6"/>
    <w:rsid w:val="002E15C0"/>
    <w:rsid w:val="002E15C5"/>
    <w:rsid w:val="002E1729"/>
    <w:rsid w:val="002E17B4"/>
    <w:rsid w:val="002E17B9"/>
    <w:rsid w:val="002E1806"/>
    <w:rsid w:val="002E1988"/>
    <w:rsid w:val="002E1A1D"/>
    <w:rsid w:val="002E1AF3"/>
    <w:rsid w:val="002E1BD8"/>
    <w:rsid w:val="002E1CD5"/>
    <w:rsid w:val="002E1CE1"/>
    <w:rsid w:val="002E1D22"/>
    <w:rsid w:val="002E1E51"/>
    <w:rsid w:val="002E1E74"/>
    <w:rsid w:val="002E1F0F"/>
    <w:rsid w:val="002E20A4"/>
    <w:rsid w:val="002E2129"/>
    <w:rsid w:val="002E2176"/>
    <w:rsid w:val="002E223D"/>
    <w:rsid w:val="002E226E"/>
    <w:rsid w:val="002E239B"/>
    <w:rsid w:val="002E23B6"/>
    <w:rsid w:val="002E23CE"/>
    <w:rsid w:val="002E2410"/>
    <w:rsid w:val="002E2420"/>
    <w:rsid w:val="002E24BD"/>
    <w:rsid w:val="002E2582"/>
    <w:rsid w:val="002E25AC"/>
    <w:rsid w:val="002E25E4"/>
    <w:rsid w:val="002E26A6"/>
    <w:rsid w:val="002E26EE"/>
    <w:rsid w:val="002E27EC"/>
    <w:rsid w:val="002E2A8D"/>
    <w:rsid w:val="002E2B89"/>
    <w:rsid w:val="002E2BA6"/>
    <w:rsid w:val="002E2C84"/>
    <w:rsid w:val="002E2CFE"/>
    <w:rsid w:val="002E2E76"/>
    <w:rsid w:val="002E2F09"/>
    <w:rsid w:val="002E2F26"/>
    <w:rsid w:val="002E2FAB"/>
    <w:rsid w:val="002E2FC0"/>
    <w:rsid w:val="002E322C"/>
    <w:rsid w:val="002E3393"/>
    <w:rsid w:val="002E360F"/>
    <w:rsid w:val="002E3675"/>
    <w:rsid w:val="002E3740"/>
    <w:rsid w:val="002E374C"/>
    <w:rsid w:val="002E383D"/>
    <w:rsid w:val="002E38A9"/>
    <w:rsid w:val="002E38BC"/>
    <w:rsid w:val="002E39EB"/>
    <w:rsid w:val="002E3B01"/>
    <w:rsid w:val="002E3B51"/>
    <w:rsid w:val="002E3BA2"/>
    <w:rsid w:val="002E3BAE"/>
    <w:rsid w:val="002E3BFA"/>
    <w:rsid w:val="002E3D0A"/>
    <w:rsid w:val="002E3D33"/>
    <w:rsid w:val="002E3D73"/>
    <w:rsid w:val="002E3E57"/>
    <w:rsid w:val="002E3FA6"/>
    <w:rsid w:val="002E4081"/>
    <w:rsid w:val="002E4107"/>
    <w:rsid w:val="002E41A1"/>
    <w:rsid w:val="002E42D5"/>
    <w:rsid w:val="002E4486"/>
    <w:rsid w:val="002E44AB"/>
    <w:rsid w:val="002E44AD"/>
    <w:rsid w:val="002E460C"/>
    <w:rsid w:val="002E460D"/>
    <w:rsid w:val="002E462F"/>
    <w:rsid w:val="002E468E"/>
    <w:rsid w:val="002E46E8"/>
    <w:rsid w:val="002E4731"/>
    <w:rsid w:val="002E479C"/>
    <w:rsid w:val="002E481E"/>
    <w:rsid w:val="002E4833"/>
    <w:rsid w:val="002E48F2"/>
    <w:rsid w:val="002E4914"/>
    <w:rsid w:val="002E4AAB"/>
    <w:rsid w:val="002E4ABC"/>
    <w:rsid w:val="002E4B27"/>
    <w:rsid w:val="002E4BD2"/>
    <w:rsid w:val="002E4C37"/>
    <w:rsid w:val="002E4C44"/>
    <w:rsid w:val="002E4D48"/>
    <w:rsid w:val="002E4D98"/>
    <w:rsid w:val="002E4DA4"/>
    <w:rsid w:val="002E4DA8"/>
    <w:rsid w:val="002E4FC3"/>
    <w:rsid w:val="002E4FF1"/>
    <w:rsid w:val="002E503E"/>
    <w:rsid w:val="002E50DD"/>
    <w:rsid w:val="002E519C"/>
    <w:rsid w:val="002E51C0"/>
    <w:rsid w:val="002E5322"/>
    <w:rsid w:val="002E5398"/>
    <w:rsid w:val="002E546A"/>
    <w:rsid w:val="002E5565"/>
    <w:rsid w:val="002E5628"/>
    <w:rsid w:val="002E564B"/>
    <w:rsid w:val="002E565B"/>
    <w:rsid w:val="002E579F"/>
    <w:rsid w:val="002E5883"/>
    <w:rsid w:val="002E58CF"/>
    <w:rsid w:val="002E5A0F"/>
    <w:rsid w:val="002E5A12"/>
    <w:rsid w:val="002E5A9A"/>
    <w:rsid w:val="002E5B78"/>
    <w:rsid w:val="002E5BF7"/>
    <w:rsid w:val="002E5C17"/>
    <w:rsid w:val="002E5D3B"/>
    <w:rsid w:val="002E5D5D"/>
    <w:rsid w:val="002E5D9E"/>
    <w:rsid w:val="002E5EB4"/>
    <w:rsid w:val="002E5EE3"/>
    <w:rsid w:val="002E5FC8"/>
    <w:rsid w:val="002E604B"/>
    <w:rsid w:val="002E6074"/>
    <w:rsid w:val="002E607F"/>
    <w:rsid w:val="002E6222"/>
    <w:rsid w:val="002E638C"/>
    <w:rsid w:val="002E6511"/>
    <w:rsid w:val="002E6611"/>
    <w:rsid w:val="002E674D"/>
    <w:rsid w:val="002E6805"/>
    <w:rsid w:val="002E68A6"/>
    <w:rsid w:val="002E69BD"/>
    <w:rsid w:val="002E6A3A"/>
    <w:rsid w:val="002E6B22"/>
    <w:rsid w:val="002E6B47"/>
    <w:rsid w:val="002E6B7D"/>
    <w:rsid w:val="002E6BDF"/>
    <w:rsid w:val="002E6C52"/>
    <w:rsid w:val="002E6CF0"/>
    <w:rsid w:val="002E6D9E"/>
    <w:rsid w:val="002E6E32"/>
    <w:rsid w:val="002E6EBD"/>
    <w:rsid w:val="002E6FD1"/>
    <w:rsid w:val="002E7147"/>
    <w:rsid w:val="002E71DC"/>
    <w:rsid w:val="002E7239"/>
    <w:rsid w:val="002E72C0"/>
    <w:rsid w:val="002E7318"/>
    <w:rsid w:val="002E7458"/>
    <w:rsid w:val="002E7481"/>
    <w:rsid w:val="002E74AA"/>
    <w:rsid w:val="002E74ED"/>
    <w:rsid w:val="002E74F1"/>
    <w:rsid w:val="002E74F6"/>
    <w:rsid w:val="002E75AE"/>
    <w:rsid w:val="002E75EE"/>
    <w:rsid w:val="002E7797"/>
    <w:rsid w:val="002E77B0"/>
    <w:rsid w:val="002E77CC"/>
    <w:rsid w:val="002E7955"/>
    <w:rsid w:val="002E7A42"/>
    <w:rsid w:val="002E7B2A"/>
    <w:rsid w:val="002E7BA1"/>
    <w:rsid w:val="002E7CF5"/>
    <w:rsid w:val="002E7D49"/>
    <w:rsid w:val="002E7D5E"/>
    <w:rsid w:val="002E7DFA"/>
    <w:rsid w:val="002E7EE5"/>
    <w:rsid w:val="002E7F97"/>
    <w:rsid w:val="002F0058"/>
    <w:rsid w:val="002F0155"/>
    <w:rsid w:val="002F01C0"/>
    <w:rsid w:val="002F01CD"/>
    <w:rsid w:val="002F01DA"/>
    <w:rsid w:val="002F0279"/>
    <w:rsid w:val="002F0295"/>
    <w:rsid w:val="002F031D"/>
    <w:rsid w:val="002F0362"/>
    <w:rsid w:val="002F0390"/>
    <w:rsid w:val="002F05C0"/>
    <w:rsid w:val="002F0697"/>
    <w:rsid w:val="002F0699"/>
    <w:rsid w:val="002F070E"/>
    <w:rsid w:val="002F0712"/>
    <w:rsid w:val="002F075C"/>
    <w:rsid w:val="002F0A13"/>
    <w:rsid w:val="002F0B59"/>
    <w:rsid w:val="002F0C92"/>
    <w:rsid w:val="002F0DB8"/>
    <w:rsid w:val="002F1174"/>
    <w:rsid w:val="002F11AD"/>
    <w:rsid w:val="002F11AE"/>
    <w:rsid w:val="002F11D7"/>
    <w:rsid w:val="002F12A4"/>
    <w:rsid w:val="002F12E1"/>
    <w:rsid w:val="002F130A"/>
    <w:rsid w:val="002F1378"/>
    <w:rsid w:val="002F13C1"/>
    <w:rsid w:val="002F1473"/>
    <w:rsid w:val="002F14DE"/>
    <w:rsid w:val="002F156E"/>
    <w:rsid w:val="002F1595"/>
    <w:rsid w:val="002F1636"/>
    <w:rsid w:val="002F17E3"/>
    <w:rsid w:val="002F18AE"/>
    <w:rsid w:val="002F18C5"/>
    <w:rsid w:val="002F18D8"/>
    <w:rsid w:val="002F1988"/>
    <w:rsid w:val="002F1B21"/>
    <w:rsid w:val="002F1B2F"/>
    <w:rsid w:val="002F1B44"/>
    <w:rsid w:val="002F1D5D"/>
    <w:rsid w:val="002F1DE1"/>
    <w:rsid w:val="002F1E40"/>
    <w:rsid w:val="002F1F57"/>
    <w:rsid w:val="002F1F95"/>
    <w:rsid w:val="002F1FB3"/>
    <w:rsid w:val="002F20B7"/>
    <w:rsid w:val="002F2117"/>
    <w:rsid w:val="002F2217"/>
    <w:rsid w:val="002F23E1"/>
    <w:rsid w:val="002F240E"/>
    <w:rsid w:val="002F24D8"/>
    <w:rsid w:val="002F2688"/>
    <w:rsid w:val="002F26B4"/>
    <w:rsid w:val="002F27A2"/>
    <w:rsid w:val="002F2805"/>
    <w:rsid w:val="002F2863"/>
    <w:rsid w:val="002F2959"/>
    <w:rsid w:val="002F2967"/>
    <w:rsid w:val="002F296F"/>
    <w:rsid w:val="002F29DD"/>
    <w:rsid w:val="002F2A0E"/>
    <w:rsid w:val="002F2AD3"/>
    <w:rsid w:val="002F2BA7"/>
    <w:rsid w:val="002F2C25"/>
    <w:rsid w:val="002F2D52"/>
    <w:rsid w:val="002F2DA6"/>
    <w:rsid w:val="002F2DD2"/>
    <w:rsid w:val="002F2E5F"/>
    <w:rsid w:val="002F2F11"/>
    <w:rsid w:val="002F2F34"/>
    <w:rsid w:val="002F2F42"/>
    <w:rsid w:val="002F3172"/>
    <w:rsid w:val="002F338D"/>
    <w:rsid w:val="002F33C7"/>
    <w:rsid w:val="002F342F"/>
    <w:rsid w:val="002F35FF"/>
    <w:rsid w:val="002F3677"/>
    <w:rsid w:val="002F373E"/>
    <w:rsid w:val="002F3864"/>
    <w:rsid w:val="002F3956"/>
    <w:rsid w:val="002F3989"/>
    <w:rsid w:val="002F39CD"/>
    <w:rsid w:val="002F3AE3"/>
    <w:rsid w:val="002F3BA0"/>
    <w:rsid w:val="002F3BAE"/>
    <w:rsid w:val="002F3BD6"/>
    <w:rsid w:val="002F3BE9"/>
    <w:rsid w:val="002F3BF7"/>
    <w:rsid w:val="002F3CB0"/>
    <w:rsid w:val="002F3D40"/>
    <w:rsid w:val="002F3E14"/>
    <w:rsid w:val="002F3E33"/>
    <w:rsid w:val="002F3E62"/>
    <w:rsid w:val="002F3F7B"/>
    <w:rsid w:val="002F3FF2"/>
    <w:rsid w:val="002F4036"/>
    <w:rsid w:val="002F4086"/>
    <w:rsid w:val="002F40A8"/>
    <w:rsid w:val="002F40E8"/>
    <w:rsid w:val="002F41F7"/>
    <w:rsid w:val="002F4298"/>
    <w:rsid w:val="002F45F4"/>
    <w:rsid w:val="002F479A"/>
    <w:rsid w:val="002F47AE"/>
    <w:rsid w:val="002F497C"/>
    <w:rsid w:val="002F4A22"/>
    <w:rsid w:val="002F4A4D"/>
    <w:rsid w:val="002F4BD0"/>
    <w:rsid w:val="002F4BE4"/>
    <w:rsid w:val="002F4BFD"/>
    <w:rsid w:val="002F4F40"/>
    <w:rsid w:val="002F4F66"/>
    <w:rsid w:val="002F4F92"/>
    <w:rsid w:val="002F5055"/>
    <w:rsid w:val="002F507F"/>
    <w:rsid w:val="002F510E"/>
    <w:rsid w:val="002F511A"/>
    <w:rsid w:val="002F515A"/>
    <w:rsid w:val="002F52A4"/>
    <w:rsid w:val="002F5300"/>
    <w:rsid w:val="002F532C"/>
    <w:rsid w:val="002F533F"/>
    <w:rsid w:val="002F54EC"/>
    <w:rsid w:val="002F5653"/>
    <w:rsid w:val="002F56EE"/>
    <w:rsid w:val="002F5932"/>
    <w:rsid w:val="002F599E"/>
    <w:rsid w:val="002F5BB8"/>
    <w:rsid w:val="002F5DEA"/>
    <w:rsid w:val="002F5F31"/>
    <w:rsid w:val="002F5FBB"/>
    <w:rsid w:val="002F60B9"/>
    <w:rsid w:val="002F63B8"/>
    <w:rsid w:val="002F6406"/>
    <w:rsid w:val="002F64E6"/>
    <w:rsid w:val="002F6542"/>
    <w:rsid w:val="002F660A"/>
    <w:rsid w:val="002F6662"/>
    <w:rsid w:val="002F66E3"/>
    <w:rsid w:val="002F672B"/>
    <w:rsid w:val="002F69FD"/>
    <w:rsid w:val="002F6A3E"/>
    <w:rsid w:val="002F6AA0"/>
    <w:rsid w:val="002F6BE1"/>
    <w:rsid w:val="002F6BE5"/>
    <w:rsid w:val="002F6DF6"/>
    <w:rsid w:val="002F6E2D"/>
    <w:rsid w:val="002F6E5A"/>
    <w:rsid w:val="002F6FB6"/>
    <w:rsid w:val="002F7165"/>
    <w:rsid w:val="002F7231"/>
    <w:rsid w:val="002F7247"/>
    <w:rsid w:val="002F731F"/>
    <w:rsid w:val="002F74A6"/>
    <w:rsid w:val="002F7507"/>
    <w:rsid w:val="002F7567"/>
    <w:rsid w:val="002F783D"/>
    <w:rsid w:val="002F786C"/>
    <w:rsid w:val="002F79C8"/>
    <w:rsid w:val="002F7A85"/>
    <w:rsid w:val="002F7AF6"/>
    <w:rsid w:val="002F7C81"/>
    <w:rsid w:val="002F7C85"/>
    <w:rsid w:val="002F7D10"/>
    <w:rsid w:val="002F7ED7"/>
    <w:rsid w:val="002F7F88"/>
    <w:rsid w:val="00300074"/>
    <w:rsid w:val="003002E6"/>
    <w:rsid w:val="003002EA"/>
    <w:rsid w:val="003003E1"/>
    <w:rsid w:val="0030041E"/>
    <w:rsid w:val="003005AA"/>
    <w:rsid w:val="0030068F"/>
    <w:rsid w:val="0030071E"/>
    <w:rsid w:val="003007A6"/>
    <w:rsid w:val="0030082C"/>
    <w:rsid w:val="00300853"/>
    <w:rsid w:val="003008DF"/>
    <w:rsid w:val="00300905"/>
    <w:rsid w:val="00300A35"/>
    <w:rsid w:val="00300A7D"/>
    <w:rsid w:val="00300B23"/>
    <w:rsid w:val="00300C04"/>
    <w:rsid w:val="00300C08"/>
    <w:rsid w:val="00300DDE"/>
    <w:rsid w:val="00300F1E"/>
    <w:rsid w:val="003011E8"/>
    <w:rsid w:val="0030120D"/>
    <w:rsid w:val="003012C8"/>
    <w:rsid w:val="0030130D"/>
    <w:rsid w:val="003013AD"/>
    <w:rsid w:val="003014AE"/>
    <w:rsid w:val="00301506"/>
    <w:rsid w:val="00301575"/>
    <w:rsid w:val="003015CB"/>
    <w:rsid w:val="003018C9"/>
    <w:rsid w:val="003018F8"/>
    <w:rsid w:val="00301918"/>
    <w:rsid w:val="003019B1"/>
    <w:rsid w:val="00301CB5"/>
    <w:rsid w:val="00301D65"/>
    <w:rsid w:val="00301F07"/>
    <w:rsid w:val="0030203C"/>
    <w:rsid w:val="003020B7"/>
    <w:rsid w:val="0030217B"/>
    <w:rsid w:val="003021D8"/>
    <w:rsid w:val="00302370"/>
    <w:rsid w:val="00302489"/>
    <w:rsid w:val="00302534"/>
    <w:rsid w:val="00302552"/>
    <w:rsid w:val="003025DC"/>
    <w:rsid w:val="00302739"/>
    <w:rsid w:val="003027EB"/>
    <w:rsid w:val="003028E8"/>
    <w:rsid w:val="00302A1D"/>
    <w:rsid w:val="00302AF6"/>
    <w:rsid w:val="00302BCE"/>
    <w:rsid w:val="00302C09"/>
    <w:rsid w:val="00302C4F"/>
    <w:rsid w:val="00302C70"/>
    <w:rsid w:val="00302E03"/>
    <w:rsid w:val="003030A5"/>
    <w:rsid w:val="003030A8"/>
    <w:rsid w:val="003030D9"/>
    <w:rsid w:val="0030321B"/>
    <w:rsid w:val="003032B1"/>
    <w:rsid w:val="003033F0"/>
    <w:rsid w:val="0030354E"/>
    <w:rsid w:val="00303632"/>
    <w:rsid w:val="00303718"/>
    <w:rsid w:val="00303856"/>
    <w:rsid w:val="00303927"/>
    <w:rsid w:val="0030396B"/>
    <w:rsid w:val="00303A51"/>
    <w:rsid w:val="00303A60"/>
    <w:rsid w:val="00303AFB"/>
    <w:rsid w:val="00303B2E"/>
    <w:rsid w:val="00303D34"/>
    <w:rsid w:val="00303E11"/>
    <w:rsid w:val="00303FF2"/>
    <w:rsid w:val="00304042"/>
    <w:rsid w:val="003041D3"/>
    <w:rsid w:val="003042E4"/>
    <w:rsid w:val="0030442D"/>
    <w:rsid w:val="003044B1"/>
    <w:rsid w:val="0030464B"/>
    <w:rsid w:val="0030468D"/>
    <w:rsid w:val="0030469D"/>
    <w:rsid w:val="00304767"/>
    <w:rsid w:val="0030481D"/>
    <w:rsid w:val="003048A3"/>
    <w:rsid w:val="003048CD"/>
    <w:rsid w:val="00304955"/>
    <w:rsid w:val="00304A43"/>
    <w:rsid w:val="00304B3F"/>
    <w:rsid w:val="00304BAC"/>
    <w:rsid w:val="00304BB9"/>
    <w:rsid w:val="00304C23"/>
    <w:rsid w:val="00304C93"/>
    <w:rsid w:val="00304DCA"/>
    <w:rsid w:val="00304EC0"/>
    <w:rsid w:val="00304F23"/>
    <w:rsid w:val="00304FBF"/>
    <w:rsid w:val="0030502F"/>
    <w:rsid w:val="0030504B"/>
    <w:rsid w:val="003050DF"/>
    <w:rsid w:val="00305343"/>
    <w:rsid w:val="00305439"/>
    <w:rsid w:val="0030549B"/>
    <w:rsid w:val="003054D1"/>
    <w:rsid w:val="00305570"/>
    <w:rsid w:val="00305575"/>
    <w:rsid w:val="00305619"/>
    <w:rsid w:val="003056F8"/>
    <w:rsid w:val="00305858"/>
    <w:rsid w:val="003058B9"/>
    <w:rsid w:val="003058F1"/>
    <w:rsid w:val="003059A6"/>
    <w:rsid w:val="003059EF"/>
    <w:rsid w:val="003059FC"/>
    <w:rsid w:val="00305A37"/>
    <w:rsid w:val="00305A90"/>
    <w:rsid w:val="00305AB9"/>
    <w:rsid w:val="00305B19"/>
    <w:rsid w:val="00305B2B"/>
    <w:rsid w:val="00305BCE"/>
    <w:rsid w:val="00305C7E"/>
    <w:rsid w:val="00305C8B"/>
    <w:rsid w:val="00305D34"/>
    <w:rsid w:val="00305D42"/>
    <w:rsid w:val="00305E47"/>
    <w:rsid w:val="00305EC8"/>
    <w:rsid w:val="00305FE8"/>
    <w:rsid w:val="0030607E"/>
    <w:rsid w:val="003060AA"/>
    <w:rsid w:val="003060C9"/>
    <w:rsid w:val="0030615D"/>
    <w:rsid w:val="0030643C"/>
    <w:rsid w:val="0030644C"/>
    <w:rsid w:val="003064D5"/>
    <w:rsid w:val="003064F9"/>
    <w:rsid w:val="00306516"/>
    <w:rsid w:val="003065EE"/>
    <w:rsid w:val="00306701"/>
    <w:rsid w:val="00306ADF"/>
    <w:rsid w:val="00306AEE"/>
    <w:rsid w:val="00306B10"/>
    <w:rsid w:val="00306B28"/>
    <w:rsid w:val="00306C23"/>
    <w:rsid w:val="00306DE0"/>
    <w:rsid w:val="00306E52"/>
    <w:rsid w:val="00306F85"/>
    <w:rsid w:val="00307134"/>
    <w:rsid w:val="0030737A"/>
    <w:rsid w:val="00307489"/>
    <w:rsid w:val="0030768A"/>
    <w:rsid w:val="0030769A"/>
    <w:rsid w:val="003077E6"/>
    <w:rsid w:val="00307867"/>
    <w:rsid w:val="0030786C"/>
    <w:rsid w:val="0030788E"/>
    <w:rsid w:val="003078A5"/>
    <w:rsid w:val="003078FF"/>
    <w:rsid w:val="00307A5D"/>
    <w:rsid w:val="00307C78"/>
    <w:rsid w:val="00307D3A"/>
    <w:rsid w:val="00307D4A"/>
    <w:rsid w:val="00307E5A"/>
    <w:rsid w:val="00307EA6"/>
    <w:rsid w:val="00307F03"/>
    <w:rsid w:val="0031007B"/>
    <w:rsid w:val="00310147"/>
    <w:rsid w:val="00310237"/>
    <w:rsid w:val="00310384"/>
    <w:rsid w:val="003103D1"/>
    <w:rsid w:val="00310599"/>
    <w:rsid w:val="003105B8"/>
    <w:rsid w:val="003105B9"/>
    <w:rsid w:val="0031076D"/>
    <w:rsid w:val="003107F7"/>
    <w:rsid w:val="0031089A"/>
    <w:rsid w:val="00310967"/>
    <w:rsid w:val="00310969"/>
    <w:rsid w:val="0031096A"/>
    <w:rsid w:val="003109D6"/>
    <w:rsid w:val="00310AFC"/>
    <w:rsid w:val="00310CCF"/>
    <w:rsid w:val="00310D69"/>
    <w:rsid w:val="00310EFB"/>
    <w:rsid w:val="003111D6"/>
    <w:rsid w:val="003111E1"/>
    <w:rsid w:val="0031129C"/>
    <w:rsid w:val="0031146A"/>
    <w:rsid w:val="00311587"/>
    <w:rsid w:val="003115C5"/>
    <w:rsid w:val="003115D5"/>
    <w:rsid w:val="0031161B"/>
    <w:rsid w:val="0031166E"/>
    <w:rsid w:val="0031167C"/>
    <w:rsid w:val="00311732"/>
    <w:rsid w:val="00311745"/>
    <w:rsid w:val="00311818"/>
    <w:rsid w:val="0031185E"/>
    <w:rsid w:val="00311A8B"/>
    <w:rsid w:val="00311B0F"/>
    <w:rsid w:val="00311C82"/>
    <w:rsid w:val="00311D88"/>
    <w:rsid w:val="00311D8E"/>
    <w:rsid w:val="00311DCF"/>
    <w:rsid w:val="00311E29"/>
    <w:rsid w:val="00311E40"/>
    <w:rsid w:val="00311EA8"/>
    <w:rsid w:val="003121D5"/>
    <w:rsid w:val="00312301"/>
    <w:rsid w:val="00312335"/>
    <w:rsid w:val="003124C7"/>
    <w:rsid w:val="003124F0"/>
    <w:rsid w:val="00312539"/>
    <w:rsid w:val="00312613"/>
    <w:rsid w:val="0031268A"/>
    <w:rsid w:val="0031279A"/>
    <w:rsid w:val="00312827"/>
    <w:rsid w:val="0031299A"/>
    <w:rsid w:val="00312A94"/>
    <w:rsid w:val="00312BFF"/>
    <w:rsid w:val="00312C43"/>
    <w:rsid w:val="00312D90"/>
    <w:rsid w:val="00312DCF"/>
    <w:rsid w:val="00312EAA"/>
    <w:rsid w:val="00312FA6"/>
    <w:rsid w:val="003130DE"/>
    <w:rsid w:val="00313255"/>
    <w:rsid w:val="00313354"/>
    <w:rsid w:val="003133E2"/>
    <w:rsid w:val="003134A9"/>
    <w:rsid w:val="003134C7"/>
    <w:rsid w:val="00313568"/>
    <w:rsid w:val="0031359B"/>
    <w:rsid w:val="003135C5"/>
    <w:rsid w:val="003136E4"/>
    <w:rsid w:val="003136FB"/>
    <w:rsid w:val="003137E6"/>
    <w:rsid w:val="00313BC4"/>
    <w:rsid w:val="00313C9B"/>
    <w:rsid w:val="00313E1B"/>
    <w:rsid w:val="00313EB5"/>
    <w:rsid w:val="00313F11"/>
    <w:rsid w:val="00313FC9"/>
    <w:rsid w:val="00314284"/>
    <w:rsid w:val="003143A0"/>
    <w:rsid w:val="00314600"/>
    <w:rsid w:val="0031477E"/>
    <w:rsid w:val="003147A8"/>
    <w:rsid w:val="003147C2"/>
    <w:rsid w:val="003149C2"/>
    <w:rsid w:val="00314A78"/>
    <w:rsid w:val="00314B03"/>
    <w:rsid w:val="00314B94"/>
    <w:rsid w:val="00314BC6"/>
    <w:rsid w:val="00314C1C"/>
    <w:rsid w:val="00314C6E"/>
    <w:rsid w:val="00314C7A"/>
    <w:rsid w:val="00314D01"/>
    <w:rsid w:val="00314D69"/>
    <w:rsid w:val="00314D86"/>
    <w:rsid w:val="00314DDA"/>
    <w:rsid w:val="00314EAB"/>
    <w:rsid w:val="00314ECA"/>
    <w:rsid w:val="00315038"/>
    <w:rsid w:val="0031514C"/>
    <w:rsid w:val="00315193"/>
    <w:rsid w:val="003151A3"/>
    <w:rsid w:val="0031536C"/>
    <w:rsid w:val="003154B4"/>
    <w:rsid w:val="0031551B"/>
    <w:rsid w:val="0031551C"/>
    <w:rsid w:val="00315584"/>
    <w:rsid w:val="00315711"/>
    <w:rsid w:val="0031580F"/>
    <w:rsid w:val="00315BD9"/>
    <w:rsid w:val="00315C1B"/>
    <w:rsid w:val="00315C4E"/>
    <w:rsid w:val="00315CB6"/>
    <w:rsid w:val="003160B4"/>
    <w:rsid w:val="003160C0"/>
    <w:rsid w:val="00316409"/>
    <w:rsid w:val="0031646D"/>
    <w:rsid w:val="003164AA"/>
    <w:rsid w:val="0031650E"/>
    <w:rsid w:val="003165E0"/>
    <w:rsid w:val="00316629"/>
    <w:rsid w:val="00316668"/>
    <w:rsid w:val="00316715"/>
    <w:rsid w:val="003167E6"/>
    <w:rsid w:val="00316834"/>
    <w:rsid w:val="00316933"/>
    <w:rsid w:val="00316944"/>
    <w:rsid w:val="00316AB6"/>
    <w:rsid w:val="00316AF3"/>
    <w:rsid w:val="00316B33"/>
    <w:rsid w:val="00316BD5"/>
    <w:rsid w:val="00316BF8"/>
    <w:rsid w:val="00316F37"/>
    <w:rsid w:val="00316F38"/>
    <w:rsid w:val="003170DB"/>
    <w:rsid w:val="003170E7"/>
    <w:rsid w:val="00317118"/>
    <w:rsid w:val="00317119"/>
    <w:rsid w:val="003174EB"/>
    <w:rsid w:val="00317535"/>
    <w:rsid w:val="00317583"/>
    <w:rsid w:val="003175A0"/>
    <w:rsid w:val="00317666"/>
    <w:rsid w:val="0031767A"/>
    <w:rsid w:val="003176A2"/>
    <w:rsid w:val="00317703"/>
    <w:rsid w:val="00317714"/>
    <w:rsid w:val="00317741"/>
    <w:rsid w:val="003178E0"/>
    <w:rsid w:val="00317911"/>
    <w:rsid w:val="003179A4"/>
    <w:rsid w:val="003179EA"/>
    <w:rsid w:val="00317B50"/>
    <w:rsid w:val="00317DA8"/>
    <w:rsid w:val="00317E18"/>
    <w:rsid w:val="00317E1F"/>
    <w:rsid w:val="00317EC4"/>
    <w:rsid w:val="00317F10"/>
    <w:rsid w:val="00320045"/>
    <w:rsid w:val="0032013D"/>
    <w:rsid w:val="00320171"/>
    <w:rsid w:val="00320174"/>
    <w:rsid w:val="003201C2"/>
    <w:rsid w:val="0032022B"/>
    <w:rsid w:val="00320288"/>
    <w:rsid w:val="003203EA"/>
    <w:rsid w:val="0032042A"/>
    <w:rsid w:val="003204F8"/>
    <w:rsid w:val="00320573"/>
    <w:rsid w:val="003206DC"/>
    <w:rsid w:val="00320701"/>
    <w:rsid w:val="0032078C"/>
    <w:rsid w:val="0032080F"/>
    <w:rsid w:val="003209DC"/>
    <w:rsid w:val="00320A3E"/>
    <w:rsid w:val="00320A58"/>
    <w:rsid w:val="00320B19"/>
    <w:rsid w:val="00320B57"/>
    <w:rsid w:val="00320C10"/>
    <w:rsid w:val="00320C30"/>
    <w:rsid w:val="00320C44"/>
    <w:rsid w:val="00320C94"/>
    <w:rsid w:val="00320CE0"/>
    <w:rsid w:val="00320D0A"/>
    <w:rsid w:val="003210EA"/>
    <w:rsid w:val="00321129"/>
    <w:rsid w:val="00321140"/>
    <w:rsid w:val="0032118F"/>
    <w:rsid w:val="00321191"/>
    <w:rsid w:val="00321285"/>
    <w:rsid w:val="003212E4"/>
    <w:rsid w:val="00321377"/>
    <w:rsid w:val="00321382"/>
    <w:rsid w:val="003214A9"/>
    <w:rsid w:val="00321612"/>
    <w:rsid w:val="0032163C"/>
    <w:rsid w:val="0032163E"/>
    <w:rsid w:val="003216A6"/>
    <w:rsid w:val="003216BD"/>
    <w:rsid w:val="003217C6"/>
    <w:rsid w:val="00321A0C"/>
    <w:rsid w:val="00321A3E"/>
    <w:rsid w:val="00321AB4"/>
    <w:rsid w:val="00321AD9"/>
    <w:rsid w:val="00321B0C"/>
    <w:rsid w:val="00321E42"/>
    <w:rsid w:val="00321E6B"/>
    <w:rsid w:val="00321E71"/>
    <w:rsid w:val="00321EC4"/>
    <w:rsid w:val="00321F32"/>
    <w:rsid w:val="00321FF4"/>
    <w:rsid w:val="00322128"/>
    <w:rsid w:val="00322173"/>
    <w:rsid w:val="0032217C"/>
    <w:rsid w:val="003221F2"/>
    <w:rsid w:val="0032227B"/>
    <w:rsid w:val="0032232B"/>
    <w:rsid w:val="00322482"/>
    <w:rsid w:val="003224DE"/>
    <w:rsid w:val="003226E3"/>
    <w:rsid w:val="00322754"/>
    <w:rsid w:val="00322826"/>
    <w:rsid w:val="00322847"/>
    <w:rsid w:val="00322AA8"/>
    <w:rsid w:val="00322AC9"/>
    <w:rsid w:val="00322B02"/>
    <w:rsid w:val="00322B32"/>
    <w:rsid w:val="00322CA8"/>
    <w:rsid w:val="00322CBC"/>
    <w:rsid w:val="00322CC4"/>
    <w:rsid w:val="00322D06"/>
    <w:rsid w:val="00322D88"/>
    <w:rsid w:val="00322EEC"/>
    <w:rsid w:val="00322F2E"/>
    <w:rsid w:val="00323296"/>
    <w:rsid w:val="003232C9"/>
    <w:rsid w:val="003232FC"/>
    <w:rsid w:val="003233DE"/>
    <w:rsid w:val="00323446"/>
    <w:rsid w:val="003234E2"/>
    <w:rsid w:val="00323778"/>
    <w:rsid w:val="0032381F"/>
    <w:rsid w:val="003238CB"/>
    <w:rsid w:val="00323989"/>
    <w:rsid w:val="0032398A"/>
    <w:rsid w:val="003239E7"/>
    <w:rsid w:val="00323AD3"/>
    <w:rsid w:val="00323B94"/>
    <w:rsid w:val="00323E0D"/>
    <w:rsid w:val="00323E10"/>
    <w:rsid w:val="00323FA2"/>
    <w:rsid w:val="0032417C"/>
    <w:rsid w:val="003242A3"/>
    <w:rsid w:val="003244B8"/>
    <w:rsid w:val="00324517"/>
    <w:rsid w:val="00324586"/>
    <w:rsid w:val="003245D3"/>
    <w:rsid w:val="003245F1"/>
    <w:rsid w:val="0032466B"/>
    <w:rsid w:val="003247AE"/>
    <w:rsid w:val="003247C3"/>
    <w:rsid w:val="00324819"/>
    <w:rsid w:val="003249C2"/>
    <w:rsid w:val="003249FC"/>
    <w:rsid w:val="00324A6F"/>
    <w:rsid w:val="00324B76"/>
    <w:rsid w:val="00324C15"/>
    <w:rsid w:val="00324D8F"/>
    <w:rsid w:val="00324DBD"/>
    <w:rsid w:val="00324E93"/>
    <w:rsid w:val="00324EFF"/>
    <w:rsid w:val="00325009"/>
    <w:rsid w:val="0032501D"/>
    <w:rsid w:val="003250F6"/>
    <w:rsid w:val="00325137"/>
    <w:rsid w:val="00325234"/>
    <w:rsid w:val="003253B9"/>
    <w:rsid w:val="003254CA"/>
    <w:rsid w:val="003256BF"/>
    <w:rsid w:val="00325870"/>
    <w:rsid w:val="00325B02"/>
    <w:rsid w:val="00325C3A"/>
    <w:rsid w:val="00325C4F"/>
    <w:rsid w:val="00325D79"/>
    <w:rsid w:val="00325D85"/>
    <w:rsid w:val="00325DCB"/>
    <w:rsid w:val="00325E0F"/>
    <w:rsid w:val="00325EAD"/>
    <w:rsid w:val="00325F13"/>
    <w:rsid w:val="00325F74"/>
    <w:rsid w:val="00326014"/>
    <w:rsid w:val="003260B5"/>
    <w:rsid w:val="003261A0"/>
    <w:rsid w:val="003261B4"/>
    <w:rsid w:val="00326299"/>
    <w:rsid w:val="003262C4"/>
    <w:rsid w:val="0032631E"/>
    <w:rsid w:val="003263E0"/>
    <w:rsid w:val="00326554"/>
    <w:rsid w:val="0032656F"/>
    <w:rsid w:val="00326593"/>
    <w:rsid w:val="00326616"/>
    <w:rsid w:val="0032678A"/>
    <w:rsid w:val="0032678E"/>
    <w:rsid w:val="003267E2"/>
    <w:rsid w:val="003267EE"/>
    <w:rsid w:val="00326AD5"/>
    <w:rsid w:val="00326B04"/>
    <w:rsid w:val="00326C41"/>
    <w:rsid w:val="00326DED"/>
    <w:rsid w:val="00326E41"/>
    <w:rsid w:val="00326E51"/>
    <w:rsid w:val="00326E6C"/>
    <w:rsid w:val="00326F53"/>
    <w:rsid w:val="00326FCE"/>
    <w:rsid w:val="00327100"/>
    <w:rsid w:val="0032721B"/>
    <w:rsid w:val="003272CA"/>
    <w:rsid w:val="003273C2"/>
    <w:rsid w:val="00327508"/>
    <w:rsid w:val="00327584"/>
    <w:rsid w:val="003275F8"/>
    <w:rsid w:val="0032767E"/>
    <w:rsid w:val="0032776C"/>
    <w:rsid w:val="00327871"/>
    <w:rsid w:val="003278A6"/>
    <w:rsid w:val="003278B1"/>
    <w:rsid w:val="00327954"/>
    <w:rsid w:val="00327B97"/>
    <w:rsid w:val="00327BCA"/>
    <w:rsid w:val="00327BCC"/>
    <w:rsid w:val="00327CA6"/>
    <w:rsid w:val="00327EB4"/>
    <w:rsid w:val="00327F24"/>
    <w:rsid w:val="003298B6"/>
    <w:rsid w:val="0033004B"/>
    <w:rsid w:val="00330068"/>
    <w:rsid w:val="0033006F"/>
    <w:rsid w:val="0033010B"/>
    <w:rsid w:val="00330119"/>
    <w:rsid w:val="00330276"/>
    <w:rsid w:val="003302F6"/>
    <w:rsid w:val="00330567"/>
    <w:rsid w:val="00330713"/>
    <w:rsid w:val="00330867"/>
    <w:rsid w:val="003308DB"/>
    <w:rsid w:val="00330951"/>
    <w:rsid w:val="00330A51"/>
    <w:rsid w:val="00330A67"/>
    <w:rsid w:val="00330C81"/>
    <w:rsid w:val="00330C93"/>
    <w:rsid w:val="00330F02"/>
    <w:rsid w:val="00330F5B"/>
    <w:rsid w:val="0033104E"/>
    <w:rsid w:val="003310A1"/>
    <w:rsid w:val="003311FC"/>
    <w:rsid w:val="0033138D"/>
    <w:rsid w:val="003313D0"/>
    <w:rsid w:val="00331744"/>
    <w:rsid w:val="0033180E"/>
    <w:rsid w:val="003318AE"/>
    <w:rsid w:val="003318E2"/>
    <w:rsid w:val="00331915"/>
    <w:rsid w:val="00331918"/>
    <w:rsid w:val="00331944"/>
    <w:rsid w:val="003319BC"/>
    <w:rsid w:val="00331B24"/>
    <w:rsid w:val="00331C58"/>
    <w:rsid w:val="00331D0F"/>
    <w:rsid w:val="00331E26"/>
    <w:rsid w:val="0033205E"/>
    <w:rsid w:val="0033212F"/>
    <w:rsid w:val="0033229F"/>
    <w:rsid w:val="003322B3"/>
    <w:rsid w:val="003322C7"/>
    <w:rsid w:val="00332399"/>
    <w:rsid w:val="00332597"/>
    <w:rsid w:val="003325A4"/>
    <w:rsid w:val="0033260E"/>
    <w:rsid w:val="00332686"/>
    <w:rsid w:val="003326A2"/>
    <w:rsid w:val="003326BF"/>
    <w:rsid w:val="003326E6"/>
    <w:rsid w:val="0033288D"/>
    <w:rsid w:val="0033298A"/>
    <w:rsid w:val="00332ABE"/>
    <w:rsid w:val="00332B0F"/>
    <w:rsid w:val="00332B39"/>
    <w:rsid w:val="00332B73"/>
    <w:rsid w:val="00332D56"/>
    <w:rsid w:val="00332D7F"/>
    <w:rsid w:val="00332E5A"/>
    <w:rsid w:val="00332E5C"/>
    <w:rsid w:val="0033304E"/>
    <w:rsid w:val="003330EB"/>
    <w:rsid w:val="00333100"/>
    <w:rsid w:val="003331A0"/>
    <w:rsid w:val="003331AD"/>
    <w:rsid w:val="003331D2"/>
    <w:rsid w:val="003332CB"/>
    <w:rsid w:val="003332DC"/>
    <w:rsid w:val="0033330E"/>
    <w:rsid w:val="0033394F"/>
    <w:rsid w:val="0033398B"/>
    <w:rsid w:val="00333994"/>
    <w:rsid w:val="00333A8A"/>
    <w:rsid w:val="00333CDF"/>
    <w:rsid w:val="00333D70"/>
    <w:rsid w:val="00333EC7"/>
    <w:rsid w:val="00334046"/>
    <w:rsid w:val="00334156"/>
    <w:rsid w:val="003342AE"/>
    <w:rsid w:val="00334366"/>
    <w:rsid w:val="0033447B"/>
    <w:rsid w:val="003345C3"/>
    <w:rsid w:val="003347FD"/>
    <w:rsid w:val="003348B9"/>
    <w:rsid w:val="00334AB8"/>
    <w:rsid w:val="00334F46"/>
    <w:rsid w:val="00334FFE"/>
    <w:rsid w:val="00335030"/>
    <w:rsid w:val="00335080"/>
    <w:rsid w:val="003350A3"/>
    <w:rsid w:val="003351C3"/>
    <w:rsid w:val="003351E0"/>
    <w:rsid w:val="0033529F"/>
    <w:rsid w:val="00335327"/>
    <w:rsid w:val="0033549D"/>
    <w:rsid w:val="00335600"/>
    <w:rsid w:val="0033563A"/>
    <w:rsid w:val="0033587A"/>
    <w:rsid w:val="00335995"/>
    <w:rsid w:val="00335A5E"/>
    <w:rsid w:val="00335B4D"/>
    <w:rsid w:val="00335D94"/>
    <w:rsid w:val="00335E0F"/>
    <w:rsid w:val="00335EDC"/>
    <w:rsid w:val="00335F50"/>
    <w:rsid w:val="00335FBF"/>
    <w:rsid w:val="00335FDE"/>
    <w:rsid w:val="00336014"/>
    <w:rsid w:val="00336029"/>
    <w:rsid w:val="00336171"/>
    <w:rsid w:val="003361B8"/>
    <w:rsid w:val="00336203"/>
    <w:rsid w:val="003362FB"/>
    <w:rsid w:val="0033641F"/>
    <w:rsid w:val="00336428"/>
    <w:rsid w:val="00336482"/>
    <w:rsid w:val="003364E6"/>
    <w:rsid w:val="00336592"/>
    <w:rsid w:val="003365BE"/>
    <w:rsid w:val="00336657"/>
    <w:rsid w:val="003366C8"/>
    <w:rsid w:val="00336769"/>
    <w:rsid w:val="003367A9"/>
    <w:rsid w:val="003367ED"/>
    <w:rsid w:val="00336806"/>
    <w:rsid w:val="00336855"/>
    <w:rsid w:val="00336A08"/>
    <w:rsid w:val="00336A5B"/>
    <w:rsid w:val="00336C44"/>
    <w:rsid w:val="00336D0B"/>
    <w:rsid w:val="00336D7B"/>
    <w:rsid w:val="00336E2B"/>
    <w:rsid w:val="00336E63"/>
    <w:rsid w:val="00336ED3"/>
    <w:rsid w:val="00336F1D"/>
    <w:rsid w:val="00336F5C"/>
    <w:rsid w:val="00336F8F"/>
    <w:rsid w:val="00336FC9"/>
    <w:rsid w:val="00337006"/>
    <w:rsid w:val="00337320"/>
    <w:rsid w:val="00337349"/>
    <w:rsid w:val="00337405"/>
    <w:rsid w:val="0033746B"/>
    <w:rsid w:val="003374C6"/>
    <w:rsid w:val="00337506"/>
    <w:rsid w:val="00337688"/>
    <w:rsid w:val="00337696"/>
    <w:rsid w:val="00337778"/>
    <w:rsid w:val="0033782C"/>
    <w:rsid w:val="00337A16"/>
    <w:rsid w:val="00337A88"/>
    <w:rsid w:val="00337C14"/>
    <w:rsid w:val="00337C8C"/>
    <w:rsid w:val="00337DD5"/>
    <w:rsid w:val="00337F0A"/>
    <w:rsid w:val="00337F2A"/>
    <w:rsid w:val="00337F47"/>
    <w:rsid w:val="00337FE0"/>
    <w:rsid w:val="00340077"/>
    <w:rsid w:val="0034017D"/>
    <w:rsid w:val="00340201"/>
    <w:rsid w:val="003402F8"/>
    <w:rsid w:val="0034031A"/>
    <w:rsid w:val="0034040F"/>
    <w:rsid w:val="00340502"/>
    <w:rsid w:val="0034055F"/>
    <w:rsid w:val="003406E4"/>
    <w:rsid w:val="003407F7"/>
    <w:rsid w:val="00340866"/>
    <w:rsid w:val="00340933"/>
    <w:rsid w:val="00340A00"/>
    <w:rsid w:val="00340A93"/>
    <w:rsid w:val="00340ABF"/>
    <w:rsid w:val="00340AFB"/>
    <w:rsid w:val="00340AFF"/>
    <w:rsid w:val="00340B4D"/>
    <w:rsid w:val="00340BBC"/>
    <w:rsid w:val="00340BD0"/>
    <w:rsid w:val="00340D03"/>
    <w:rsid w:val="00340E2B"/>
    <w:rsid w:val="00341039"/>
    <w:rsid w:val="00341088"/>
    <w:rsid w:val="00341132"/>
    <w:rsid w:val="00341185"/>
    <w:rsid w:val="003411E0"/>
    <w:rsid w:val="00341255"/>
    <w:rsid w:val="003412B9"/>
    <w:rsid w:val="0034133E"/>
    <w:rsid w:val="0034139F"/>
    <w:rsid w:val="003413AF"/>
    <w:rsid w:val="003413FE"/>
    <w:rsid w:val="00341417"/>
    <w:rsid w:val="00341421"/>
    <w:rsid w:val="003414EE"/>
    <w:rsid w:val="003415FD"/>
    <w:rsid w:val="00341706"/>
    <w:rsid w:val="0034179D"/>
    <w:rsid w:val="003417C4"/>
    <w:rsid w:val="00341A63"/>
    <w:rsid w:val="00341B0B"/>
    <w:rsid w:val="00341CDD"/>
    <w:rsid w:val="00341CE5"/>
    <w:rsid w:val="00341DD7"/>
    <w:rsid w:val="00341E06"/>
    <w:rsid w:val="00341E98"/>
    <w:rsid w:val="00341EA4"/>
    <w:rsid w:val="00341EB4"/>
    <w:rsid w:val="00341F20"/>
    <w:rsid w:val="00341F4F"/>
    <w:rsid w:val="00341F73"/>
    <w:rsid w:val="00341F7A"/>
    <w:rsid w:val="00341FC1"/>
    <w:rsid w:val="00342139"/>
    <w:rsid w:val="003421CA"/>
    <w:rsid w:val="003422C0"/>
    <w:rsid w:val="00342331"/>
    <w:rsid w:val="003423ED"/>
    <w:rsid w:val="003425B3"/>
    <w:rsid w:val="00342601"/>
    <w:rsid w:val="0034291E"/>
    <w:rsid w:val="00342965"/>
    <w:rsid w:val="003429F0"/>
    <w:rsid w:val="003429FB"/>
    <w:rsid w:val="00342A33"/>
    <w:rsid w:val="00342A5F"/>
    <w:rsid w:val="00342BA3"/>
    <w:rsid w:val="00342D59"/>
    <w:rsid w:val="00342DBF"/>
    <w:rsid w:val="00342E17"/>
    <w:rsid w:val="00342E2C"/>
    <w:rsid w:val="00342E7F"/>
    <w:rsid w:val="00342F6F"/>
    <w:rsid w:val="00343138"/>
    <w:rsid w:val="00343139"/>
    <w:rsid w:val="003431CA"/>
    <w:rsid w:val="003432D4"/>
    <w:rsid w:val="00343468"/>
    <w:rsid w:val="00343522"/>
    <w:rsid w:val="00343527"/>
    <w:rsid w:val="00343823"/>
    <w:rsid w:val="0034388C"/>
    <w:rsid w:val="003438D5"/>
    <w:rsid w:val="00343936"/>
    <w:rsid w:val="003439F3"/>
    <w:rsid w:val="00343AE0"/>
    <w:rsid w:val="00343AEC"/>
    <w:rsid w:val="00343AF0"/>
    <w:rsid w:val="00343C6E"/>
    <w:rsid w:val="00343EE2"/>
    <w:rsid w:val="0034404D"/>
    <w:rsid w:val="003440AB"/>
    <w:rsid w:val="003440E5"/>
    <w:rsid w:val="00344108"/>
    <w:rsid w:val="00344135"/>
    <w:rsid w:val="00344347"/>
    <w:rsid w:val="00344394"/>
    <w:rsid w:val="003443F5"/>
    <w:rsid w:val="00344405"/>
    <w:rsid w:val="003444C8"/>
    <w:rsid w:val="0034451D"/>
    <w:rsid w:val="003447A7"/>
    <w:rsid w:val="00344816"/>
    <w:rsid w:val="0034482B"/>
    <w:rsid w:val="003448B1"/>
    <w:rsid w:val="003449B0"/>
    <w:rsid w:val="003449F5"/>
    <w:rsid w:val="00344A00"/>
    <w:rsid w:val="00344AAA"/>
    <w:rsid w:val="00344BD1"/>
    <w:rsid w:val="00344D26"/>
    <w:rsid w:val="00344D88"/>
    <w:rsid w:val="00344DBC"/>
    <w:rsid w:val="00344FCE"/>
    <w:rsid w:val="00344FF6"/>
    <w:rsid w:val="0034506D"/>
    <w:rsid w:val="00345133"/>
    <w:rsid w:val="00345165"/>
    <w:rsid w:val="0034519A"/>
    <w:rsid w:val="003451A1"/>
    <w:rsid w:val="003451BD"/>
    <w:rsid w:val="003451FF"/>
    <w:rsid w:val="00345211"/>
    <w:rsid w:val="003453AD"/>
    <w:rsid w:val="0034544D"/>
    <w:rsid w:val="00345466"/>
    <w:rsid w:val="00345528"/>
    <w:rsid w:val="00345534"/>
    <w:rsid w:val="0034555F"/>
    <w:rsid w:val="0034556A"/>
    <w:rsid w:val="00345625"/>
    <w:rsid w:val="0034576A"/>
    <w:rsid w:val="003458D5"/>
    <w:rsid w:val="003459DD"/>
    <w:rsid w:val="00345A29"/>
    <w:rsid w:val="00345A82"/>
    <w:rsid w:val="00345AA4"/>
    <w:rsid w:val="00345BCA"/>
    <w:rsid w:val="00345D80"/>
    <w:rsid w:val="00345F62"/>
    <w:rsid w:val="00345FA3"/>
    <w:rsid w:val="00345FEF"/>
    <w:rsid w:val="003460FE"/>
    <w:rsid w:val="0034616A"/>
    <w:rsid w:val="0034619B"/>
    <w:rsid w:val="00346271"/>
    <w:rsid w:val="00346330"/>
    <w:rsid w:val="0034635C"/>
    <w:rsid w:val="00346378"/>
    <w:rsid w:val="003464A9"/>
    <w:rsid w:val="0034657D"/>
    <w:rsid w:val="003465C3"/>
    <w:rsid w:val="003465FE"/>
    <w:rsid w:val="003466A7"/>
    <w:rsid w:val="0034671A"/>
    <w:rsid w:val="0034679F"/>
    <w:rsid w:val="00346890"/>
    <w:rsid w:val="003469CD"/>
    <w:rsid w:val="00346A93"/>
    <w:rsid w:val="00346AA1"/>
    <w:rsid w:val="00346B1D"/>
    <w:rsid w:val="00346B45"/>
    <w:rsid w:val="00346BB4"/>
    <w:rsid w:val="00346D31"/>
    <w:rsid w:val="00346E65"/>
    <w:rsid w:val="00346F3D"/>
    <w:rsid w:val="00346F8E"/>
    <w:rsid w:val="003470B2"/>
    <w:rsid w:val="003470BF"/>
    <w:rsid w:val="00347178"/>
    <w:rsid w:val="0034717A"/>
    <w:rsid w:val="00347199"/>
    <w:rsid w:val="00347212"/>
    <w:rsid w:val="0034729D"/>
    <w:rsid w:val="00347328"/>
    <w:rsid w:val="00347446"/>
    <w:rsid w:val="0034746F"/>
    <w:rsid w:val="003474CF"/>
    <w:rsid w:val="00347606"/>
    <w:rsid w:val="0034773C"/>
    <w:rsid w:val="00347822"/>
    <w:rsid w:val="00347859"/>
    <w:rsid w:val="0034787D"/>
    <w:rsid w:val="00347912"/>
    <w:rsid w:val="00347969"/>
    <w:rsid w:val="00347999"/>
    <w:rsid w:val="00347B24"/>
    <w:rsid w:val="00347B98"/>
    <w:rsid w:val="00347BE5"/>
    <w:rsid w:val="00347C07"/>
    <w:rsid w:val="0035006A"/>
    <w:rsid w:val="003500E0"/>
    <w:rsid w:val="003500E2"/>
    <w:rsid w:val="00350200"/>
    <w:rsid w:val="00350232"/>
    <w:rsid w:val="00350266"/>
    <w:rsid w:val="00350349"/>
    <w:rsid w:val="0035045E"/>
    <w:rsid w:val="0035045F"/>
    <w:rsid w:val="0035047C"/>
    <w:rsid w:val="00350493"/>
    <w:rsid w:val="00350668"/>
    <w:rsid w:val="003506E0"/>
    <w:rsid w:val="00350712"/>
    <w:rsid w:val="0035084E"/>
    <w:rsid w:val="0035097A"/>
    <w:rsid w:val="0035097E"/>
    <w:rsid w:val="00350A52"/>
    <w:rsid w:val="00350A55"/>
    <w:rsid w:val="00350AF0"/>
    <w:rsid w:val="00350AF1"/>
    <w:rsid w:val="00350C60"/>
    <w:rsid w:val="00350CEF"/>
    <w:rsid w:val="00350D25"/>
    <w:rsid w:val="00350D8B"/>
    <w:rsid w:val="00350DB2"/>
    <w:rsid w:val="00350EE3"/>
    <w:rsid w:val="003511D7"/>
    <w:rsid w:val="0035121B"/>
    <w:rsid w:val="0035129E"/>
    <w:rsid w:val="00351680"/>
    <w:rsid w:val="003518C9"/>
    <w:rsid w:val="003519AC"/>
    <w:rsid w:val="00351A8E"/>
    <w:rsid w:val="00351C45"/>
    <w:rsid w:val="00351CE7"/>
    <w:rsid w:val="00351DF4"/>
    <w:rsid w:val="00351E1C"/>
    <w:rsid w:val="00351EA3"/>
    <w:rsid w:val="0035217B"/>
    <w:rsid w:val="003521B4"/>
    <w:rsid w:val="00352217"/>
    <w:rsid w:val="0035225B"/>
    <w:rsid w:val="003523E0"/>
    <w:rsid w:val="00352403"/>
    <w:rsid w:val="0035242E"/>
    <w:rsid w:val="0035243B"/>
    <w:rsid w:val="0035249B"/>
    <w:rsid w:val="0035256F"/>
    <w:rsid w:val="00352664"/>
    <w:rsid w:val="003526AB"/>
    <w:rsid w:val="003526F7"/>
    <w:rsid w:val="0035272C"/>
    <w:rsid w:val="00352740"/>
    <w:rsid w:val="003527A5"/>
    <w:rsid w:val="003527FE"/>
    <w:rsid w:val="003528DE"/>
    <w:rsid w:val="00352A3B"/>
    <w:rsid w:val="00352A55"/>
    <w:rsid w:val="00352B93"/>
    <w:rsid w:val="00352C81"/>
    <w:rsid w:val="00352DEE"/>
    <w:rsid w:val="00352E48"/>
    <w:rsid w:val="00352EA8"/>
    <w:rsid w:val="00352ECE"/>
    <w:rsid w:val="00352ED1"/>
    <w:rsid w:val="00352F60"/>
    <w:rsid w:val="0035307D"/>
    <w:rsid w:val="003530D4"/>
    <w:rsid w:val="00353239"/>
    <w:rsid w:val="00353403"/>
    <w:rsid w:val="003538A3"/>
    <w:rsid w:val="003538F4"/>
    <w:rsid w:val="003539B7"/>
    <w:rsid w:val="00353A6B"/>
    <w:rsid w:val="00353A81"/>
    <w:rsid w:val="00353B90"/>
    <w:rsid w:val="00353EF6"/>
    <w:rsid w:val="00353F32"/>
    <w:rsid w:val="00353FF3"/>
    <w:rsid w:val="0035406C"/>
    <w:rsid w:val="003540A4"/>
    <w:rsid w:val="003540AE"/>
    <w:rsid w:val="0035415D"/>
    <w:rsid w:val="003542BB"/>
    <w:rsid w:val="003544C2"/>
    <w:rsid w:val="00354583"/>
    <w:rsid w:val="003545D3"/>
    <w:rsid w:val="00354625"/>
    <w:rsid w:val="0035462D"/>
    <w:rsid w:val="00354692"/>
    <w:rsid w:val="003546DA"/>
    <w:rsid w:val="003547A8"/>
    <w:rsid w:val="0035481A"/>
    <w:rsid w:val="0035484A"/>
    <w:rsid w:val="00354868"/>
    <w:rsid w:val="003549DB"/>
    <w:rsid w:val="00354A36"/>
    <w:rsid w:val="00354A7B"/>
    <w:rsid w:val="00354AA3"/>
    <w:rsid w:val="00354C49"/>
    <w:rsid w:val="00354CD9"/>
    <w:rsid w:val="00354CDB"/>
    <w:rsid w:val="00354F46"/>
    <w:rsid w:val="0035501E"/>
    <w:rsid w:val="003550A6"/>
    <w:rsid w:val="003551F9"/>
    <w:rsid w:val="0035546C"/>
    <w:rsid w:val="00355533"/>
    <w:rsid w:val="003556CD"/>
    <w:rsid w:val="003556D7"/>
    <w:rsid w:val="003556E9"/>
    <w:rsid w:val="0035588A"/>
    <w:rsid w:val="003558BC"/>
    <w:rsid w:val="0035593B"/>
    <w:rsid w:val="00355A4C"/>
    <w:rsid w:val="00355ACC"/>
    <w:rsid w:val="00355C1A"/>
    <w:rsid w:val="00355CA9"/>
    <w:rsid w:val="00355D73"/>
    <w:rsid w:val="00355DCC"/>
    <w:rsid w:val="00355EF5"/>
    <w:rsid w:val="00355F63"/>
    <w:rsid w:val="003561EF"/>
    <w:rsid w:val="0035635A"/>
    <w:rsid w:val="00356382"/>
    <w:rsid w:val="00356444"/>
    <w:rsid w:val="003564BA"/>
    <w:rsid w:val="0035669D"/>
    <w:rsid w:val="003566A3"/>
    <w:rsid w:val="003566B4"/>
    <w:rsid w:val="00356744"/>
    <w:rsid w:val="00356800"/>
    <w:rsid w:val="003568B0"/>
    <w:rsid w:val="00356952"/>
    <w:rsid w:val="0035697D"/>
    <w:rsid w:val="00356A3C"/>
    <w:rsid w:val="00356CB1"/>
    <w:rsid w:val="00356D63"/>
    <w:rsid w:val="00356F21"/>
    <w:rsid w:val="0035701C"/>
    <w:rsid w:val="00357496"/>
    <w:rsid w:val="003574D6"/>
    <w:rsid w:val="00357566"/>
    <w:rsid w:val="00357731"/>
    <w:rsid w:val="00357832"/>
    <w:rsid w:val="003578C1"/>
    <w:rsid w:val="00357A66"/>
    <w:rsid w:val="00357BCC"/>
    <w:rsid w:val="00357D4D"/>
    <w:rsid w:val="00357F21"/>
    <w:rsid w:val="00357F51"/>
    <w:rsid w:val="00357F83"/>
    <w:rsid w:val="0036000A"/>
    <w:rsid w:val="00360016"/>
    <w:rsid w:val="003601D9"/>
    <w:rsid w:val="00360259"/>
    <w:rsid w:val="003603DB"/>
    <w:rsid w:val="0036043B"/>
    <w:rsid w:val="0036059E"/>
    <w:rsid w:val="003606AF"/>
    <w:rsid w:val="00360702"/>
    <w:rsid w:val="00360819"/>
    <w:rsid w:val="00360920"/>
    <w:rsid w:val="00360BD0"/>
    <w:rsid w:val="00360BDD"/>
    <w:rsid w:val="00360C38"/>
    <w:rsid w:val="00360C46"/>
    <w:rsid w:val="00360C96"/>
    <w:rsid w:val="00360CB6"/>
    <w:rsid w:val="00360D06"/>
    <w:rsid w:val="00360D3C"/>
    <w:rsid w:val="00360E4E"/>
    <w:rsid w:val="00360EA6"/>
    <w:rsid w:val="00360ED5"/>
    <w:rsid w:val="00360F03"/>
    <w:rsid w:val="00360F2A"/>
    <w:rsid w:val="00361164"/>
    <w:rsid w:val="003611BA"/>
    <w:rsid w:val="00361289"/>
    <w:rsid w:val="00361383"/>
    <w:rsid w:val="003614FD"/>
    <w:rsid w:val="003615C7"/>
    <w:rsid w:val="0036170E"/>
    <w:rsid w:val="00361739"/>
    <w:rsid w:val="003618C0"/>
    <w:rsid w:val="0036199D"/>
    <w:rsid w:val="003619CD"/>
    <w:rsid w:val="00361A4C"/>
    <w:rsid w:val="00361BCC"/>
    <w:rsid w:val="00361D39"/>
    <w:rsid w:val="0036211C"/>
    <w:rsid w:val="003621A5"/>
    <w:rsid w:val="003623B0"/>
    <w:rsid w:val="0036243A"/>
    <w:rsid w:val="003624BB"/>
    <w:rsid w:val="00362535"/>
    <w:rsid w:val="00362549"/>
    <w:rsid w:val="00362796"/>
    <w:rsid w:val="003627F1"/>
    <w:rsid w:val="0036282F"/>
    <w:rsid w:val="0036290D"/>
    <w:rsid w:val="00362987"/>
    <w:rsid w:val="003629BD"/>
    <w:rsid w:val="00362C88"/>
    <w:rsid w:val="00362D76"/>
    <w:rsid w:val="00362DB2"/>
    <w:rsid w:val="00362E2F"/>
    <w:rsid w:val="00362EC3"/>
    <w:rsid w:val="00362EFE"/>
    <w:rsid w:val="00362F70"/>
    <w:rsid w:val="00363139"/>
    <w:rsid w:val="00363227"/>
    <w:rsid w:val="003632AC"/>
    <w:rsid w:val="003632D9"/>
    <w:rsid w:val="00363320"/>
    <w:rsid w:val="00363413"/>
    <w:rsid w:val="00363491"/>
    <w:rsid w:val="00363505"/>
    <w:rsid w:val="00363517"/>
    <w:rsid w:val="00363583"/>
    <w:rsid w:val="00363598"/>
    <w:rsid w:val="0036359B"/>
    <w:rsid w:val="00363600"/>
    <w:rsid w:val="003636AD"/>
    <w:rsid w:val="0036381E"/>
    <w:rsid w:val="003638AA"/>
    <w:rsid w:val="003639A2"/>
    <w:rsid w:val="00363A3E"/>
    <w:rsid w:val="00363B5E"/>
    <w:rsid w:val="00363CF2"/>
    <w:rsid w:val="00363D7F"/>
    <w:rsid w:val="00363F3C"/>
    <w:rsid w:val="003640C6"/>
    <w:rsid w:val="0036410C"/>
    <w:rsid w:val="0036416E"/>
    <w:rsid w:val="003641B8"/>
    <w:rsid w:val="003641BC"/>
    <w:rsid w:val="00364293"/>
    <w:rsid w:val="003643E1"/>
    <w:rsid w:val="0036444C"/>
    <w:rsid w:val="0036446E"/>
    <w:rsid w:val="00364483"/>
    <w:rsid w:val="00364577"/>
    <w:rsid w:val="00364578"/>
    <w:rsid w:val="003645E4"/>
    <w:rsid w:val="0036478B"/>
    <w:rsid w:val="003647AF"/>
    <w:rsid w:val="003647C4"/>
    <w:rsid w:val="003647E0"/>
    <w:rsid w:val="00364895"/>
    <w:rsid w:val="00364996"/>
    <w:rsid w:val="003649A3"/>
    <w:rsid w:val="003649F2"/>
    <w:rsid w:val="00364B2E"/>
    <w:rsid w:val="00364B33"/>
    <w:rsid w:val="00364F48"/>
    <w:rsid w:val="00364F76"/>
    <w:rsid w:val="0036509C"/>
    <w:rsid w:val="003650BB"/>
    <w:rsid w:val="003651E2"/>
    <w:rsid w:val="0036523E"/>
    <w:rsid w:val="003652B2"/>
    <w:rsid w:val="003653CE"/>
    <w:rsid w:val="00365488"/>
    <w:rsid w:val="003654B5"/>
    <w:rsid w:val="00365628"/>
    <w:rsid w:val="00365630"/>
    <w:rsid w:val="0036564E"/>
    <w:rsid w:val="003656F6"/>
    <w:rsid w:val="0036571D"/>
    <w:rsid w:val="003657F9"/>
    <w:rsid w:val="0036597A"/>
    <w:rsid w:val="003659A0"/>
    <w:rsid w:val="00365A8D"/>
    <w:rsid w:val="00365B00"/>
    <w:rsid w:val="00365B43"/>
    <w:rsid w:val="00365BF4"/>
    <w:rsid w:val="00365C39"/>
    <w:rsid w:val="00365E73"/>
    <w:rsid w:val="00365F6B"/>
    <w:rsid w:val="00365FFC"/>
    <w:rsid w:val="00366164"/>
    <w:rsid w:val="003661E5"/>
    <w:rsid w:val="00366234"/>
    <w:rsid w:val="0036633F"/>
    <w:rsid w:val="003664B8"/>
    <w:rsid w:val="00366684"/>
    <w:rsid w:val="0036671D"/>
    <w:rsid w:val="00366777"/>
    <w:rsid w:val="00366982"/>
    <w:rsid w:val="0036698C"/>
    <w:rsid w:val="0036699A"/>
    <w:rsid w:val="003669E4"/>
    <w:rsid w:val="00366A32"/>
    <w:rsid w:val="00366A89"/>
    <w:rsid w:val="00366CC3"/>
    <w:rsid w:val="00366D05"/>
    <w:rsid w:val="00366D0C"/>
    <w:rsid w:val="00366E3E"/>
    <w:rsid w:val="00366F5E"/>
    <w:rsid w:val="00366FF7"/>
    <w:rsid w:val="00367048"/>
    <w:rsid w:val="0036707D"/>
    <w:rsid w:val="003670E2"/>
    <w:rsid w:val="003671D5"/>
    <w:rsid w:val="00367273"/>
    <w:rsid w:val="003672E5"/>
    <w:rsid w:val="00367334"/>
    <w:rsid w:val="00367351"/>
    <w:rsid w:val="00367442"/>
    <w:rsid w:val="00367494"/>
    <w:rsid w:val="003674B7"/>
    <w:rsid w:val="0036766D"/>
    <w:rsid w:val="0036779C"/>
    <w:rsid w:val="0036792A"/>
    <w:rsid w:val="00367938"/>
    <w:rsid w:val="00367B9A"/>
    <w:rsid w:val="00367C80"/>
    <w:rsid w:val="00367CA3"/>
    <w:rsid w:val="00367CA9"/>
    <w:rsid w:val="00367CB3"/>
    <w:rsid w:val="00367D5E"/>
    <w:rsid w:val="00367E3B"/>
    <w:rsid w:val="00367EAE"/>
    <w:rsid w:val="00367EAF"/>
    <w:rsid w:val="00367EE8"/>
    <w:rsid w:val="00370182"/>
    <w:rsid w:val="003701A9"/>
    <w:rsid w:val="00370307"/>
    <w:rsid w:val="00370497"/>
    <w:rsid w:val="003704C9"/>
    <w:rsid w:val="0037054F"/>
    <w:rsid w:val="003705C9"/>
    <w:rsid w:val="00370719"/>
    <w:rsid w:val="00370758"/>
    <w:rsid w:val="003707C4"/>
    <w:rsid w:val="0037081B"/>
    <w:rsid w:val="00370873"/>
    <w:rsid w:val="003708A4"/>
    <w:rsid w:val="00370985"/>
    <w:rsid w:val="00370A29"/>
    <w:rsid w:val="00370AAA"/>
    <w:rsid w:val="00370BFC"/>
    <w:rsid w:val="00370C8E"/>
    <w:rsid w:val="00370DD9"/>
    <w:rsid w:val="00370E0B"/>
    <w:rsid w:val="00370ECA"/>
    <w:rsid w:val="00370ECF"/>
    <w:rsid w:val="00370F60"/>
    <w:rsid w:val="003710DF"/>
    <w:rsid w:val="00371224"/>
    <w:rsid w:val="00371293"/>
    <w:rsid w:val="00371307"/>
    <w:rsid w:val="00371460"/>
    <w:rsid w:val="003714D1"/>
    <w:rsid w:val="00371603"/>
    <w:rsid w:val="00371684"/>
    <w:rsid w:val="00371773"/>
    <w:rsid w:val="0037179A"/>
    <w:rsid w:val="003717CE"/>
    <w:rsid w:val="003717FE"/>
    <w:rsid w:val="00371806"/>
    <w:rsid w:val="003718BD"/>
    <w:rsid w:val="00371990"/>
    <w:rsid w:val="00371A41"/>
    <w:rsid w:val="00371A6E"/>
    <w:rsid w:val="00371A75"/>
    <w:rsid w:val="00371BD1"/>
    <w:rsid w:val="00371D08"/>
    <w:rsid w:val="00371E55"/>
    <w:rsid w:val="00371F30"/>
    <w:rsid w:val="0037201B"/>
    <w:rsid w:val="003721FC"/>
    <w:rsid w:val="0037221D"/>
    <w:rsid w:val="003722B8"/>
    <w:rsid w:val="003723D2"/>
    <w:rsid w:val="00372404"/>
    <w:rsid w:val="003724D4"/>
    <w:rsid w:val="003725DC"/>
    <w:rsid w:val="003725F3"/>
    <w:rsid w:val="00372684"/>
    <w:rsid w:val="00372771"/>
    <w:rsid w:val="0037283C"/>
    <w:rsid w:val="0037285A"/>
    <w:rsid w:val="00372A93"/>
    <w:rsid w:val="00372A9D"/>
    <w:rsid w:val="00372CF1"/>
    <w:rsid w:val="00372CF5"/>
    <w:rsid w:val="00372D30"/>
    <w:rsid w:val="00372D5E"/>
    <w:rsid w:val="00372E13"/>
    <w:rsid w:val="00372FA7"/>
    <w:rsid w:val="00372FC5"/>
    <w:rsid w:val="00373146"/>
    <w:rsid w:val="003731C1"/>
    <w:rsid w:val="003732ED"/>
    <w:rsid w:val="003734D6"/>
    <w:rsid w:val="003735E1"/>
    <w:rsid w:val="0037360B"/>
    <w:rsid w:val="00373777"/>
    <w:rsid w:val="00373997"/>
    <w:rsid w:val="00373ACC"/>
    <w:rsid w:val="00373B59"/>
    <w:rsid w:val="00373C0B"/>
    <w:rsid w:val="00373E38"/>
    <w:rsid w:val="00373E5C"/>
    <w:rsid w:val="00373EFB"/>
    <w:rsid w:val="00374026"/>
    <w:rsid w:val="00374054"/>
    <w:rsid w:val="00374078"/>
    <w:rsid w:val="0037408A"/>
    <w:rsid w:val="0037411C"/>
    <w:rsid w:val="00374232"/>
    <w:rsid w:val="003742CD"/>
    <w:rsid w:val="00374337"/>
    <w:rsid w:val="00374535"/>
    <w:rsid w:val="003746DC"/>
    <w:rsid w:val="00374867"/>
    <w:rsid w:val="0037494D"/>
    <w:rsid w:val="00374980"/>
    <w:rsid w:val="00374985"/>
    <w:rsid w:val="003749AB"/>
    <w:rsid w:val="00374AE5"/>
    <w:rsid w:val="00374B66"/>
    <w:rsid w:val="00374BE2"/>
    <w:rsid w:val="00374BF8"/>
    <w:rsid w:val="00374D6A"/>
    <w:rsid w:val="00374DCF"/>
    <w:rsid w:val="00374EBC"/>
    <w:rsid w:val="0037518C"/>
    <w:rsid w:val="0037520D"/>
    <w:rsid w:val="003752A5"/>
    <w:rsid w:val="0037531A"/>
    <w:rsid w:val="00375475"/>
    <w:rsid w:val="00375635"/>
    <w:rsid w:val="00375A4E"/>
    <w:rsid w:val="00375B9B"/>
    <w:rsid w:val="00375BC4"/>
    <w:rsid w:val="00375C61"/>
    <w:rsid w:val="00375DBC"/>
    <w:rsid w:val="00375DD7"/>
    <w:rsid w:val="00375F77"/>
    <w:rsid w:val="003760CE"/>
    <w:rsid w:val="003760D7"/>
    <w:rsid w:val="00376150"/>
    <w:rsid w:val="00376179"/>
    <w:rsid w:val="00376210"/>
    <w:rsid w:val="003762AB"/>
    <w:rsid w:val="00376421"/>
    <w:rsid w:val="0037651F"/>
    <w:rsid w:val="00376568"/>
    <w:rsid w:val="003765F1"/>
    <w:rsid w:val="0037681B"/>
    <w:rsid w:val="00376850"/>
    <w:rsid w:val="003768DB"/>
    <w:rsid w:val="00376A00"/>
    <w:rsid w:val="00376AA7"/>
    <w:rsid w:val="00376ADB"/>
    <w:rsid w:val="00376AFF"/>
    <w:rsid w:val="00376B3A"/>
    <w:rsid w:val="00376B9A"/>
    <w:rsid w:val="00376C24"/>
    <w:rsid w:val="00376CC1"/>
    <w:rsid w:val="00376CCB"/>
    <w:rsid w:val="00376F3D"/>
    <w:rsid w:val="00376F8D"/>
    <w:rsid w:val="00376FB9"/>
    <w:rsid w:val="00376FF5"/>
    <w:rsid w:val="0037716B"/>
    <w:rsid w:val="003771C6"/>
    <w:rsid w:val="0037724B"/>
    <w:rsid w:val="0037731A"/>
    <w:rsid w:val="003775E7"/>
    <w:rsid w:val="00377772"/>
    <w:rsid w:val="0037778B"/>
    <w:rsid w:val="0037779A"/>
    <w:rsid w:val="003777F3"/>
    <w:rsid w:val="00377C67"/>
    <w:rsid w:val="00377CF8"/>
    <w:rsid w:val="00377DA7"/>
    <w:rsid w:val="00377EFF"/>
    <w:rsid w:val="00377FB3"/>
    <w:rsid w:val="00377FC0"/>
    <w:rsid w:val="00380038"/>
    <w:rsid w:val="0038003B"/>
    <w:rsid w:val="0038010B"/>
    <w:rsid w:val="0038018E"/>
    <w:rsid w:val="00380255"/>
    <w:rsid w:val="0038035B"/>
    <w:rsid w:val="003803AD"/>
    <w:rsid w:val="0038063A"/>
    <w:rsid w:val="0038065C"/>
    <w:rsid w:val="00380749"/>
    <w:rsid w:val="00380851"/>
    <w:rsid w:val="00380A26"/>
    <w:rsid w:val="00380A85"/>
    <w:rsid w:val="00380C6B"/>
    <w:rsid w:val="00380D10"/>
    <w:rsid w:val="00380DA5"/>
    <w:rsid w:val="00380EAC"/>
    <w:rsid w:val="00380F11"/>
    <w:rsid w:val="00380F9C"/>
    <w:rsid w:val="00380FE6"/>
    <w:rsid w:val="00381014"/>
    <w:rsid w:val="00381028"/>
    <w:rsid w:val="00381118"/>
    <w:rsid w:val="003811E6"/>
    <w:rsid w:val="0038122A"/>
    <w:rsid w:val="003812CC"/>
    <w:rsid w:val="003812EC"/>
    <w:rsid w:val="0038133D"/>
    <w:rsid w:val="0038136E"/>
    <w:rsid w:val="0038144B"/>
    <w:rsid w:val="00381478"/>
    <w:rsid w:val="003814E0"/>
    <w:rsid w:val="0038150C"/>
    <w:rsid w:val="00381517"/>
    <w:rsid w:val="003816D7"/>
    <w:rsid w:val="00381820"/>
    <w:rsid w:val="00381963"/>
    <w:rsid w:val="00381A7C"/>
    <w:rsid w:val="00381BBE"/>
    <w:rsid w:val="00381BE3"/>
    <w:rsid w:val="00381C10"/>
    <w:rsid w:val="00381E66"/>
    <w:rsid w:val="00381EEF"/>
    <w:rsid w:val="00381EF1"/>
    <w:rsid w:val="00382061"/>
    <w:rsid w:val="0038208B"/>
    <w:rsid w:val="003820E0"/>
    <w:rsid w:val="00382192"/>
    <w:rsid w:val="0038223D"/>
    <w:rsid w:val="003822A9"/>
    <w:rsid w:val="00382385"/>
    <w:rsid w:val="00382893"/>
    <w:rsid w:val="00382903"/>
    <w:rsid w:val="0038295E"/>
    <w:rsid w:val="00382A3B"/>
    <w:rsid w:val="00382A74"/>
    <w:rsid w:val="00382AF5"/>
    <w:rsid w:val="00382B2A"/>
    <w:rsid w:val="00382C3C"/>
    <w:rsid w:val="00382C85"/>
    <w:rsid w:val="00382D32"/>
    <w:rsid w:val="00382DA4"/>
    <w:rsid w:val="00382DF3"/>
    <w:rsid w:val="00383054"/>
    <w:rsid w:val="00383414"/>
    <w:rsid w:val="00383567"/>
    <w:rsid w:val="003835C7"/>
    <w:rsid w:val="00383643"/>
    <w:rsid w:val="00383886"/>
    <w:rsid w:val="003839EA"/>
    <w:rsid w:val="00383B7F"/>
    <w:rsid w:val="00383C8E"/>
    <w:rsid w:val="00383F8B"/>
    <w:rsid w:val="00384146"/>
    <w:rsid w:val="003842D8"/>
    <w:rsid w:val="0038431E"/>
    <w:rsid w:val="003843C8"/>
    <w:rsid w:val="003843D5"/>
    <w:rsid w:val="003844F9"/>
    <w:rsid w:val="0038465A"/>
    <w:rsid w:val="003846FF"/>
    <w:rsid w:val="0038470D"/>
    <w:rsid w:val="003847A4"/>
    <w:rsid w:val="0038482C"/>
    <w:rsid w:val="0038494B"/>
    <w:rsid w:val="00384998"/>
    <w:rsid w:val="00384A2D"/>
    <w:rsid w:val="00384C1C"/>
    <w:rsid w:val="00384E5D"/>
    <w:rsid w:val="00384EF0"/>
    <w:rsid w:val="00384F10"/>
    <w:rsid w:val="003851A5"/>
    <w:rsid w:val="0038525D"/>
    <w:rsid w:val="00385278"/>
    <w:rsid w:val="00385323"/>
    <w:rsid w:val="003853C0"/>
    <w:rsid w:val="00385463"/>
    <w:rsid w:val="00385612"/>
    <w:rsid w:val="00385658"/>
    <w:rsid w:val="00385679"/>
    <w:rsid w:val="003857D4"/>
    <w:rsid w:val="003857E8"/>
    <w:rsid w:val="00385901"/>
    <w:rsid w:val="00385931"/>
    <w:rsid w:val="00385963"/>
    <w:rsid w:val="00385A71"/>
    <w:rsid w:val="00385AC9"/>
    <w:rsid w:val="00385AD4"/>
    <w:rsid w:val="00385BFD"/>
    <w:rsid w:val="00385C56"/>
    <w:rsid w:val="00385CD2"/>
    <w:rsid w:val="00385D9B"/>
    <w:rsid w:val="00385DA3"/>
    <w:rsid w:val="00385E35"/>
    <w:rsid w:val="00385E57"/>
    <w:rsid w:val="00385EEE"/>
    <w:rsid w:val="00385FAE"/>
    <w:rsid w:val="0038608B"/>
    <w:rsid w:val="003860B3"/>
    <w:rsid w:val="003860F7"/>
    <w:rsid w:val="00386366"/>
    <w:rsid w:val="003864D6"/>
    <w:rsid w:val="00386756"/>
    <w:rsid w:val="00386801"/>
    <w:rsid w:val="00386948"/>
    <w:rsid w:val="00386A0C"/>
    <w:rsid w:val="00386A36"/>
    <w:rsid w:val="00386A43"/>
    <w:rsid w:val="00386AC0"/>
    <w:rsid w:val="00386B05"/>
    <w:rsid w:val="00386BA6"/>
    <w:rsid w:val="00386D63"/>
    <w:rsid w:val="00386E08"/>
    <w:rsid w:val="00386E20"/>
    <w:rsid w:val="00386E75"/>
    <w:rsid w:val="00386F17"/>
    <w:rsid w:val="00386FB3"/>
    <w:rsid w:val="0038706C"/>
    <w:rsid w:val="003871DE"/>
    <w:rsid w:val="003873B6"/>
    <w:rsid w:val="003874AD"/>
    <w:rsid w:val="003874D0"/>
    <w:rsid w:val="00387511"/>
    <w:rsid w:val="00387589"/>
    <w:rsid w:val="00387924"/>
    <w:rsid w:val="00387947"/>
    <w:rsid w:val="003879DC"/>
    <w:rsid w:val="00387A33"/>
    <w:rsid w:val="00387C13"/>
    <w:rsid w:val="00387C65"/>
    <w:rsid w:val="00387EBA"/>
    <w:rsid w:val="00387EDF"/>
    <w:rsid w:val="00387F53"/>
    <w:rsid w:val="00387FE6"/>
    <w:rsid w:val="00390121"/>
    <w:rsid w:val="0039012D"/>
    <w:rsid w:val="00390161"/>
    <w:rsid w:val="00390195"/>
    <w:rsid w:val="00390260"/>
    <w:rsid w:val="0039034B"/>
    <w:rsid w:val="00390479"/>
    <w:rsid w:val="00390547"/>
    <w:rsid w:val="003905B7"/>
    <w:rsid w:val="0039060D"/>
    <w:rsid w:val="0039069D"/>
    <w:rsid w:val="00390800"/>
    <w:rsid w:val="00390985"/>
    <w:rsid w:val="003909BB"/>
    <w:rsid w:val="00390AED"/>
    <w:rsid w:val="00390C97"/>
    <w:rsid w:val="00390F1D"/>
    <w:rsid w:val="00390FA7"/>
    <w:rsid w:val="00390FBC"/>
    <w:rsid w:val="00390FDA"/>
    <w:rsid w:val="0039111C"/>
    <w:rsid w:val="0039118A"/>
    <w:rsid w:val="00391190"/>
    <w:rsid w:val="003911A3"/>
    <w:rsid w:val="0039120D"/>
    <w:rsid w:val="00391230"/>
    <w:rsid w:val="003912A6"/>
    <w:rsid w:val="003912CB"/>
    <w:rsid w:val="0039138A"/>
    <w:rsid w:val="0039142E"/>
    <w:rsid w:val="003914B9"/>
    <w:rsid w:val="00391509"/>
    <w:rsid w:val="0039176B"/>
    <w:rsid w:val="00391858"/>
    <w:rsid w:val="00391890"/>
    <w:rsid w:val="00391A58"/>
    <w:rsid w:val="00391C1E"/>
    <w:rsid w:val="00391C4E"/>
    <w:rsid w:val="00391D11"/>
    <w:rsid w:val="00391D18"/>
    <w:rsid w:val="00391F1B"/>
    <w:rsid w:val="00391FFF"/>
    <w:rsid w:val="003920CB"/>
    <w:rsid w:val="003920D4"/>
    <w:rsid w:val="003921AE"/>
    <w:rsid w:val="0039252E"/>
    <w:rsid w:val="0039258F"/>
    <w:rsid w:val="00392614"/>
    <w:rsid w:val="003927F9"/>
    <w:rsid w:val="00392966"/>
    <w:rsid w:val="003929F7"/>
    <w:rsid w:val="00392BC1"/>
    <w:rsid w:val="00392CF1"/>
    <w:rsid w:val="00392DB1"/>
    <w:rsid w:val="00392F04"/>
    <w:rsid w:val="00392F58"/>
    <w:rsid w:val="003930BE"/>
    <w:rsid w:val="00393610"/>
    <w:rsid w:val="003936B4"/>
    <w:rsid w:val="0039370B"/>
    <w:rsid w:val="0039379A"/>
    <w:rsid w:val="0039380B"/>
    <w:rsid w:val="0039384D"/>
    <w:rsid w:val="0039384E"/>
    <w:rsid w:val="00393876"/>
    <w:rsid w:val="003938C9"/>
    <w:rsid w:val="0039395C"/>
    <w:rsid w:val="00393991"/>
    <w:rsid w:val="00393B11"/>
    <w:rsid w:val="00393CBC"/>
    <w:rsid w:val="00393CF2"/>
    <w:rsid w:val="00393DAA"/>
    <w:rsid w:val="00393DC8"/>
    <w:rsid w:val="00393E9F"/>
    <w:rsid w:val="003941F1"/>
    <w:rsid w:val="00394237"/>
    <w:rsid w:val="0039428B"/>
    <w:rsid w:val="00394306"/>
    <w:rsid w:val="0039434D"/>
    <w:rsid w:val="0039435C"/>
    <w:rsid w:val="0039440D"/>
    <w:rsid w:val="0039447A"/>
    <w:rsid w:val="003946A4"/>
    <w:rsid w:val="00394708"/>
    <w:rsid w:val="0039483C"/>
    <w:rsid w:val="00394896"/>
    <w:rsid w:val="00394946"/>
    <w:rsid w:val="00394AFD"/>
    <w:rsid w:val="00394B5B"/>
    <w:rsid w:val="00394BAC"/>
    <w:rsid w:val="00394C1B"/>
    <w:rsid w:val="00394D5A"/>
    <w:rsid w:val="00394F50"/>
    <w:rsid w:val="00395024"/>
    <w:rsid w:val="00395059"/>
    <w:rsid w:val="00395242"/>
    <w:rsid w:val="003954FA"/>
    <w:rsid w:val="003954FF"/>
    <w:rsid w:val="0039556A"/>
    <w:rsid w:val="00395676"/>
    <w:rsid w:val="003956C3"/>
    <w:rsid w:val="00395712"/>
    <w:rsid w:val="00395824"/>
    <w:rsid w:val="003958A5"/>
    <w:rsid w:val="003958DA"/>
    <w:rsid w:val="00395ABF"/>
    <w:rsid w:val="00395BA8"/>
    <w:rsid w:val="00395C23"/>
    <w:rsid w:val="00395CF8"/>
    <w:rsid w:val="00395E43"/>
    <w:rsid w:val="00396147"/>
    <w:rsid w:val="00396152"/>
    <w:rsid w:val="00396182"/>
    <w:rsid w:val="003962B7"/>
    <w:rsid w:val="003964B5"/>
    <w:rsid w:val="00396501"/>
    <w:rsid w:val="0039657F"/>
    <w:rsid w:val="003968AD"/>
    <w:rsid w:val="003968DF"/>
    <w:rsid w:val="00396B3F"/>
    <w:rsid w:val="00396B45"/>
    <w:rsid w:val="00396BA3"/>
    <w:rsid w:val="00396BB3"/>
    <w:rsid w:val="00396C04"/>
    <w:rsid w:val="00396CE1"/>
    <w:rsid w:val="00396CF8"/>
    <w:rsid w:val="00396DDD"/>
    <w:rsid w:val="00396E1F"/>
    <w:rsid w:val="00396E7D"/>
    <w:rsid w:val="00396F3F"/>
    <w:rsid w:val="00397094"/>
    <w:rsid w:val="00397104"/>
    <w:rsid w:val="003971F0"/>
    <w:rsid w:val="0039727E"/>
    <w:rsid w:val="003974BC"/>
    <w:rsid w:val="00397597"/>
    <w:rsid w:val="0039759B"/>
    <w:rsid w:val="003975CC"/>
    <w:rsid w:val="00397690"/>
    <w:rsid w:val="003976B4"/>
    <w:rsid w:val="003977FA"/>
    <w:rsid w:val="0039786E"/>
    <w:rsid w:val="003978EC"/>
    <w:rsid w:val="00397A84"/>
    <w:rsid w:val="00397BFA"/>
    <w:rsid w:val="00397C80"/>
    <w:rsid w:val="00397E66"/>
    <w:rsid w:val="00397EA0"/>
    <w:rsid w:val="003A009E"/>
    <w:rsid w:val="003A01FE"/>
    <w:rsid w:val="003A0219"/>
    <w:rsid w:val="003A026F"/>
    <w:rsid w:val="003A027B"/>
    <w:rsid w:val="003A038E"/>
    <w:rsid w:val="003A03DD"/>
    <w:rsid w:val="003A0557"/>
    <w:rsid w:val="003A05B1"/>
    <w:rsid w:val="003A06F8"/>
    <w:rsid w:val="003A077F"/>
    <w:rsid w:val="003A07D8"/>
    <w:rsid w:val="003A07DD"/>
    <w:rsid w:val="003A0852"/>
    <w:rsid w:val="003A094E"/>
    <w:rsid w:val="003A0B0D"/>
    <w:rsid w:val="003A0BA8"/>
    <w:rsid w:val="003A0C3E"/>
    <w:rsid w:val="003A0D18"/>
    <w:rsid w:val="003A0DD4"/>
    <w:rsid w:val="003A0DF1"/>
    <w:rsid w:val="003A11AF"/>
    <w:rsid w:val="003A11B9"/>
    <w:rsid w:val="003A1273"/>
    <w:rsid w:val="003A12D5"/>
    <w:rsid w:val="003A130E"/>
    <w:rsid w:val="003A161B"/>
    <w:rsid w:val="003A163A"/>
    <w:rsid w:val="003A16C3"/>
    <w:rsid w:val="003A189D"/>
    <w:rsid w:val="003A18DE"/>
    <w:rsid w:val="003A18E4"/>
    <w:rsid w:val="003A193A"/>
    <w:rsid w:val="003A197D"/>
    <w:rsid w:val="003A19D8"/>
    <w:rsid w:val="003A1ABF"/>
    <w:rsid w:val="003A1AE9"/>
    <w:rsid w:val="003A1B8E"/>
    <w:rsid w:val="003A1BBF"/>
    <w:rsid w:val="003A1BF0"/>
    <w:rsid w:val="003A1C9C"/>
    <w:rsid w:val="003A1D5C"/>
    <w:rsid w:val="003A1D88"/>
    <w:rsid w:val="003A1DA7"/>
    <w:rsid w:val="003A1F82"/>
    <w:rsid w:val="003A2034"/>
    <w:rsid w:val="003A2236"/>
    <w:rsid w:val="003A227F"/>
    <w:rsid w:val="003A2282"/>
    <w:rsid w:val="003A22AC"/>
    <w:rsid w:val="003A230E"/>
    <w:rsid w:val="003A234A"/>
    <w:rsid w:val="003A238F"/>
    <w:rsid w:val="003A26A1"/>
    <w:rsid w:val="003A2742"/>
    <w:rsid w:val="003A27B5"/>
    <w:rsid w:val="003A2944"/>
    <w:rsid w:val="003A2BBE"/>
    <w:rsid w:val="003A2BC5"/>
    <w:rsid w:val="003A2C7D"/>
    <w:rsid w:val="003A2CD0"/>
    <w:rsid w:val="003A2D23"/>
    <w:rsid w:val="003A2D87"/>
    <w:rsid w:val="003A2DF3"/>
    <w:rsid w:val="003A2E01"/>
    <w:rsid w:val="003A2E4F"/>
    <w:rsid w:val="003A2F07"/>
    <w:rsid w:val="003A30ED"/>
    <w:rsid w:val="003A315B"/>
    <w:rsid w:val="003A316C"/>
    <w:rsid w:val="003A31A8"/>
    <w:rsid w:val="003A32AA"/>
    <w:rsid w:val="003A32FA"/>
    <w:rsid w:val="003A3305"/>
    <w:rsid w:val="003A3320"/>
    <w:rsid w:val="003A3338"/>
    <w:rsid w:val="003A33B6"/>
    <w:rsid w:val="003A33D5"/>
    <w:rsid w:val="003A3499"/>
    <w:rsid w:val="003A35E0"/>
    <w:rsid w:val="003A3663"/>
    <w:rsid w:val="003A37BD"/>
    <w:rsid w:val="003A381F"/>
    <w:rsid w:val="003A3846"/>
    <w:rsid w:val="003A3997"/>
    <w:rsid w:val="003A3A7C"/>
    <w:rsid w:val="003A3AB5"/>
    <w:rsid w:val="003A3B9F"/>
    <w:rsid w:val="003A3D22"/>
    <w:rsid w:val="003A3F40"/>
    <w:rsid w:val="003A3FD2"/>
    <w:rsid w:val="003A3FE7"/>
    <w:rsid w:val="003A4227"/>
    <w:rsid w:val="003A4264"/>
    <w:rsid w:val="003A43B7"/>
    <w:rsid w:val="003A4438"/>
    <w:rsid w:val="003A4461"/>
    <w:rsid w:val="003A4540"/>
    <w:rsid w:val="003A474F"/>
    <w:rsid w:val="003A485B"/>
    <w:rsid w:val="003A48C2"/>
    <w:rsid w:val="003A4AED"/>
    <w:rsid w:val="003A4BF1"/>
    <w:rsid w:val="003A4C38"/>
    <w:rsid w:val="003A4EA0"/>
    <w:rsid w:val="003A4F25"/>
    <w:rsid w:val="003A4FBA"/>
    <w:rsid w:val="003A5013"/>
    <w:rsid w:val="003A5078"/>
    <w:rsid w:val="003A50F7"/>
    <w:rsid w:val="003A51C1"/>
    <w:rsid w:val="003A51DC"/>
    <w:rsid w:val="003A5236"/>
    <w:rsid w:val="003A52CB"/>
    <w:rsid w:val="003A5301"/>
    <w:rsid w:val="003A5336"/>
    <w:rsid w:val="003A55DC"/>
    <w:rsid w:val="003A5611"/>
    <w:rsid w:val="003A5715"/>
    <w:rsid w:val="003A57C0"/>
    <w:rsid w:val="003A589D"/>
    <w:rsid w:val="003A58A2"/>
    <w:rsid w:val="003A58B8"/>
    <w:rsid w:val="003A5954"/>
    <w:rsid w:val="003A5956"/>
    <w:rsid w:val="003A59DF"/>
    <w:rsid w:val="003A5A68"/>
    <w:rsid w:val="003A5B1C"/>
    <w:rsid w:val="003A5B85"/>
    <w:rsid w:val="003A5BF7"/>
    <w:rsid w:val="003A5C21"/>
    <w:rsid w:val="003A5C53"/>
    <w:rsid w:val="003A5CB0"/>
    <w:rsid w:val="003A5CBD"/>
    <w:rsid w:val="003A5DB2"/>
    <w:rsid w:val="003A5DF3"/>
    <w:rsid w:val="003A5E77"/>
    <w:rsid w:val="003A5ED1"/>
    <w:rsid w:val="003A5FBE"/>
    <w:rsid w:val="003A5FD8"/>
    <w:rsid w:val="003A6028"/>
    <w:rsid w:val="003A603C"/>
    <w:rsid w:val="003A60CA"/>
    <w:rsid w:val="003A6144"/>
    <w:rsid w:val="003A618D"/>
    <w:rsid w:val="003A62DD"/>
    <w:rsid w:val="003A633C"/>
    <w:rsid w:val="003A6530"/>
    <w:rsid w:val="003A65C1"/>
    <w:rsid w:val="003A665F"/>
    <w:rsid w:val="003A679D"/>
    <w:rsid w:val="003A67E1"/>
    <w:rsid w:val="003A6A59"/>
    <w:rsid w:val="003A6BD0"/>
    <w:rsid w:val="003A6CC4"/>
    <w:rsid w:val="003A6CF2"/>
    <w:rsid w:val="003A6F2A"/>
    <w:rsid w:val="003A6FBB"/>
    <w:rsid w:val="003A7020"/>
    <w:rsid w:val="003A720F"/>
    <w:rsid w:val="003A7233"/>
    <w:rsid w:val="003A7345"/>
    <w:rsid w:val="003A73C9"/>
    <w:rsid w:val="003A7465"/>
    <w:rsid w:val="003A7500"/>
    <w:rsid w:val="003A7518"/>
    <w:rsid w:val="003A75C4"/>
    <w:rsid w:val="003A7660"/>
    <w:rsid w:val="003A7690"/>
    <w:rsid w:val="003A775A"/>
    <w:rsid w:val="003A7797"/>
    <w:rsid w:val="003A7815"/>
    <w:rsid w:val="003A7875"/>
    <w:rsid w:val="003A79FB"/>
    <w:rsid w:val="003A7A1F"/>
    <w:rsid w:val="003A7A2D"/>
    <w:rsid w:val="003A7A54"/>
    <w:rsid w:val="003A7B0C"/>
    <w:rsid w:val="003A7B29"/>
    <w:rsid w:val="003A7BAD"/>
    <w:rsid w:val="003A7DDA"/>
    <w:rsid w:val="003A7E7B"/>
    <w:rsid w:val="003B0097"/>
    <w:rsid w:val="003B02C2"/>
    <w:rsid w:val="003B032A"/>
    <w:rsid w:val="003B03AB"/>
    <w:rsid w:val="003B05DD"/>
    <w:rsid w:val="003B068F"/>
    <w:rsid w:val="003B0795"/>
    <w:rsid w:val="003B0823"/>
    <w:rsid w:val="003B0886"/>
    <w:rsid w:val="003B08FA"/>
    <w:rsid w:val="003B09D3"/>
    <w:rsid w:val="003B0A97"/>
    <w:rsid w:val="003B0AD2"/>
    <w:rsid w:val="003B0B4A"/>
    <w:rsid w:val="003B0B7F"/>
    <w:rsid w:val="003B0B8A"/>
    <w:rsid w:val="003B0BB8"/>
    <w:rsid w:val="003B0C1A"/>
    <w:rsid w:val="003B0CA1"/>
    <w:rsid w:val="003B0CD5"/>
    <w:rsid w:val="003B0D46"/>
    <w:rsid w:val="003B0E52"/>
    <w:rsid w:val="003B0EC1"/>
    <w:rsid w:val="003B0EF5"/>
    <w:rsid w:val="003B0F1F"/>
    <w:rsid w:val="003B0F95"/>
    <w:rsid w:val="003B102D"/>
    <w:rsid w:val="003B104A"/>
    <w:rsid w:val="003B1098"/>
    <w:rsid w:val="003B1137"/>
    <w:rsid w:val="003B1175"/>
    <w:rsid w:val="003B1242"/>
    <w:rsid w:val="003B1280"/>
    <w:rsid w:val="003B1313"/>
    <w:rsid w:val="003B136A"/>
    <w:rsid w:val="003B13B2"/>
    <w:rsid w:val="003B13BD"/>
    <w:rsid w:val="003B144B"/>
    <w:rsid w:val="003B1471"/>
    <w:rsid w:val="003B15BE"/>
    <w:rsid w:val="003B15DC"/>
    <w:rsid w:val="003B1620"/>
    <w:rsid w:val="003B1699"/>
    <w:rsid w:val="003B1755"/>
    <w:rsid w:val="003B1760"/>
    <w:rsid w:val="003B1983"/>
    <w:rsid w:val="003B1A15"/>
    <w:rsid w:val="003B1AEF"/>
    <w:rsid w:val="003B1B50"/>
    <w:rsid w:val="003B1B58"/>
    <w:rsid w:val="003B1B91"/>
    <w:rsid w:val="003B1BF7"/>
    <w:rsid w:val="003B1CA8"/>
    <w:rsid w:val="003B1E7B"/>
    <w:rsid w:val="003B1FA9"/>
    <w:rsid w:val="003B213A"/>
    <w:rsid w:val="003B22F9"/>
    <w:rsid w:val="003B25B4"/>
    <w:rsid w:val="003B26B6"/>
    <w:rsid w:val="003B2819"/>
    <w:rsid w:val="003B28F2"/>
    <w:rsid w:val="003B2A0A"/>
    <w:rsid w:val="003B2B77"/>
    <w:rsid w:val="003B2DE8"/>
    <w:rsid w:val="003B2E00"/>
    <w:rsid w:val="003B2E35"/>
    <w:rsid w:val="003B2E96"/>
    <w:rsid w:val="003B30AF"/>
    <w:rsid w:val="003B30D6"/>
    <w:rsid w:val="003B3156"/>
    <w:rsid w:val="003B3186"/>
    <w:rsid w:val="003B320D"/>
    <w:rsid w:val="003B3214"/>
    <w:rsid w:val="003B3218"/>
    <w:rsid w:val="003B3284"/>
    <w:rsid w:val="003B3340"/>
    <w:rsid w:val="003B360E"/>
    <w:rsid w:val="003B3797"/>
    <w:rsid w:val="003B37CE"/>
    <w:rsid w:val="003B382E"/>
    <w:rsid w:val="003B3A08"/>
    <w:rsid w:val="003B3A95"/>
    <w:rsid w:val="003B3C6C"/>
    <w:rsid w:val="003B3D10"/>
    <w:rsid w:val="003B4020"/>
    <w:rsid w:val="003B4058"/>
    <w:rsid w:val="003B4066"/>
    <w:rsid w:val="003B4206"/>
    <w:rsid w:val="003B4324"/>
    <w:rsid w:val="003B43AD"/>
    <w:rsid w:val="003B44B4"/>
    <w:rsid w:val="003B45E2"/>
    <w:rsid w:val="003B45E9"/>
    <w:rsid w:val="003B45F0"/>
    <w:rsid w:val="003B4626"/>
    <w:rsid w:val="003B4628"/>
    <w:rsid w:val="003B46AA"/>
    <w:rsid w:val="003B4704"/>
    <w:rsid w:val="003B4774"/>
    <w:rsid w:val="003B4818"/>
    <w:rsid w:val="003B4862"/>
    <w:rsid w:val="003B4984"/>
    <w:rsid w:val="003B49D9"/>
    <w:rsid w:val="003B49DD"/>
    <w:rsid w:val="003B49DE"/>
    <w:rsid w:val="003B4A3D"/>
    <w:rsid w:val="003B4A72"/>
    <w:rsid w:val="003B4A8C"/>
    <w:rsid w:val="003B4AA5"/>
    <w:rsid w:val="003B4B18"/>
    <w:rsid w:val="003B4B51"/>
    <w:rsid w:val="003B4CB8"/>
    <w:rsid w:val="003B4EA7"/>
    <w:rsid w:val="003B4EC0"/>
    <w:rsid w:val="003B4FCD"/>
    <w:rsid w:val="003B4FF4"/>
    <w:rsid w:val="003B500F"/>
    <w:rsid w:val="003B51B9"/>
    <w:rsid w:val="003B522D"/>
    <w:rsid w:val="003B524A"/>
    <w:rsid w:val="003B5290"/>
    <w:rsid w:val="003B52C9"/>
    <w:rsid w:val="003B52ED"/>
    <w:rsid w:val="003B5304"/>
    <w:rsid w:val="003B5367"/>
    <w:rsid w:val="003B5443"/>
    <w:rsid w:val="003B5516"/>
    <w:rsid w:val="003B565B"/>
    <w:rsid w:val="003B567E"/>
    <w:rsid w:val="003B571A"/>
    <w:rsid w:val="003B57C7"/>
    <w:rsid w:val="003B5817"/>
    <w:rsid w:val="003B5830"/>
    <w:rsid w:val="003B586C"/>
    <w:rsid w:val="003B5A74"/>
    <w:rsid w:val="003B5AB8"/>
    <w:rsid w:val="003B5B94"/>
    <w:rsid w:val="003B5C6D"/>
    <w:rsid w:val="003B5CEF"/>
    <w:rsid w:val="003B5CF8"/>
    <w:rsid w:val="003B5CFD"/>
    <w:rsid w:val="003B5D11"/>
    <w:rsid w:val="003B5D3F"/>
    <w:rsid w:val="003B5DB3"/>
    <w:rsid w:val="003B5DC7"/>
    <w:rsid w:val="003B5E1B"/>
    <w:rsid w:val="003B5ED3"/>
    <w:rsid w:val="003B60D3"/>
    <w:rsid w:val="003B61D0"/>
    <w:rsid w:val="003B622C"/>
    <w:rsid w:val="003B6365"/>
    <w:rsid w:val="003B651F"/>
    <w:rsid w:val="003B657F"/>
    <w:rsid w:val="003B65AD"/>
    <w:rsid w:val="003B65BA"/>
    <w:rsid w:val="003B6600"/>
    <w:rsid w:val="003B6673"/>
    <w:rsid w:val="003B671F"/>
    <w:rsid w:val="003B6739"/>
    <w:rsid w:val="003B67AC"/>
    <w:rsid w:val="003B68B7"/>
    <w:rsid w:val="003B69F6"/>
    <w:rsid w:val="003B6B6B"/>
    <w:rsid w:val="003B6BAC"/>
    <w:rsid w:val="003B6C2B"/>
    <w:rsid w:val="003B6C37"/>
    <w:rsid w:val="003B6C95"/>
    <w:rsid w:val="003B6CD2"/>
    <w:rsid w:val="003B6E66"/>
    <w:rsid w:val="003B6F44"/>
    <w:rsid w:val="003B6F86"/>
    <w:rsid w:val="003B7103"/>
    <w:rsid w:val="003B7139"/>
    <w:rsid w:val="003B71A0"/>
    <w:rsid w:val="003B71AE"/>
    <w:rsid w:val="003B71EB"/>
    <w:rsid w:val="003B7397"/>
    <w:rsid w:val="003B7548"/>
    <w:rsid w:val="003B75FA"/>
    <w:rsid w:val="003B7602"/>
    <w:rsid w:val="003B763D"/>
    <w:rsid w:val="003B76C9"/>
    <w:rsid w:val="003B78AD"/>
    <w:rsid w:val="003B7915"/>
    <w:rsid w:val="003B7B14"/>
    <w:rsid w:val="003B7C0B"/>
    <w:rsid w:val="003B7CAD"/>
    <w:rsid w:val="003B7EA5"/>
    <w:rsid w:val="003B7EE1"/>
    <w:rsid w:val="003B7EF1"/>
    <w:rsid w:val="003B7FFC"/>
    <w:rsid w:val="003C006A"/>
    <w:rsid w:val="003C00A1"/>
    <w:rsid w:val="003C0242"/>
    <w:rsid w:val="003C02EF"/>
    <w:rsid w:val="003C036C"/>
    <w:rsid w:val="003C05AF"/>
    <w:rsid w:val="003C05EB"/>
    <w:rsid w:val="003C061B"/>
    <w:rsid w:val="003C0797"/>
    <w:rsid w:val="003C07D6"/>
    <w:rsid w:val="003C0848"/>
    <w:rsid w:val="003C09FF"/>
    <w:rsid w:val="003C0A32"/>
    <w:rsid w:val="003C0A4C"/>
    <w:rsid w:val="003C0A60"/>
    <w:rsid w:val="003C0BE4"/>
    <w:rsid w:val="003C0C0E"/>
    <w:rsid w:val="003C0D73"/>
    <w:rsid w:val="003C0E0E"/>
    <w:rsid w:val="003C0E3D"/>
    <w:rsid w:val="003C0F4D"/>
    <w:rsid w:val="003C0F6B"/>
    <w:rsid w:val="003C0FE2"/>
    <w:rsid w:val="003C0FEC"/>
    <w:rsid w:val="003C0FF9"/>
    <w:rsid w:val="003C1065"/>
    <w:rsid w:val="003C112D"/>
    <w:rsid w:val="003C1138"/>
    <w:rsid w:val="003C115D"/>
    <w:rsid w:val="003C11CA"/>
    <w:rsid w:val="003C11CC"/>
    <w:rsid w:val="003C12B6"/>
    <w:rsid w:val="003C12B7"/>
    <w:rsid w:val="003C12D7"/>
    <w:rsid w:val="003C12E1"/>
    <w:rsid w:val="003C1317"/>
    <w:rsid w:val="003C1376"/>
    <w:rsid w:val="003C1561"/>
    <w:rsid w:val="003C15C0"/>
    <w:rsid w:val="003C16E3"/>
    <w:rsid w:val="003C1802"/>
    <w:rsid w:val="003C1850"/>
    <w:rsid w:val="003C18C0"/>
    <w:rsid w:val="003C18C1"/>
    <w:rsid w:val="003C1B2E"/>
    <w:rsid w:val="003C1B47"/>
    <w:rsid w:val="003C1BBC"/>
    <w:rsid w:val="003C1CA5"/>
    <w:rsid w:val="003C1CEA"/>
    <w:rsid w:val="003C1D15"/>
    <w:rsid w:val="003C1E5D"/>
    <w:rsid w:val="003C1EE7"/>
    <w:rsid w:val="003C1F6A"/>
    <w:rsid w:val="003C1F89"/>
    <w:rsid w:val="003C1FB0"/>
    <w:rsid w:val="003C20CF"/>
    <w:rsid w:val="003C2260"/>
    <w:rsid w:val="003C2371"/>
    <w:rsid w:val="003C25B4"/>
    <w:rsid w:val="003C26CC"/>
    <w:rsid w:val="003C271E"/>
    <w:rsid w:val="003C278C"/>
    <w:rsid w:val="003C27A9"/>
    <w:rsid w:val="003C2AC8"/>
    <w:rsid w:val="003C2AC9"/>
    <w:rsid w:val="003C2B2E"/>
    <w:rsid w:val="003C2B4D"/>
    <w:rsid w:val="003C2BBF"/>
    <w:rsid w:val="003C2C9E"/>
    <w:rsid w:val="003C2CF8"/>
    <w:rsid w:val="003C2D27"/>
    <w:rsid w:val="003C2E9B"/>
    <w:rsid w:val="003C2ECB"/>
    <w:rsid w:val="003C2ED5"/>
    <w:rsid w:val="003C2ED8"/>
    <w:rsid w:val="003C2F2C"/>
    <w:rsid w:val="003C2F41"/>
    <w:rsid w:val="003C2F4B"/>
    <w:rsid w:val="003C2FC4"/>
    <w:rsid w:val="003C2FFB"/>
    <w:rsid w:val="003C30AD"/>
    <w:rsid w:val="003C315E"/>
    <w:rsid w:val="003C316F"/>
    <w:rsid w:val="003C3257"/>
    <w:rsid w:val="003C34B7"/>
    <w:rsid w:val="003C35A3"/>
    <w:rsid w:val="003C35B9"/>
    <w:rsid w:val="003C3607"/>
    <w:rsid w:val="003C36E7"/>
    <w:rsid w:val="003C3AC4"/>
    <w:rsid w:val="003C3AE4"/>
    <w:rsid w:val="003C3B3A"/>
    <w:rsid w:val="003C3B65"/>
    <w:rsid w:val="003C3E81"/>
    <w:rsid w:val="003C3EAF"/>
    <w:rsid w:val="003C3EFC"/>
    <w:rsid w:val="003C3F46"/>
    <w:rsid w:val="003C3F85"/>
    <w:rsid w:val="003C3FEF"/>
    <w:rsid w:val="003C419E"/>
    <w:rsid w:val="003C440D"/>
    <w:rsid w:val="003C468E"/>
    <w:rsid w:val="003C46D4"/>
    <w:rsid w:val="003C46F6"/>
    <w:rsid w:val="003C477A"/>
    <w:rsid w:val="003C4790"/>
    <w:rsid w:val="003C47EC"/>
    <w:rsid w:val="003C4835"/>
    <w:rsid w:val="003C497C"/>
    <w:rsid w:val="003C49A9"/>
    <w:rsid w:val="003C4CA4"/>
    <w:rsid w:val="003C4D17"/>
    <w:rsid w:val="003C4F1E"/>
    <w:rsid w:val="003C4FFE"/>
    <w:rsid w:val="003C5227"/>
    <w:rsid w:val="003C523C"/>
    <w:rsid w:val="003C5517"/>
    <w:rsid w:val="003C5539"/>
    <w:rsid w:val="003C553F"/>
    <w:rsid w:val="003C56D6"/>
    <w:rsid w:val="003C5707"/>
    <w:rsid w:val="003C584B"/>
    <w:rsid w:val="003C5950"/>
    <w:rsid w:val="003C5A0D"/>
    <w:rsid w:val="003C5A21"/>
    <w:rsid w:val="003C5AEB"/>
    <w:rsid w:val="003C5C26"/>
    <w:rsid w:val="003C5C41"/>
    <w:rsid w:val="003C5C5C"/>
    <w:rsid w:val="003C5C7C"/>
    <w:rsid w:val="003C5DB7"/>
    <w:rsid w:val="003C5E3D"/>
    <w:rsid w:val="003C5E54"/>
    <w:rsid w:val="003C5EA6"/>
    <w:rsid w:val="003C5ED0"/>
    <w:rsid w:val="003C60B9"/>
    <w:rsid w:val="003C615A"/>
    <w:rsid w:val="003C6165"/>
    <w:rsid w:val="003C6170"/>
    <w:rsid w:val="003C6202"/>
    <w:rsid w:val="003C6206"/>
    <w:rsid w:val="003C6255"/>
    <w:rsid w:val="003C63B3"/>
    <w:rsid w:val="003C63BB"/>
    <w:rsid w:val="003C63F5"/>
    <w:rsid w:val="003C669F"/>
    <w:rsid w:val="003C677E"/>
    <w:rsid w:val="003C67C4"/>
    <w:rsid w:val="003C67FA"/>
    <w:rsid w:val="003C685B"/>
    <w:rsid w:val="003C6A07"/>
    <w:rsid w:val="003C6ACC"/>
    <w:rsid w:val="003C6CAB"/>
    <w:rsid w:val="003C6CDC"/>
    <w:rsid w:val="003C6D56"/>
    <w:rsid w:val="003C6D6C"/>
    <w:rsid w:val="003C6E3C"/>
    <w:rsid w:val="003C6E59"/>
    <w:rsid w:val="003C6F3F"/>
    <w:rsid w:val="003C6F48"/>
    <w:rsid w:val="003C7124"/>
    <w:rsid w:val="003C717B"/>
    <w:rsid w:val="003C7210"/>
    <w:rsid w:val="003C7234"/>
    <w:rsid w:val="003C7275"/>
    <w:rsid w:val="003C730F"/>
    <w:rsid w:val="003C7336"/>
    <w:rsid w:val="003C74E4"/>
    <w:rsid w:val="003C7525"/>
    <w:rsid w:val="003C7722"/>
    <w:rsid w:val="003C77D4"/>
    <w:rsid w:val="003C78CE"/>
    <w:rsid w:val="003C799C"/>
    <w:rsid w:val="003C7D0F"/>
    <w:rsid w:val="003C7D14"/>
    <w:rsid w:val="003C7E0C"/>
    <w:rsid w:val="003C7E35"/>
    <w:rsid w:val="003C7E42"/>
    <w:rsid w:val="003C7FEC"/>
    <w:rsid w:val="003D0099"/>
    <w:rsid w:val="003D0129"/>
    <w:rsid w:val="003D0263"/>
    <w:rsid w:val="003D0269"/>
    <w:rsid w:val="003D02A9"/>
    <w:rsid w:val="003D033A"/>
    <w:rsid w:val="003D037C"/>
    <w:rsid w:val="003D0389"/>
    <w:rsid w:val="003D044E"/>
    <w:rsid w:val="003D047A"/>
    <w:rsid w:val="003D0554"/>
    <w:rsid w:val="003D0609"/>
    <w:rsid w:val="003D072A"/>
    <w:rsid w:val="003D07CC"/>
    <w:rsid w:val="003D0936"/>
    <w:rsid w:val="003D0A52"/>
    <w:rsid w:val="003D0AD2"/>
    <w:rsid w:val="003D0AE4"/>
    <w:rsid w:val="003D0AE9"/>
    <w:rsid w:val="003D0B41"/>
    <w:rsid w:val="003D0E1C"/>
    <w:rsid w:val="003D0E60"/>
    <w:rsid w:val="003D0FC1"/>
    <w:rsid w:val="003D1047"/>
    <w:rsid w:val="003D10BE"/>
    <w:rsid w:val="003D1115"/>
    <w:rsid w:val="003D1116"/>
    <w:rsid w:val="003D1167"/>
    <w:rsid w:val="003D11E5"/>
    <w:rsid w:val="003D1234"/>
    <w:rsid w:val="003D12BE"/>
    <w:rsid w:val="003D1474"/>
    <w:rsid w:val="003D14D7"/>
    <w:rsid w:val="003D1508"/>
    <w:rsid w:val="003D152F"/>
    <w:rsid w:val="003D16E4"/>
    <w:rsid w:val="003D172D"/>
    <w:rsid w:val="003D17EC"/>
    <w:rsid w:val="003D17F9"/>
    <w:rsid w:val="003D1940"/>
    <w:rsid w:val="003D196F"/>
    <w:rsid w:val="003D19BD"/>
    <w:rsid w:val="003D19E9"/>
    <w:rsid w:val="003D1A38"/>
    <w:rsid w:val="003D1A48"/>
    <w:rsid w:val="003D1B7F"/>
    <w:rsid w:val="003D1CF6"/>
    <w:rsid w:val="003D1D41"/>
    <w:rsid w:val="003D1DE7"/>
    <w:rsid w:val="003D1F23"/>
    <w:rsid w:val="003D1FE8"/>
    <w:rsid w:val="003D2111"/>
    <w:rsid w:val="003D2141"/>
    <w:rsid w:val="003D21AF"/>
    <w:rsid w:val="003D23D7"/>
    <w:rsid w:val="003D2484"/>
    <w:rsid w:val="003D2519"/>
    <w:rsid w:val="003D26DD"/>
    <w:rsid w:val="003D2768"/>
    <w:rsid w:val="003D27DC"/>
    <w:rsid w:val="003D27E7"/>
    <w:rsid w:val="003D2A02"/>
    <w:rsid w:val="003D2AC3"/>
    <w:rsid w:val="003D2B57"/>
    <w:rsid w:val="003D2BE3"/>
    <w:rsid w:val="003D2D3E"/>
    <w:rsid w:val="003D2D6B"/>
    <w:rsid w:val="003D2D74"/>
    <w:rsid w:val="003D2D88"/>
    <w:rsid w:val="003D2D8A"/>
    <w:rsid w:val="003D2E03"/>
    <w:rsid w:val="003D2E07"/>
    <w:rsid w:val="003D2E32"/>
    <w:rsid w:val="003D2F16"/>
    <w:rsid w:val="003D3001"/>
    <w:rsid w:val="003D3133"/>
    <w:rsid w:val="003D333F"/>
    <w:rsid w:val="003D34F3"/>
    <w:rsid w:val="003D3688"/>
    <w:rsid w:val="003D36FF"/>
    <w:rsid w:val="003D39FE"/>
    <w:rsid w:val="003D3C65"/>
    <w:rsid w:val="003D3D42"/>
    <w:rsid w:val="003D3D57"/>
    <w:rsid w:val="003D3DAC"/>
    <w:rsid w:val="003D3E14"/>
    <w:rsid w:val="003D3E2B"/>
    <w:rsid w:val="003D3FC8"/>
    <w:rsid w:val="003D4011"/>
    <w:rsid w:val="003D4058"/>
    <w:rsid w:val="003D414D"/>
    <w:rsid w:val="003D41CE"/>
    <w:rsid w:val="003D41EA"/>
    <w:rsid w:val="003D4223"/>
    <w:rsid w:val="003D456F"/>
    <w:rsid w:val="003D4662"/>
    <w:rsid w:val="003D46C9"/>
    <w:rsid w:val="003D46CA"/>
    <w:rsid w:val="003D46F2"/>
    <w:rsid w:val="003D473D"/>
    <w:rsid w:val="003D4792"/>
    <w:rsid w:val="003D4850"/>
    <w:rsid w:val="003D492B"/>
    <w:rsid w:val="003D4971"/>
    <w:rsid w:val="003D49C1"/>
    <w:rsid w:val="003D4A2B"/>
    <w:rsid w:val="003D4C35"/>
    <w:rsid w:val="003D4CF7"/>
    <w:rsid w:val="003D4D26"/>
    <w:rsid w:val="003D4E9D"/>
    <w:rsid w:val="003D5106"/>
    <w:rsid w:val="003D5246"/>
    <w:rsid w:val="003D52B6"/>
    <w:rsid w:val="003D535A"/>
    <w:rsid w:val="003D535C"/>
    <w:rsid w:val="003D5385"/>
    <w:rsid w:val="003D5484"/>
    <w:rsid w:val="003D55C7"/>
    <w:rsid w:val="003D5608"/>
    <w:rsid w:val="003D56DF"/>
    <w:rsid w:val="003D5755"/>
    <w:rsid w:val="003D581E"/>
    <w:rsid w:val="003D5864"/>
    <w:rsid w:val="003D58A2"/>
    <w:rsid w:val="003D5951"/>
    <w:rsid w:val="003D5B77"/>
    <w:rsid w:val="003D5B9F"/>
    <w:rsid w:val="003D5BAA"/>
    <w:rsid w:val="003D5BB9"/>
    <w:rsid w:val="003D5C57"/>
    <w:rsid w:val="003D5CEA"/>
    <w:rsid w:val="003D5EC6"/>
    <w:rsid w:val="003D5F49"/>
    <w:rsid w:val="003D5F59"/>
    <w:rsid w:val="003D60F4"/>
    <w:rsid w:val="003D61A1"/>
    <w:rsid w:val="003D62FF"/>
    <w:rsid w:val="003D63AF"/>
    <w:rsid w:val="003D64BD"/>
    <w:rsid w:val="003D64EF"/>
    <w:rsid w:val="003D6602"/>
    <w:rsid w:val="003D6622"/>
    <w:rsid w:val="003D664D"/>
    <w:rsid w:val="003D66C1"/>
    <w:rsid w:val="003D6744"/>
    <w:rsid w:val="003D67C0"/>
    <w:rsid w:val="003D699A"/>
    <w:rsid w:val="003D6B23"/>
    <w:rsid w:val="003D6B3E"/>
    <w:rsid w:val="003D6C7E"/>
    <w:rsid w:val="003D6E87"/>
    <w:rsid w:val="003D6F08"/>
    <w:rsid w:val="003D6F2E"/>
    <w:rsid w:val="003D70DE"/>
    <w:rsid w:val="003D7184"/>
    <w:rsid w:val="003D7265"/>
    <w:rsid w:val="003D72E4"/>
    <w:rsid w:val="003D733F"/>
    <w:rsid w:val="003D74D4"/>
    <w:rsid w:val="003D7598"/>
    <w:rsid w:val="003D76F3"/>
    <w:rsid w:val="003D7758"/>
    <w:rsid w:val="003D77E8"/>
    <w:rsid w:val="003D78DD"/>
    <w:rsid w:val="003D79AB"/>
    <w:rsid w:val="003D7A88"/>
    <w:rsid w:val="003D7B1B"/>
    <w:rsid w:val="003D7BAD"/>
    <w:rsid w:val="003D7C1A"/>
    <w:rsid w:val="003D7C76"/>
    <w:rsid w:val="003D7DD2"/>
    <w:rsid w:val="003D7E9F"/>
    <w:rsid w:val="003E004C"/>
    <w:rsid w:val="003E0052"/>
    <w:rsid w:val="003E0104"/>
    <w:rsid w:val="003E013F"/>
    <w:rsid w:val="003E01D4"/>
    <w:rsid w:val="003E01EC"/>
    <w:rsid w:val="003E06E7"/>
    <w:rsid w:val="003E0773"/>
    <w:rsid w:val="003E07DE"/>
    <w:rsid w:val="003E0B15"/>
    <w:rsid w:val="003E0B69"/>
    <w:rsid w:val="003E0B6F"/>
    <w:rsid w:val="003E0BF8"/>
    <w:rsid w:val="003E0C23"/>
    <w:rsid w:val="003E0D38"/>
    <w:rsid w:val="003E0D3F"/>
    <w:rsid w:val="003E0D61"/>
    <w:rsid w:val="003E0EAE"/>
    <w:rsid w:val="003E0F0E"/>
    <w:rsid w:val="003E0F58"/>
    <w:rsid w:val="003E11F8"/>
    <w:rsid w:val="003E123F"/>
    <w:rsid w:val="003E1300"/>
    <w:rsid w:val="003E14BD"/>
    <w:rsid w:val="003E17DE"/>
    <w:rsid w:val="003E18FC"/>
    <w:rsid w:val="003E1A32"/>
    <w:rsid w:val="003E1B77"/>
    <w:rsid w:val="003E1CAA"/>
    <w:rsid w:val="003E1DD1"/>
    <w:rsid w:val="003E1E39"/>
    <w:rsid w:val="003E1E81"/>
    <w:rsid w:val="003E2064"/>
    <w:rsid w:val="003E20FA"/>
    <w:rsid w:val="003E2113"/>
    <w:rsid w:val="003E2151"/>
    <w:rsid w:val="003E216C"/>
    <w:rsid w:val="003E224A"/>
    <w:rsid w:val="003E228A"/>
    <w:rsid w:val="003E228C"/>
    <w:rsid w:val="003E2481"/>
    <w:rsid w:val="003E26A8"/>
    <w:rsid w:val="003E27A2"/>
    <w:rsid w:val="003E289C"/>
    <w:rsid w:val="003E297A"/>
    <w:rsid w:val="003E29C2"/>
    <w:rsid w:val="003E2A8E"/>
    <w:rsid w:val="003E2F5F"/>
    <w:rsid w:val="003E2F8F"/>
    <w:rsid w:val="003E300C"/>
    <w:rsid w:val="003E3123"/>
    <w:rsid w:val="003E314A"/>
    <w:rsid w:val="003E3253"/>
    <w:rsid w:val="003E34D6"/>
    <w:rsid w:val="003E34E8"/>
    <w:rsid w:val="003E351A"/>
    <w:rsid w:val="003E352D"/>
    <w:rsid w:val="003E3566"/>
    <w:rsid w:val="003E362F"/>
    <w:rsid w:val="003E367F"/>
    <w:rsid w:val="003E3688"/>
    <w:rsid w:val="003E36B4"/>
    <w:rsid w:val="003E3797"/>
    <w:rsid w:val="003E38DE"/>
    <w:rsid w:val="003E39C8"/>
    <w:rsid w:val="003E3A1A"/>
    <w:rsid w:val="003E3A34"/>
    <w:rsid w:val="003E3A72"/>
    <w:rsid w:val="003E3ACD"/>
    <w:rsid w:val="003E3BBA"/>
    <w:rsid w:val="003E3CE9"/>
    <w:rsid w:val="003E409F"/>
    <w:rsid w:val="003E40A6"/>
    <w:rsid w:val="003E416E"/>
    <w:rsid w:val="003E41CC"/>
    <w:rsid w:val="003E423E"/>
    <w:rsid w:val="003E42C6"/>
    <w:rsid w:val="003E4304"/>
    <w:rsid w:val="003E441A"/>
    <w:rsid w:val="003E4497"/>
    <w:rsid w:val="003E449C"/>
    <w:rsid w:val="003E45A5"/>
    <w:rsid w:val="003E45C1"/>
    <w:rsid w:val="003E4651"/>
    <w:rsid w:val="003E478E"/>
    <w:rsid w:val="003E4790"/>
    <w:rsid w:val="003E4807"/>
    <w:rsid w:val="003E4961"/>
    <w:rsid w:val="003E49E6"/>
    <w:rsid w:val="003E4ACD"/>
    <w:rsid w:val="003E4B9B"/>
    <w:rsid w:val="003E4E2F"/>
    <w:rsid w:val="003E4F95"/>
    <w:rsid w:val="003E5265"/>
    <w:rsid w:val="003E53EA"/>
    <w:rsid w:val="003E545B"/>
    <w:rsid w:val="003E5495"/>
    <w:rsid w:val="003E549D"/>
    <w:rsid w:val="003E54DE"/>
    <w:rsid w:val="003E55FE"/>
    <w:rsid w:val="003E572A"/>
    <w:rsid w:val="003E5769"/>
    <w:rsid w:val="003E57B2"/>
    <w:rsid w:val="003E57BD"/>
    <w:rsid w:val="003E585E"/>
    <w:rsid w:val="003E58C9"/>
    <w:rsid w:val="003E5962"/>
    <w:rsid w:val="003E5973"/>
    <w:rsid w:val="003E598E"/>
    <w:rsid w:val="003E59B8"/>
    <w:rsid w:val="003E5A0A"/>
    <w:rsid w:val="003E5A43"/>
    <w:rsid w:val="003E5AB7"/>
    <w:rsid w:val="003E5D61"/>
    <w:rsid w:val="003E5DC6"/>
    <w:rsid w:val="003E5E11"/>
    <w:rsid w:val="003E5ED4"/>
    <w:rsid w:val="003E6165"/>
    <w:rsid w:val="003E61B6"/>
    <w:rsid w:val="003E62DA"/>
    <w:rsid w:val="003E6332"/>
    <w:rsid w:val="003E65A4"/>
    <w:rsid w:val="003E6678"/>
    <w:rsid w:val="003E6724"/>
    <w:rsid w:val="003E6773"/>
    <w:rsid w:val="003E69B7"/>
    <w:rsid w:val="003E6A7A"/>
    <w:rsid w:val="003E6B4B"/>
    <w:rsid w:val="003E6B56"/>
    <w:rsid w:val="003E6B79"/>
    <w:rsid w:val="003E6F29"/>
    <w:rsid w:val="003E70BA"/>
    <w:rsid w:val="003E71CB"/>
    <w:rsid w:val="003E71E7"/>
    <w:rsid w:val="003E723C"/>
    <w:rsid w:val="003E729B"/>
    <w:rsid w:val="003E74D1"/>
    <w:rsid w:val="003E75A1"/>
    <w:rsid w:val="003E7715"/>
    <w:rsid w:val="003E77CE"/>
    <w:rsid w:val="003E77DA"/>
    <w:rsid w:val="003E7963"/>
    <w:rsid w:val="003E7A08"/>
    <w:rsid w:val="003E7A35"/>
    <w:rsid w:val="003E7A51"/>
    <w:rsid w:val="003E7BA8"/>
    <w:rsid w:val="003E7CC5"/>
    <w:rsid w:val="003E7D44"/>
    <w:rsid w:val="003E7E79"/>
    <w:rsid w:val="003E7F04"/>
    <w:rsid w:val="003F01A1"/>
    <w:rsid w:val="003F02B6"/>
    <w:rsid w:val="003F0303"/>
    <w:rsid w:val="003F032E"/>
    <w:rsid w:val="003F035B"/>
    <w:rsid w:val="003F0405"/>
    <w:rsid w:val="003F04EA"/>
    <w:rsid w:val="003F0690"/>
    <w:rsid w:val="003F06D8"/>
    <w:rsid w:val="003F07C5"/>
    <w:rsid w:val="003F07EF"/>
    <w:rsid w:val="003F0955"/>
    <w:rsid w:val="003F0974"/>
    <w:rsid w:val="003F099F"/>
    <w:rsid w:val="003F09FC"/>
    <w:rsid w:val="003F0A1D"/>
    <w:rsid w:val="003F0BC6"/>
    <w:rsid w:val="003F0BDB"/>
    <w:rsid w:val="003F0DC5"/>
    <w:rsid w:val="003F0DD0"/>
    <w:rsid w:val="003F0EEC"/>
    <w:rsid w:val="003F0F47"/>
    <w:rsid w:val="003F0F9A"/>
    <w:rsid w:val="003F1038"/>
    <w:rsid w:val="003F121F"/>
    <w:rsid w:val="003F12E3"/>
    <w:rsid w:val="003F1467"/>
    <w:rsid w:val="003F14E3"/>
    <w:rsid w:val="003F1521"/>
    <w:rsid w:val="003F161A"/>
    <w:rsid w:val="003F161C"/>
    <w:rsid w:val="003F164D"/>
    <w:rsid w:val="003F1993"/>
    <w:rsid w:val="003F1B9C"/>
    <w:rsid w:val="003F1BAE"/>
    <w:rsid w:val="003F1C1E"/>
    <w:rsid w:val="003F1D6F"/>
    <w:rsid w:val="003F1E8E"/>
    <w:rsid w:val="003F1EDB"/>
    <w:rsid w:val="003F1EDF"/>
    <w:rsid w:val="003F231C"/>
    <w:rsid w:val="003F238E"/>
    <w:rsid w:val="003F2592"/>
    <w:rsid w:val="003F2659"/>
    <w:rsid w:val="003F2707"/>
    <w:rsid w:val="003F276D"/>
    <w:rsid w:val="003F27CE"/>
    <w:rsid w:val="003F27FE"/>
    <w:rsid w:val="003F29A5"/>
    <w:rsid w:val="003F2A33"/>
    <w:rsid w:val="003F2A74"/>
    <w:rsid w:val="003F2B32"/>
    <w:rsid w:val="003F2C79"/>
    <w:rsid w:val="003F2C89"/>
    <w:rsid w:val="003F2CE5"/>
    <w:rsid w:val="003F2D21"/>
    <w:rsid w:val="003F2DC5"/>
    <w:rsid w:val="003F2DCE"/>
    <w:rsid w:val="003F2F3B"/>
    <w:rsid w:val="003F2FB2"/>
    <w:rsid w:val="003F2FBB"/>
    <w:rsid w:val="003F2FC4"/>
    <w:rsid w:val="003F30CE"/>
    <w:rsid w:val="003F32CC"/>
    <w:rsid w:val="003F342D"/>
    <w:rsid w:val="003F3505"/>
    <w:rsid w:val="003F363B"/>
    <w:rsid w:val="003F36A7"/>
    <w:rsid w:val="003F37F7"/>
    <w:rsid w:val="003F3807"/>
    <w:rsid w:val="003F383E"/>
    <w:rsid w:val="003F3A86"/>
    <w:rsid w:val="003F3A9B"/>
    <w:rsid w:val="003F3B1D"/>
    <w:rsid w:val="003F3C0E"/>
    <w:rsid w:val="003F3C73"/>
    <w:rsid w:val="003F3D3A"/>
    <w:rsid w:val="003F3ED7"/>
    <w:rsid w:val="003F3EF3"/>
    <w:rsid w:val="003F40B6"/>
    <w:rsid w:val="003F41B0"/>
    <w:rsid w:val="003F423A"/>
    <w:rsid w:val="003F43F4"/>
    <w:rsid w:val="003F4453"/>
    <w:rsid w:val="003F45C9"/>
    <w:rsid w:val="003F4661"/>
    <w:rsid w:val="003F4853"/>
    <w:rsid w:val="003F48F0"/>
    <w:rsid w:val="003F4950"/>
    <w:rsid w:val="003F4A4B"/>
    <w:rsid w:val="003F4B59"/>
    <w:rsid w:val="003F4C74"/>
    <w:rsid w:val="003F4C97"/>
    <w:rsid w:val="003F4F28"/>
    <w:rsid w:val="003F4FFC"/>
    <w:rsid w:val="003F5206"/>
    <w:rsid w:val="003F5283"/>
    <w:rsid w:val="003F52D5"/>
    <w:rsid w:val="003F52D8"/>
    <w:rsid w:val="003F53AC"/>
    <w:rsid w:val="003F54B2"/>
    <w:rsid w:val="003F5527"/>
    <w:rsid w:val="003F55CC"/>
    <w:rsid w:val="003F56B7"/>
    <w:rsid w:val="003F574C"/>
    <w:rsid w:val="003F57F0"/>
    <w:rsid w:val="003F5846"/>
    <w:rsid w:val="003F5A70"/>
    <w:rsid w:val="003F5C14"/>
    <w:rsid w:val="003F5CD2"/>
    <w:rsid w:val="003F5D5B"/>
    <w:rsid w:val="003F5E74"/>
    <w:rsid w:val="003F5F4D"/>
    <w:rsid w:val="003F5F80"/>
    <w:rsid w:val="003F5FC6"/>
    <w:rsid w:val="003F613F"/>
    <w:rsid w:val="003F61C7"/>
    <w:rsid w:val="003F6264"/>
    <w:rsid w:val="003F628F"/>
    <w:rsid w:val="003F646F"/>
    <w:rsid w:val="003F64B1"/>
    <w:rsid w:val="003F650A"/>
    <w:rsid w:val="003F6556"/>
    <w:rsid w:val="003F67D8"/>
    <w:rsid w:val="003F693F"/>
    <w:rsid w:val="003F6961"/>
    <w:rsid w:val="003F6BA9"/>
    <w:rsid w:val="003F6C2D"/>
    <w:rsid w:val="003F6D0C"/>
    <w:rsid w:val="003F6D1A"/>
    <w:rsid w:val="003F6D60"/>
    <w:rsid w:val="003F6E79"/>
    <w:rsid w:val="003F6EE9"/>
    <w:rsid w:val="003F6EED"/>
    <w:rsid w:val="003F6F20"/>
    <w:rsid w:val="003F6F63"/>
    <w:rsid w:val="003F6F8C"/>
    <w:rsid w:val="003F7104"/>
    <w:rsid w:val="003F71C6"/>
    <w:rsid w:val="003F7407"/>
    <w:rsid w:val="003F7611"/>
    <w:rsid w:val="003F776D"/>
    <w:rsid w:val="003F77CE"/>
    <w:rsid w:val="003F77E5"/>
    <w:rsid w:val="003F7812"/>
    <w:rsid w:val="003F798A"/>
    <w:rsid w:val="003F79CF"/>
    <w:rsid w:val="003F7A91"/>
    <w:rsid w:val="003F7BB2"/>
    <w:rsid w:val="003F7BB7"/>
    <w:rsid w:val="003F7C96"/>
    <w:rsid w:val="003F7E02"/>
    <w:rsid w:val="003F7E42"/>
    <w:rsid w:val="003F7E65"/>
    <w:rsid w:val="004000BE"/>
    <w:rsid w:val="004001DA"/>
    <w:rsid w:val="004001DE"/>
    <w:rsid w:val="00400247"/>
    <w:rsid w:val="0040026B"/>
    <w:rsid w:val="004003B3"/>
    <w:rsid w:val="004004D7"/>
    <w:rsid w:val="0040077F"/>
    <w:rsid w:val="004007F1"/>
    <w:rsid w:val="004008D3"/>
    <w:rsid w:val="00400910"/>
    <w:rsid w:val="00400962"/>
    <w:rsid w:val="00400A64"/>
    <w:rsid w:val="00400BA6"/>
    <w:rsid w:val="00400BDF"/>
    <w:rsid w:val="00400BF2"/>
    <w:rsid w:val="00400CB3"/>
    <w:rsid w:val="00400DA5"/>
    <w:rsid w:val="00400E5C"/>
    <w:rsid w:val="00400E79"/>
    <w:rsid w:val="00400F00"/>
    <w:rsid w:val="00400FAD"/>
    <w:rsid w:val="004010E5"/>
    <w:rsid w:val="00401113"/>
    <w:rsid w:val="004011D2"/>
    <w:rsid w:val="0040136A"/>
    <w:rsid w:val="0040138D"/>
    <w:rsid w:val="004013F5"/>
    <w:rsid w:val="00401469"/>
    <w:rsid w:val="00401485"/>
    <w:rsid w:val="004014F5"/>
    <w:rsid w:val="00401582"/>
    <w:rsid w:val="0040164F"/>
    <w:rsid w:val="0040177B"/>
    <w:rsid w:val="0040186B"/>
    <w:rsid w:val="004018F5"/>
    <w:rsid w:val="00401916"/>
    <w:rsid w:val="00401AA5"/>
    <w:rsid w:val="00401C41"/>
    <w:rsid w:val="00401D4A"/>
    <w:rsid w:val="00401D9A"/>
    <w:rsid w:val="00401DB0"/>
    <w:rsid w:val="00401DB1"/>
    <w:rsid w:val="00401DB2"/>
    <w:rsid w:val="00401E85"/>
    <w:rsid w:val="00401E95"/>
    <w:rsid w:val="00401E99"/>
    <w:rsid w:val="00401F2A"/>
    <w:rsid w:val="00401FE2"/>
    <w:rsid w:val="004020D4"/>
    <w:rsid w:val="004020DD"/>
    <w:rsid w:val="00402111"/>
    <w:rsid w:val="00402140"/>
    <w:rsid w:val="004021C6"/>
    <w:rsid w:val="004022F2"/>
    <w:rsid w:val="00402485"/>
    <w:rsid w:val="004024E8"/>
    <w:rsid w:val="0040251B"/>
    <w:rsid w:val="004025B1"/>
    <w:rsid w:val="00402624"/>
    <w:rsid w:val="0040271C"/>
    <w:rsid w:val="00402788"/>
    <w:rsid w:val="004027ED"/>
    <w:rsid w:val="00402884"/>
    <w:rsid w:val="00402969"/>
    <w:rsid w:val="004029C1"/>
    <w:rsid w:val="00402B15"/>
    <w:rsid w:val="00402B70"/>
    <w:rsid w:val="00402BA5"/>
    <w:rsid w:val="00402CF2"/>
    <w:rsid w:val="00402D59"/>
    <w:rsid w:val="00402DDB"/>
    <w:rsid w:val="00402E1D"/>
    <w:rsid w:val="00402E23"/>
    <w:rsid w:val="00402E24"/>
    <w:rsid w:val="00402E26"/>
    <w:rsid w:val="00402E78"/>
    <w:rsid w:val="004030CB"/>
    <w:rsid w:val="00403246"/>
    <w:rsid w:val="004032D6"/>
    <w:rsid w:val="0040348B"/>
    <w:rsid w:val="004036C4"/>
    <w:rsid w:val="004037DF"/>
    <w:rsid w:val="004037FE"/>
    <w:rsid w:val="00403852"/>
    <w:rsid w:val="00403875"/>
    <w:rsid w:val="00403976"/>
    <w:rsid w:val="00403B44"/>
    <w:rsid w:val="00403BD7"/>
    <w:rsid w:val="00403BEE"/>
    <w:rsid w:val="00403E98"/>
    <w:rsid w:val="00403F57"/>
    <w:rsid w:val="00403FF0"/>
    <w:rsid w:val="00404226"/>
    <w:rsid w:val="004043B0"/>
    <w:rsid w:val="004043B9"/>
    <w:rsid w:val="004043CB"/>
    <w:rsid w:val="004044E8"/>
    <w:rsid w:val="0040467D"/>
    <w:rsid w:val="00404782"/>
    <w:rsid w:val="004047D0"/>
    <w:rsid w:val="004047E7"/>
    <w:rsid w:val="004048B7"/>
    <w:rsid w:val="00404BC0"/>
    <w:rsid w:val="00404D34"/>
    <w:rsid w:val="00404D76"/>
    <w:rsid w:val="00404F33"/>
    <w:rsid w:val="00404F8B"/>
    <w:rsid w:val="00405028"/>
    <w:rsid w:val="00405119"/>
    <w:rsid w:val="00405256"/>
    <w:rsid w:val="0040534F"/>
    <w:rsid w:val="0040537F"/>
    <w:rsid w:val="004053F3"/>
    <w:rsid w:val="00405407"/>
    <w:rsid w:val="0040562E"/>
    <w:rsid w:val="0040567A"/>
    <w:rsid w:val="00405717"/>
    <w:rsid w:val="00405748"/>
    <w:rsid w:val="0040587F"/>
    <w:rsid w:val="004059C0"/>
    <w:rsid w:val="00405A13"/>
    <w:rsid w:val="00405BBD"/>
    <w:rsid w:val="00405C1D"/>
    <w:rsid w:val="00405CAE"/>
    <w:rsid w:val="00405D0E"/>
    <w:rsid w:val="00405D2F"/>
    <w:rsid w:val="00405E0A"/>
    <w:rsid w:val="00405FAE"/>
    <w:rsid w:val="0040631A"/>
    <w:rsid w:val="00406377"/>
    <w:rsid w:val="004063A8"/>
    <w:rsid w:val="0040640F"/>
    <w:rsid w:val="00406410"/>
    <w:rsid w:val="0040647D"/>
    <w:rsid w:val="004064AC"/>
    <w:rsid w:val="004064AD"/>
    <w:rsid w:val="004065EE"/>
    <w:rsid w:val="00406631"/>
    <w:rsid w:val="00406682"/>
    <w:rsid w:val="0040670A"/>
    <w:rsid w:val="0040671F"/>
    <w:rsid w:val="00406761"/>
    <w:rsid w:val="004067FF"/>
    <w:rsid w:val="00406819"/>
    <w:rsid w:val="00406905"/>
    <w:rsid w:val="00406932"/>
    <w:rsid w:val="00406D31"/>
    <w:rsid w:val="00406E4A"/>
    <w:rsid w:val="00406E6F"/>
    <w:rsid w:val="0040701D"/>
    <w:rsid w:val="00407081"/>
    <w:rsid w:val="0040710E"/>
    <w:rsid w:val="004072E3"/>
    <w:rsid w:val="00407326"/>
    <w:rsid w:val="00407534"/>
    <w:rsid w:val="00407846"/>
    <w:rsid w:val="004078E6"/>
    <w:rsid w:val="00407B0A"/>
    <w:rsid w:val="00407D7B"/>
    <w:rsid w:val="00407E45"/>
    <w:rsid w:val="00407E6B"/>
    <w:rsid w:val="00407E89"/>
    <w:rsid w:val="00407FE3"/>
    <w:rsid w:val="00410031"/>
    <w:rsid w:val="00410175"/>
    <w:rsid w:val="00410317"/>
    <w:rsid w:val="004103BD"/>
    <w:rsid w:val="0041048A"/>
    <w:rsid w:val="004104AB"/>
    <w:rsid w:val="004104D8"/>
    <w:rsid w:val="00410587"/>
    <w:rsid w:val="004107C8"/>
    <w:rsid w:val="0041081F"/>
    <w:rsid w:val="004108A3"/>
    <w:rsid w:val="00410948"/>
    <w:rsid w:val="00410955"/>
    <w:rsid w:val="00410A83"/>
    <w:rsid w:val="00410A9E"/>
    <w:rsid w:val="00410B38"/>
    <w:rsid w:val="00410BE4"/>
    <w:rsid w:val="00410BF7"/>
    <w:rsid w:val="0041104D"/>
    <w:rsid w:val="0041117C"/>
    <w:rsid w:val="00411366"/>
    <w:rsid w:val="004115E6"/>
    <w:rsid w:val="00411610"/>
    <w:rsid w:val="0041163A"/>
    <w:rsid w:val="00411671"/>
    <w:rsid w:val="00411686"/>
    <w:rsid w:val="004116B6"/>
    <w:rsid w:val="00411778"/>
    <w:rsid w:val="00411846"/>
    <w:rsid w:val="004118AB"/>
    <w:rsid w:val="004118D1"/>
    <w:rsid w:val="004118EB"/>
    <w:rsid w:val="00411A1E"/>
    <w:rsid w:val="00411A56"/>
    <w:rsid w:val="00411BCF"/>
    <w:rsid w:val="00411D09"/>
    <w:rsid w:val="00411EB2"/>
    <w:rsid w:val="00411F4E"/>
    <w:rsid w:val="00411FB6"/>
    <w:rsid w:val="00411FD7"/>
    <w:rsid w:val="00412043"/>
    <w:rsid w:val="0041204A"/>
    <w:rsid w:val="00412080"/>
    <w:rsid w:val="004121FF"/>
    <w:rsid w:val="0041222E"/>
    <w:rsid w:val="004122F9"/>
    <w:rsid w:val="004123B2"/>
    <w:rsid w:val="00412569"/>
    <w:rsid w:val="0041256C"/>
    <w:rsid w:val="00412726"/>
    <w:rsid w:val="00412788"/>
    <w:rsid w:val="00412832"/>
    <w:rsid w:val="00412872"/>
    <w:rsid w:val="0041291A"/>
    <w:rsid w:val="004129D9"/>
    <w:rsid w:val="00412A65"/>
    <w:rsid w:val="00412B0C"/>
    <w:rsid w:val="00412DBD"/>
    <w:rsid w:val="00412DC1"/>
    <w:rsid w:val="00412E39"/>
    <w:rsid w:val="00412E7E"/>
    <w:rsid w:val="00412F46"/>
    <w:rsid w:val="004130AE"/>
    <w:rsid w:val="00413312"/>
    <w:rsid w:val="0041335B"/>
    <w:rsid w:val="004133D4"/>
    <w:rsid w:val="00413415"/>
    <w:rsid w:val="0041343F"/>
    <w:rsid w:val="00413475"/>
    <w:rsid w:val="004134C1"/>
    <w:rsid w:val="00413541"/>
    <w:rsid w:val="004135A9"/>
    <w:rsid w:val="004135D6"/>
    <w:rsid w:val="004136C9"/>
    <w:rsid w:val="0041382D"/>
    <w:rsid w:val="00413863"/>
    <w:rsid w:val="00413926"/>
    <w:rsid w:val="00413B76"/>
    <w:rsid w:val="00413B86"/>
    <w:rsid w:val="00413BF6"/>
    <w:rsid w:val="00413CCD"/>
    <w:rsid w:val="00413D26"/>
    <w:rsid w:val="00413F57"/>
    <w:rsid w:val="00414215"/>
    <w:rsid w:val="00414236"/>
    <w:rsid w:val="00414469"/>
    <w:rsid w:val="004144AD"/>
    <w:rsid w:val="00414585"/>
    <w:rsid w:val="004146A5"/>
    <w:rsid w:val="004146DF"/>
    <w:rsid w:val="0041472E"/>
    <w:rsid w:val="0041488E"/>
    <w:rsid w:val="00414D80"/>
    <w:rsid w:val="00414DD5"/>
    <w:rsid w:val="00414E0E"/>
    <w:rsid w:val="00414E33"/>
    <w:rsid w:val="00414E8A"/>
    <w:rsid w:val="00414FF7"/>
    <w:rsid w:val="0041508C"/>
    <w:rsid w:val="0041516D"/>
    <w:rsid w:val="0041534B"/>
    <w:rsid w:val="00415429"/>
    <w:rsid w:val="00415433"/>
    <w:rsid w:val="00415585"/>
    <w:rsid w:val="004155FD"/>
    <w:rsid w:val="00415673"/>
    <w:rsid w:val="004156A9"/>
    <w:rsid w:val="004156C5"/>
    <w:rsid w:val="00415708"/>
    <w:rsid w:val="00415995"/>
    <w:rsid w:val="0041599F"/>
    <w:rsid w:val="004159C8"/>
    <w:rsid w:val="00415A14"/>
    <w:rsid w:val="00415AAD"/>
    <w:rsid w:val="00415C81"/>
    <w:rsid w:val="00415CD3"/>
    <w:rsid w:val="00415DB5"/>
    <w:rsid w:val="00415DBA"/>
    <w:rsid w:val="00415F50"/>
    <w:rsid w:val="00415FFA"/>
    <w:rsid w:val="00416097"/>
    <w:rsid w:val="004160A7"/>
    <w:rsid w:val="0041618A"/>
    <w:rsid w:val="0041632E"/>
    <w:rsid w:val="004163C9"/>
    <w:rsid w:val="00416426"/>
    <w:rsid w:val="004164A3"/>
    <w:rsid w:val="0041650F"/>
    <w:rsid w:val="00416739"/>
    <w:rsid w:val="00416817"/>
    <w:rsid w:val="00416987"/>
    <w:rsid w:val="004169A3"/>
    <w:rsid w:val="004169B9"/>
    <w:rsid w:val="00416A31"/>
    <w:rsid w:val="00416B4D"/>
    <w:rsid w:val="00416B50"/>
    <w:rsid w:val="00416BD8"/>
    <w:rsid w:val="00416CC6"/>
    <w:rsid w:val="00416CE5"/>
    <w:rsid w:val="00416D06"/>
    <w:rsid w:val="00416D93"/>
    <w:rsid w:val="00417006"/>
    <w:rsid w:val="0041703B"/>
    <w:rsid w:val="0041731F"/>
    <w:rsid w:val="004174D9"/>
    <w:rsid w:val="004174DB"/>
    <w:rsid w:val="00417507"/>
    <w:rsid w:val="00417532"/>
    <w:rsid w:val="0041759E"/>
    <w:rsid w:val="004176AB"/>
    <w:rsid w:val="004176B0"/>
    <w:rsid w:val="00417833"/>
    <w:rsid w:val="00417849"/>
    <w:rsid w:val="00417936"/>
    <w:rsid w:val="00417AA6"/>
    <w:rsid w:val="00417B0E"/>
    <w:rsid w:val="00417C85"/>
    <w:rsid w:val="00417CFC"/>
    <w:rsid w:val="00417D5D"/>
    <w:rsid w:val="00417D84"/>
    <w:rsid w:val="00417F0E"/>
    <w:rsid w:val="00417FDE"/>
    <w:rsid w:val="004200C1"/>
    <w:rsid w:val="0042017C"/>
    <w:rsid w:val="004201E3"/>
    <w:rsid w:val="0042045F"/>
    <w:rsid w:val="00420461"/>
    <w:rsid w:val="00420472"/>
    <w:rsid w:val="004204A1"/>
    <w:rsid w:val="00420510"/>
    <w:rsid w:val="004205D0"/>
    <w:rsid w:val="00420648"/>
    <w:rsid w:val="004207A9"/>
    <w:rsid w:val="00420909"/>
    <w:rsid w:val="004209EA"/>
    <w:rsid w:val="00420A95"/>
    <w:rsid w:val="00420B29"/>
    <w:rsid w:val="00420DB1"/>
    <w:rsid w:val="00420DB7"/>
    <w:rsid w:val="00420DC0"/>
    <w:rsid w:val="00420DD8"/>
    <w:rsid w:val="00420E56"/>
    <w:rsid w:val="00420E83"/>
    <w:rsid w:val="00420FB0"/>
    <w:rsid w:val="00420FE1"/>
    <w:rsid w:val="00421022"/>
    <w:rsid w:val="00421159"/>
    <w:rsid w:val="0042115D"/>
    <w:rsid w:val="0042120D"/>
    <w:rsid w:val="00421227"/>
    <w:rsid w:val="0042139F"/>
    <w:rsid w:val="0042140B"/>
    <w:rsid w:val="004214B6"/>
    <w:rsid w:val="004214DE"/>
    <w:rsid w:val="0042155D"/>
    <w:rsid w:val="00421752"/>
    <w:rsid w:val="00421862"/>
    <w:rsid w:val="0042189D"/>
    <w:rsid w:val="00421A9E"/>
    <w:rsid w:val="00421BDF"/>
    <w:rsid w:val="00421C40"/>
    <w:rsid w:val="00421C6F"/>
    <w:rsid w:val="00421CB9"/>
    <w:rsid w:val="00421D26"/>
    <w:rsid w:val="00421D6A"/>
    <w:rsid w:val="00421DC7"/>
    <w:rsid w:val="00421E3F"/>
    <w:rsid w:val="00421EFA"/>
    <w:rsid w:val="00421F36"/>
    <w:rsid w:val="00421FCC"/>
    <w:rsid w:val="004220B7"/>
    <w:rsid w:val="0042218E"/>
    <w:rsid w:val="00422196"/>
    <w:rsid w:val="004221F1"/>
    <w:rsid w:val="00422243"/>
    <w:rsid w:val="004222BC"/>
    <w:rsid w:val="004223A0"/>
    <w:rsid w:val="00422715"/>
    <w:rsid w:val="00422834"/>
    <w:rsid w:val="0042292F"/>
    <w:rsid w:val="004229EA"/>
    <w:rsid w:val="00422A79"/>
    <w:rsid w:val="00422AC6"/>
    <w:rsid w:val="00422C2B"/>
    <w:rsid w:val="00422CB1"/>
    <w:rsid w:val="00422D16"/>
    <w:rsid w:val="00422D3B"/>
    <w:rsid w:val="00422DC8"/>
    <w:rsid w:val="00422DFE"/>
    <w:rsid w:val="00423186"/>
    <w:rsid w:val="0042327A"/>
    <w:rsid w:val="004232BD"/>
    <w:rsid w:val="0042331B"/>
    <w:rsid w:val="0042335D"/>
    <w:rsid w:val="00423376"/>
    <w:rsid w:val="004234AF"/>
    <w:rsid w:val="004234F5"/>
    <w:rsid w:val="00423511"/>
    <w:rsid w:val="00423629"/>
    <w:rsid w:val="0042373F"/>
    <w:rsid w:val="00423743"/>
    <w:rsid w:val="00423794"/>
    <w:rsid w:val="00423B16"/>
    <w:rsid w:val="00423E8D"/>
    <w:rsid w:val="00423EA2"/>
    <w:rsid w:val="00423F63"/>
    <w:rsid w:val="00423FD5"/>
    <w:rsid w:val="00424235"/>
    <w:rsid w:val="0042430A"/>
    <w:rsid w:val="004243EF"/>
    <w:rsid w:val="0042447A"/>
    <w:rsid w:val="00424592"/>
    <w:rsid w:val="0042463E"/>
    <w:rsid w:val="00424698"/>
    <w:rsid w:val="004246D7"/>
    <w:rsid w:val="00424715"/>
    <w:rsid w:val="00424909"/>
    <w:rsid w:val="00424957"/>
    <w:rsid w:val="004249E5"/>
    <w:rsid w:val="00424B07"/>
    <w:rsid w:val="00424B86"/>
    <w:rsid w:val="00424C1F"/>
    <w:rsid w:val="00424CB6"/>
    <w:rsid w:val="00424DAA"/>
    <w:rsid w:val="00424FC9"/>
    <w:rsid w:val="004250BF"/>
    <w:rsid w:val="0042522F"/>
    <w:rsid w:val="004252BB"/>
    <w:rsid w:val="004252C0"/>
    <w:rsid w:val="004252F0"/>
    <w:rsid w:val="00425305"/>
    <w:rsid w:val="00425397"/>
    <w:rsid w:val="00425528"/>
    <w:rsid w:val="004256F4"/>
    <w:rsid w:val="00425717"/>
    <w:rsid w:val="0042576E"/>
    <w:rsid w:val="004257E6"/>
    <w:rsid w:val="004257FC"/>
    <w:rsid w:val="00425817"/>
    <w:rsid w:val="00425826"/>
    <w:rsid w:val="00425835"/>
    <w:rsid w:val="004258B2"/>
    <w:rsid w:val="00425996"/>
    <w:rsid w:val="004259DC"/>
    <w:rsid w:val="00425A2E"/>
    <w:rsid w:val="00425AB8"/>
    <w:rsid w:val="00425B38"/>
    <w:rsid w:val="00425C63"/>
    <w:rsid w:val="00425D1B"/>
    <w:rsid w:val="00425E5E"/>
    <w:rsid w:val="00425EC8"/>
    <w:rsid w:val="00425F58"/>
    <w:rsid w:val="00425F97"/>
    <w:rsid w:val="00425FBF"/>
    <w:rsid w:val="0042608F"/>
    <w:rsid w:val="004261D7"/>
    <w:rsid w:val="004261F2"/>
    <w:rsid w:val="00426249"/>
    <w:rsid w:val="004264F0"/>
    <w:rsid w:val="004264F1"/>
    <w:rsid w:val="0042650A"/>
    <w:rsid w:val="0042659A"/>
    <w:rsid w:val="004266D8"/>
    <w:rsid w:val="0042673D"/>
    <w:rsid w:val="004267D8"/>
    <w:rsid w:val="0042688A"/>
    <w:rsid w:val="00426904"/>
    <w:rsid w:val="0042693C"/>
    <w:rsid w:val="00426954"/>
    <w:rsid w:val="00426995"/>
    <w:rsid w:val="0042699B"/>
    <w:rsid w:val="00426A38"/>
    <w:rsid w:val="00426AAE"/>
    <w:rsid w:val="00426B9D"/>
    <w:rsid w:val="00426BF4"/>
    <w:rsid w:val="00426C13"/>
    <w:rsid w:val="00426D29"/>
    <w:rsid w:val="00426D9E"/>
    <w:rsid w:val="00426DF6"/>
    <w:rsid w:val="00426F0E"/>
    <w:rsid w:val="004271A6"/>
    <w:rsid w:val="00427262"/>
    <w:rsid w:val="0042730A"/>
    <w:rsid w:val="004275C3"/>
    <w:rsid w:val="004275E2"/>
    <w:rsid w:val="00427669"/>
    <w:rsid w:val="00427837"/>
    <w:rsid w:val="004278D7"/>
    <w:rsid w:val="0042797A"/>
    <w:rsid w:val="0042798A"/>
    <w:rsid w:val="00427A26"/>
    <w:rsid w:val="00427AF4"/>
    <w:rsid w:val="00427B5D"/>
    <w:rsid w:val="00427C41"/>
    <w:rsid w:val="00427C96"/>
    <w:rsid w:val="00427CB8"/>
    <w:rsid w:val="00427CCF"/>
    <w:rsid w:val="00427D06"/>
    <w:rsid w:val="00427D75"/>
    <w:rsid w:val="00427E46"/>
    <w:rsid w:val="00427E52"/>
    <w:rsid w:val="00427ED2"/>
    <w:rsid w:val="0042C0D0"/>
    <w:rsid w:val="004300FA"/>
    <w:rsid w:val="00430351"/>
    <w:rsid w:val="004303F4"/>
    <w:rsid w:val="00430413"/>
    <w:rsid w:val="004305C6"/>
    <w:rsid w:val="00430614"/>
    <w:rsid w:val="0043073B"/>
    <w:rsid w:val="004307DC"/>
    <w:rsid w:val="0043082F"/>
    <w:rsid w:val="00430860"/>
    <w:rsid w:val="0043093D"/>
    <w:rsid w:val="004309A5"/>
    <w:rsid w:val="00430CEF"/>
    <w:rsid w:val="00430D4B"/>
    <w:rsid w:val="00430DB8"/>
    <w:rsid w:val="00430E03"/>
    <w:rsid w:val="00430E5E"/>
    <w:rsid w:val="00430EBA"/>
    <w:rsid w:val="00430ED6"/>
    <w:rsid w:val="00430F77"/>
    <w:rsid w:val="00430F98"/>
    <w:rsid w:val="00430FF1"/>
    <w:rsid w:val="00431036"/>
    <w:rsid w:val="00431077"/>
    <w:rsid w:val="0043112F"/>
    <w:rsid w:val="004312BE"/>
    <w:rsid w:val="00431360"/>
    <w:rsid w:val="00431384"/>
    <w:rsid w:val="00431414"/>
    <w:rsid w:val="0043144B"/>
    <w:rsid w:val="0043152F"/>
    <w:rsid w:val="00431554"/>
    <w:rsid w:val="00431559"/>
    <w:rsid w:val="00431691"/>
    <w:rsid w:val="00431695"/>
    <w:rsid w:val="004316B4"/>
    <w:rsid w:val="00431756"/>
    <w:rsid w:val="004317ED"/>
    <w:rsid w:val="004319EA"/>
    <w:rsid w:val="00431A4D"/>
    <w:rsid w:val="00431ADD"/>
    <w:rsid w:val="00431B86"/>
    <w:rsid w:val="00431B92"/>
    <w:rsid w:val="00431EA4"/>
    <w:rsid w:val="00431FD7"/>
    <w:rsid w:val="004321FF"/>
    <w:rsid w:val="004322CE"/>
    <w:rsid w:val="004322D5"/>
    <w:rsid w:val="00432378"/>
    <w:rsid w:val="0043251F"/>
    <w:rsid w:val="00432566"/>
    <w:rsid w:val="0043261A"/>
    <w:rsid w:val="00432623"/>
    <w:rsid w:val="00432894"/>
    <w:rsid w:val="0043289D"/>
    <w:rsid w:val="00432991"/>
    <w:rsid w:val="00432D5A"/>
    <w:rsid w:val="00432DBB"/>
    <w:rsid w:val="00432E22"/>
    <w:rsid w:val="00432F34"/>
    <w:rsid w:val="00432F8C"/>
    <w:rsid w:val="004332A8"/>
    <w:rsid w:val="0043335D"/>
    <w:rsid w:val="00433390"/>
    <w:rsid w:val="0043348C"/>
    <w:rsid w:val="004334AE"/>
    <w:rsid w:val="004335F8"/>
    <w:rsid w:val="0043362B"/>
    <w:rsid w:val="004336BC"/>
    <w:rsid w:val="004336DC"/>
    <w:rsid w:val="00433943"/>
    <w:rsid w:val="00433945"/>
    <w:rsid w:val="00433B5D"/>
    <w:rsid w:val="00433BF3"/>
    <w:rsid w:val="00433C65"/>
    <w:rsid w:val="00433CF4"/>
    <w:rsid w:val="00433D43"/>
    <w:rsid w:val="00433DAF"/>
    <w:rsid w:val="00433E4E"/>
    <w:rsid w:val="00433E55"/>
    <w:rsid w:val="00434020"/>
    <w:rsid w:val="00434113"/>
    <w:rsid w:val="00434140"/>
    <w:rsid w:val="00434202"/>
    <w:rsid w:val="00434212"/>
    <w:rsid w:val="00434216"/>
    <w:rsid w:val="00434258"/>
    <w:rsid w:val="004344BE"/>
    <w:rsid w:val="00434613"/>
    <w:rsid w:val="00434702"/>
    <w:rsid w:val="004347D8"/>
    <w:rsid w:val="004347EC"/>
    <w:rsid w:val="0043488E"/>
    <w:rsid w:val="004349CD"/>
    <w:rsid w:val="00434A39"/>
    <w:rsid w:val="00434B6D"/>
    <w:rsid w:val="00434C1E"/>
    <w:rsid w:val="00434C2C"/>
    <w:rsid w:val="00434C59"/>
    <w:rsid w:val="00434C76"/>
    <w:rsid w:val="00434C8E"/>
    <w:rsid w:val="00434C9C"/>
    <w:rsid w:val="00434D9E"/>
    <w:rsid w:val="00434DBC"/>
    <w:rsid w:val="00434DEC"/>
    <w:rsid w:val="00434DF3"/>
    <w:rsid w:val="00434FDD"/>
    <w:rsid w:val="0043505E"/>
    <w:rsid w:val="0043510C"/>
    <w:rsid w:val="0043512C"/>
    <w:rsid w:val="004351B6"/>
    <w:rsid w:val="00435266"/>
    <w:rsid w:val="004352C8"/>
    <w:rsid w:val="004354B2"/>
    <w:rsid w:val="004354B5"/>
    <w:rsid w:val="00435603"/>
    <w:rsid w:val="00435610"/>
    <w:rsid w:val="004356C9"/>
    <w:rsid w:val="00435802"/>
    <w:rsid w:val="00435B04"/>
    <w:rsid w:val="00435B10"/>
    <w:rsid w:val="00435B6D"/>
    <w:rsid w:val="00435BA5"/>
    <w:rsid w:val="00435C3C"/>
    <w:rsid w:val="00435C4C"/>
    <w:rsid w:val="00435D40"/>
    <w:rsid w:val="00435E25"/>
    <w:rsid w:val="00435EB7"/>
    <w:rsid w:val="00435F69"/>
    <w:rsid w:val="00436082"/>
    <w:rsid w:val="00436141"/>
    <w:rsid w:val="004361ED"/>
    <w:rsid w:val="0043620A"/>
    <w:rsid w:val="0043639C"/>
    <w:rsid w:val="00436501"/>
    <w:rsid w:val="0043674F"/>
    <w:rsid w:val="0043686E"/>
    <w:rsid w:val="00436953"/>
    <w:rsid w:val="00436978"/>
    <w:rsid w:val="00436E69"/>
    <w:rsid w:val="00436F29"/>
    <w:rsid w:val="004370BD"/>
    <w:rsid w:val="0043715D"/>
    <w:rsid w:val="004371E3"/>
    <w:rsid w:val="00437235"/>
    <w:rsid w:val="0043731E"/>
    <w:rsid w:val="0043735C"/>
    <w:rsid w:val="004373C2"/>
    <w:rsid w:val="00437404"/>
    <w:rsid w:val="004374BD"/>
    <w:rsid w:val="004374FF"/>
    <w:rsid w:val="00437596"/>
    <w:rsid w:val="004375AD"/>
    <w:rsid w:val="00437968"/>
    <w:rsid w:val="00437AD3"/>
    <w:rsid w:val="00437B7F"/>
    <w:rsid w:val="00437BDE"/>
    <w:rsid w:val="00437C63"/>
    <w:rsid w:val="00437CF1"/>
    <w:rsid w:val="00437D5F"/>
    <w:rsid w:val="00437D88"/>
    <w:rsid w:val="00437F83"/>
    <w:rsid w:val="0044002C"/>
    <w:rsid w:val="0044018C"/>
    <w:rsid w:val="004401AD"/>
    <w:rsid w:val="004403B9"/>
    <w:rsid w:val="00440413"/>
    <w:rsid w:val="0044045E"/>
    <w:rsid w:val="0044047F"/>
    <w:rsid w:val="004405A0"/>
    <w:rsid w:val="00440634"/>
    <w:rsid w:val="004406A9"/>
    <w:rsid w:val="00440787"/>
    <w:rsid w:val="0044090A"/>
    <w:rsid w:val="0044095B"/>
    <w:rsid w:val="00440ACA"/>
    <w:rsid w:val="00440AE6"/>
    <w:rsid w:val="00440B32"/>
    <w:rsid w:val="00440BD2"/>
    <w:rsid w:val="00440C13"/>
    <w:rsid w:val="00440D65"/>
    <w:rsid w:val="00440E91"/>
    <w:rsid w:val="00440FB0"/>
    <w:rsid w:val="0044108C"/>
    <w:rsid w:val="004410C1"/>
    <w:rsid w:val="004410E9"/>
    <w:rsid w:val="0044124D"/>
    <w:rsid w:val="004412A8"/>
    <w:rsid w:val="004412E7"/>
    <w:rsid w:val="00441314"/>
    <w:rsid w:val="0044169B"/>
    <w:rsid w:val="004416FC"/>
    <w:rsid w:val="004418D6"/>
    <w:rsid w:val="0044190D"/>
    <w:rsid w:val="00441A29"/>
    <w:rsid w:val="00441B21"/>
    <w:rsid w:val="00441E57"/>
    <w:rsid w:val="00441E74"/>
    <w:rsid w:val="00441EDE"/>
    <w:rsid w:val="00441F5C"/>
    <w:rsid w:val="004420B4"/>
    <w:rsid w:val="00442125"/>
    <w:rsid w:val="0044214E"/>
    <w:rsid w:val="004421F9"/>
    <w:rsid w:val="0044227D"/>
    <w:rsid w:val="004423C4"/>
    <w:rsid w:val="0044241D"/>
    <w:rsid w:val="0044247B"/>
    <w:rsid w:val="004424D2"/>
    <w:rsid w:val="00442613"/>
    <w:rsid w:val="00442708"/>
    <w:rsid w:val="004429D0"/>
    <w:rsid w:val="00442A15"/>
    <w:rsid w:val="00442A38"/>
    <w:rsid w:val="00442A70"/>
    <w:rsid w:val="00442AE9"/>
    <w:rsid w:val="00442BB1"/>
    <w:rsid w:val="00442BE0"/>
    <w:rsid w:val="00442C03"/>
    <w:rsid w:val="00442C1D"/>
    <w:rsid w:val="00442D5F"/>
    <w:rsid w:val="00442E7D"/>
    <w:rsid w:val="00443062"/>
    <w:rsid w:val="0044318B"/>
    <w:rsid w:val="00443196"/>
    <w:rsid w:val="004431C1"/>
    <w:rsid w:val="004431C4"/>
    <w:rsid w:val="00443339"/>
    <w:rsid w:val="00443485"/>
    <w:rsid w:val="0044349F"/>
    <w:rsid w:val="004435DE"/>
    <w:rsid w:val="004435E6"/>
    <w:rsid w:val="0044365F"/>
    <w:rsid w:val="004436E2"/>
    <w:rsid w:val="00443775"/>
    <w:rsid w:val="004437A1"/>
    <w:rsid w:val="004437FA"/>
    <w:rsid w:val="00443879"/>
    <w:rsid w:val="00443929"/>
    <w:rsid w:val="00443A6A"/>
    <w:rsid w:val="00443A89"/>
    <w:rsid w:val="00443A95"/>
    <w:rsid w:val="00443C2E"/>
    <w:rsid w:val="00443C65"/>
    <w:rsid w:val="00443CFD"/>
    <w:rsid w:val="00443DC8"/>
    <w:rsid w:val="00443EA0"/>
    <w:rsid w:val="00443F4D"/>
    <w:rsid w:val="00443F6A"/>
    <w:rsid w:val="004440B3"/>
    <w:rsid w:val="0044414F"/>
    <w:rsid w:val="00444278"/>
    <w:rsid w:val="00444342"/>
    <w:rsid w:val="0044448A"/>
    <w:rsid w:val="004444A9"/>
    <w:rsid w:val="004444FB"/>
    <w:rsid w:val="00444505"/>
    <w:rsid w:val="00444989"/>
    <w:rsid w:val="004449D2"/>
    <w:rsid w:val="00444ADF"/>
    <w:rsid w:val="00444AE6"/>
    <w:rsid w:val="00444AE9"/>
    <w:rsid w:val="00444CFB"/>
    <w:rsid w:val="0044516D"/>
    <w:rsid w:val="004456E4"/>
    <w:rsid w:val="0044578A"/>
    <w:rsid w:val="004457F7"/>
    <w:rsid w:val="004458A1"/>
    <w:rsid w:val="004458B0"/>
    <w:rsid w:val="004459BA"/>
    <w:rsid w:val="00445A5D"/>
    <w:rsid w:val="00445D7E"/>
    <w:rsid w:val="00445E08"/>
    <w:rsid w:val="00445E98"/>
    <w:rsid w:val="00445EE7"/>
    <w:rsid w:val="00445EEE"/>
    <w:rsid w:val="00445FB2"/>
    <w:rsid w:val="00446008"/>
    <w:rsid w:val="00446085"/>
    <w:rsid w:val="004460A8"/>
    <w:rsid w:val="0044611B"/>
    <w:rsid w:val="004461BB"/>
    <w:rsid w:val="00446423"/>
    <w:rsid w:val="00446554"/>
    <w:rsid w:val="00446836"/>
    <w:rsid w:val="00446837"/>
    <w:rsid w:val="0044694D"/>
    <w:rsid w:val="004469AF"/>
    <w:rsid w:val="00446C81"/>
    <w:rsid w:val="00446C96"/>
    <w:rsid w:val="00446D6F"/>
    <w:rsid w:val="00446E02"/>
    <w:rsid w:val="00446EC5"/>
    <w:rsid w:val="00446ECA"/>
    <w:rsid w:val="00446ED1"/>
    <w:rsid w:val="0044705D"/>
    <w:rsid w:val="00447305"/>
    <w:rsid w:val="00447393"/>
    <w:rsid w:val="00447527"/>
    <w:rsid w:val="00447594"/>
    <w:rsid w:val="004475D5"/>
    <w:rsid w:val="0044771C"/>
    <w:rsid w:val="004478B1"/>
    <w:rsid w:val="00447910"/>
    <w:rsid w:val="004479E3"/>
    <w:rsid w:val="00447A5E"/>
    <w:rsid w:val="00447B51"/>
    <w:rsid w:val="00447CD1"/>
    <w:rsid w:val="00447DD9"/>
    <w:rsid w:val="00447DEC"/>
    <w:rsid w:val="00447E31"/>
    <w:rsid w:val="00447EE1"/>
    <w:rsid w:val="00448E68"/>
    <w:rsid w:val="004500AE"/>
    <w:rsid w:val="004500E1"/>
    <w:rsid w:val="0045016E"/>
    <w:rsid w:val="004501AA"/>
    <w:rsid w:val="00450228"/>
    <w:rsid w:val="004502D4"/>
    <w:rsid w:val="004503E0"/>
    <w:rsid w:val="00450541"/>
    <w:rsid w:val="0045074D"/>
    <w:rsid w:val="00450771"/>
    <w:rsid w:val="00450987"/>
    <w:rsid w:val="00450A7D"/>
    <w:rsid w:val="00450AD3"/>
    <w:rsid w:val="00450AE5"/>
    <w:rsid w:val="00450CFC"/>
    <w:rsid w:val="00450D04"/>
    <w:rsid w:val="00450D0E"/>
    <w:rsid w:val="00450D9A"/>
    <w:rsid w:val="00450E26"/>
    <w:rsid w:val="004510A5"/>
    <w:rsid w:val="004510BC"/>
    <w:rsid w:val="004510D6"/>
    <w:rsid w:val="00451230"/>
    <w:rsid w:val="00451270"/>
    <w:rsid w:val="00451281"/>
    <w:rsid w:val="00451310"/>
    <w:rsid w:val="00451377"/>
    <w:rsid w:val="004513A8"/>
    <w:rsid w:val="004513C6"/>
    <w:rsid w:val="004515B0"/>
    <w:rsid w:val="00451715"/>
    <w:rsid w:val="0045180E"/>
    <w:rsid w:val="004518EB"/>
    <w:rsid w:val="004518EC"/>
    <w:rsid w:val="0045194D"/>
    <w:rsid w:val="00451ACC"/>
    <w:rsid w:val="00451AEF"/>
    <w:rsid w:val="00451D3A"/>
    <w:rsid w:val="00451D6A"/>
    <w:rsid w:val="00451DF5"/>
    <w:rsid w:val="00451E12"/>
    <w:rsid w:val="00451E24"/>
    <w:rsid w:val="00451FDE"/>
    <w:rsid w:val="00452484"/>
    <w:rsid w:val="004525DC"/>
    <w:rsid w:val="004526E1"/>
    <w:rsid w:val="004528BA"/>
    <w:rsid w:val="00452A0A"/>
    <w:rsid w:val="00452A9B"/>
    <w:rsid w:val="00452AB9"/>
    <w:rsid w:val="00452B55"/>
    <w:rsid w:val="00452C45"/>
    <w:rsid w:val="00452CA4"/>
    <w:rsid w:val="00452D3D"/>
    <w:rsid w:val="00452DDF"/>
    <w:rsid w:val="00453032"/>
    <w:rsid w:val="00453079"/>
    <w:rsid w:val="00453182"/>
    <w:rsid w:val="004531F1"/>
    <w:rsid w:val="00453253"/>
    <w:rsid w:val="0045326F"/>
    <w:rsid w:val="0045337A"/>
    <w:rsid w:val="0045338C"/>
    <w:rsid w:val="00453447"/>
    <w:rsid w:val="00453479"/>
    <w:rsid w:val="00453480"/>
    <w:rsid w:val="0045359C"/>
    <w:rsid w:val="004536B4"/>
    <w:rsid w:val="0045373F"/>
    <w:rsid w:val="0045382D"/>
    <w:rsid w:val="00453865"/>
    <w:rsid w:val="004538BA"/>
    <w:rsid w:val="00453923"/>
    <w:rsid w:val="004539CE"/>
    <w:rsid w:val="004539E4"/>
    <w:rsid w:val="00453BA1"/>
    <w:rsid w:val="00453BD5"/>
    <w:rsid w:val="00453CE1"/>
    <w:rsid w:val="00453E86"/>
    <w:rsid w:val="00453EA5"/>
    <w:rsid w:val="00453F33"/>
    <w:rsid w:val="00453F9D"/>
    <w:rsid w:val="0045426F"/>
    <w:rsid w:val="004542C1"/>
    <w:rsid w:val="004543E7"/>
    <w:rsid w:val="00454498"/>
    <w:rsid w:val="004545B5"/>
    <w:rsid w:val="0045466C"/>
    <w:rsid w:val="004547BE"/>
    <w:rsid w:val="0045485D"/>
    <w:rsid w:val="004549E2"/>
    <w:rsid w:val="00454A76"/>
    <w:rsid w:val="00454ADC"/>
    <w:rsid w:val="00454B2E"/>
    <w:rsid w:val="00454B69"/>
    <w:rsid w:val="00454B9B"/>
    <w:rsid w:val="00454C3B"/>
    <w:rsid w:val="00454D8A"/>
    <w:rsid w:val="00454DDD"/>
    <w:rsid w:val="0045510F"/>
    <w:rsid w:val="00455133"/>
    <w:rsid w:val="0045527F"/>
    <w:rsid w:val="00455282"/>
    <w:rsid w:val="00455317"/>
    <w:rsid w:val="0045540D"/>
    <w:rsid w:val="00455530"/>
    <w:rsid w:val="0045554B"/>
    <w:rsid w:val="00455799"/>
    <w:rsid w:val="00455856"/>
    <w:rsid w:val="004558BE"/>
    <w:rsid w:val="00455AC3"/>
    <w:rsid w:val="00455B6D"/>
    <w:rsid w:val="00455BE5"/>
    <w:rsid w:val="00455C45"/>
    <w:rsid w:val="00455C4F"/>
    <w:rsid w:val="00455DAC"/>
    <w:rsid w:val="00455E12"/>
    <w:rsid w:val="00455FE5"/>
    <w:rsid w:val="00456078"/>
    <w:rsid w:val="00456190"/>
    <w:rsid w:val="00456228"/>
    <w:rsid w:val="00456295"/>
    <w:rsid w:val="004563D9"/>
    <w:rsid w:val="00456442"/>
    <w:rsid w:val="004565DC"/>
    <w:rsid w:val="00456625"/>
    <w:rsid w:val="0045674C"/>
    <w:rsid w:val="00456783"/>
    <w:rsid w:val="004567C6"/>
    <w:rsid w:val="004567CC"/>
    <w:rsid w:val="00456811"/>
    <w:rsid w:val="004568A5"/>
    <w:rsid w:val="004568AD"/>
    <w:rsid w:val="00456978"/>
    <w:rsid w:val="00456A52"/>
    <w:rsid w:val="00456AB3"/>
    <w:rsid w:val="00456BFB"/>
    <w:rsid w:val="004571EE"/>
    <w:rsid w:val="00457299"/>
    <w:rsid w:val="004573D1"/>
    <w:rsid w:val="00457514"/>
    <w:rsid w:val="004576F8"/>
    <w:rsid w:val="0045772F"/>
    <w:rsid w:val="00457760"/>
    <w:rsid w:val="00457793"/>
    <w:rsid w:val="00457837"/>
    <w:rsid w:val="00457845"/>
    <w:rsid w:val="00457858"/>
    <w:rsid w:val="0045785E"/>
    <w:rsid w:val="00457A3B"/>
    <w:rsid w:val="00457B0F"/>
    <w:rsid w:val="00457B9F"/>
    <w:rsid w:val="00457CC5"/>
    <w:rsid w:val="00457D36"/>
    <w:rsid w:val="00460146"/>
    <w:rsid w:val="004603BE"/>
    <w:rsid w:val="0046044A"/>
    <w:rsid w:val="004605EB"/>
    <w:rsid w:val="0046062D"/>
    <w:rsid w:val="0046066C"/>
    <w:rsid w:val="00460675"/>
    <w:rsid w:val="0046079D"/>
    <w:rsid w:val="00460885"/>
    <w:rsid w:val="004608B5"/>
    <w:rsid w:val="00460906"/>
    <w:rsid w:val="00460B0B"/>
    <w:rsid w:val="00460C5D"/>
    <w:rsid w:val="00460E5F"/>
    <w:rsid w:val="00460FB6"/>
    <w:rsid w:val="00461023"/>
    <w:rsid w:val="0046134E"/>
    <w:rsid w:val="00461371"/>
    <w:rsid w:val="004614EF"/>
    <w:rsid w:val="00461656"/>
    <w:rsid w:val="004616F0"/>
    <w:rsid w:val="00461740"/>
    <w:rsid w:val="004617A4"/>
    <w:rsid w:val="00461AE0"/>
    <w:rsid w:val="00461EB3"/>
    <w:rsid w:val="00462068"/>
    <w:rsid w:val="00462080"/>
    <w:rsid w:val="00462139"/>
    <w:rsid w:val="0046234A"/>
    <w:rsid w:val="004624B6"/>
    <w:rsid w:val="0046260A"/>
    <w:rsid w:val="00462688"/>
    <w:rsid w:val="004626F0"/>
    <w:rsid w:val="004627B0"/>
    <w:rsid w:val="00462855"/>
    <w:rsid w:val="004629FF"/>
    <w:rsid w:val="00462B49"/>
    <w:rsid w:val="00462B94"/>
    <w:rsid w:val="00462BD4"/>
    <w:rsid w:val="00462BF6"/>
    <w:rsid w:val="00462D4D"/>
    <w:rsid w:val="00462D74"/>
    <w:rsid w:val="00462E79"/>
    <w:rsid w:val="00462ECC"/>
    <w:rsid w:val="00462F5F"/>
    <w:rsid w:val="00462FAC"/>
    <w:rsid w:val="00462FE8"/>
    <w:rsid w:val="004630E5"/>
    <w:rsid w:val="0046319E"/>
    <w:rsid w:val="004632A3"/>
    <w:rsid w:val="004632BB"/>
    <w:rsid w:val="00463373"/>
    <w:rsid w:val="0046358A"/>
    <w:rsid w:val="004635C2"/>
    <w:rsid w:val="00463658"/>
    <w:rsid w:val="0046374F"/>
    <w:rsid w:val="00463787"/>
    <w:rsid w:val="00463788"/>
    <w:rsid w:val="00463812"/>
    <w:rsid w:val="004638DD"/>
    <w:rsid w:val="004639A2"/>
    <w:rsid w:val="004639A3"/>
    <w:rsid w:val="00463A29"/>
    <w:rsid w:val="00463A76"/>
    <w:rsid w:val="00463B02"/>
    <w:rsid w:val="00463B35"/>
    <w:rsid w:val="00463BA2"/>
    <w:rsid w:val="00463BDC"/>
    <w:rsid w:val="00463C60"/>
    <w:rsid w:val="00463CD1"/>
    <w:rsid w:val="00463D54"/>
    <w:rsid w:val="00463FA0"/>
    <w:rsid w:val="00463FD0"/>
    <w:rsid w:val="00463FD9"/>
    <w:rsid w:val="00463FE6"/>
    <w:rsid w:val="0046401B"/>
    <w:rsid w:val="00464080"/>
    <w:rsid w:val="004640B6"/>
    <w:rsid w:val="00464147"/>
    <w:rsid w:val="00464242"/>
    <w:rsid w:val="0046425F"/>
    <w:rsid w:val="0046428C"/>
    <w:rsid w:val="00464291"/>
    <w:rsid w:val="004645D1"/>
    <w:rsid w:val="004645DD"/>
    <w:rsid w:val="00464611"/>
    <w:rsid w:val="00464631"/>
    <w:rsid w:val="00464780"/>
    <w:rsid w:val="00464793"/>
    <w:rsid w:val="00464796"/>
    <w:rsid w:val="00464797"/>
    <w:rsid w:val="0046481B"/>
    <w:rsid w:val="00464980"/>
    <w:rsid w:val="00464A03"/>
    <w:rsid w:val="00464B16"/>
    <w:rsid w:val="00464B79"/>
    <w:rsid w:val="00464BC2"/>
    <w:rsid w:val="00464E2E"/>
    <w:rsid w:val="00464EE8"/>
    <w:rsid w:val="00464EED"/>
    <w:rsid w:val="00464F33"/>
    <w:rsid w:val="00464F80"/>
    <w:rsid w:val="00465034"/>
    <w:rsid w:val="004650CF"/>
    <w:rsid w:val="004650DC"/>
    <w:rsid w:val="00465159"/>
    <w:rsid w:val="004651BF"/>
    <w:rsid w:val="00465227"/>
    <w:rsid w:val="0046523D"/>
    <w:rsid w:val="0046527C"/>
    <w:rsid w:val="00465343"/>
    <w:rsid w:val="0046538C"/>
    <w:rsid w:val="004653F9"/>
    <w:rsid w:val="00465424"/>
    <w:rsid w:val="004654F1"/>
    <w:rsid w:val="00465608"/>
    <w:rsid w:val="004656EC"/>
    <w:rsid w:val="00465778"/>
    <w:rsid w:val="0046579B"/>
    <w:rsid w:val="00465832"/>
    <w:rsid w:val="004658B4"/>
    <w:rsid w:val="00465A95"/>
    <w:rsid w:val="00465CA4"/>
    <w:rsid w:val="00465DD4"/>
    <w:rsid w:val="00465E04"/>
    <w:rsid w:val="00465F2C"/>
    <w:rsid w:val="00465F68"/>
    <w:rsid w:val="00466085"/>
    <w:rsid w:val="0046625F"/>
    <w:rsid w:val="004662E4"/>
    <w:rsid w:val="00466308"/>
    <w:rsid w:val="00466327"/>
    <w:rsid w:val="0046649E"/>
    <w:rsid w:val="004664A1"/>
    <w:rsid w:val="004664B9"/>
    <w:rsid w:val="00466540"/>
    <w:rsid w:val="00466576"/>
    <w:rsid w:val="004665BB"/>
    <w:rsid w:val="0046660E"/>
    <w:rsid w:val="00466992"/>
    <w:rsid w:val="00466B6D"/>
    <w:rsid w:val="00466CBD"/>
    <w:rsid w:val="00466D87"/>
    <w:rsid w:val="00466E4E"/>
    <w:rsid w:val="00466E7B"/>
    <w:rsid w:val="00466EB2"/>
    <w:rsid w:val="00466F5F"/>
    <w:rsid w:val="00466F8C"/>
    <w:rsid w:val="00466FD6"/>
    <w:rsid w:val="0046703D"/>
    <w:rsid w:val="0046704C"/>
    <w:rsid w:val="004671F3"/>
    <w:rsid w:val="00467366"/>
    <w:rsid w:val="0046747D"/>
    <w:rsid w:val="004674FC"/>
    <w:rsid w:val="0046752A"/>
    <w:rsid w:val="00467538"/>
    <w:rsid w:val="004675B3"/>
    <w:rsid w:val="00467758"/>
    <w:rsid w:val="00467773"/>
    <w:rsid w:val="0046778F"/>
    <w:rsid w:val="0046779E"/>
    <w:rsid w:val="004677FA"/>
    <w:rsid w:val="00467814"/>
    <w:rsid w:val="00467858"/>
    <w:rsid w:val="004678A5"/>
    <w:rsid w:val="004678DB"/>
    <w:rsid w:val="0046795E"/>
    <w:rsid w:val="00467A13"/>
    <w:rsid w:val="00467A34"/>
    <w:rsid w:val="00467BAC"/>
    <w:rsid w:val="00467BBF"/>
    <w:rsid w:val="00467BEA"/>
    <w:rsid w:val="00467D88"/>
    <w:rsid w:val="00467DA2"/>
    <w:rsid w:val="00467DD7"/>
    <w:rsid w:val="00467F21"/>
    <w:rsid w:val="00467F2C"/>
    <w:rsid w:val="00467F8A"/>
    <w:rsid w:val="00467FA9"/>
    <w:rsid w:val="00470176"/>
    <w:rsid w:val="00470180"/>
    <w:rsid w:val="004703A3"/>
    <w:rsid w:val="00470576"/>
    <w:rsid w:val="00470582"/>
    <w:rsid w:val="004705A8"/>
    <w:rsid w:val="004705D4"/>
    <w:rsid w:val="0047060D"/>
    <w:rsid w:val="00470656"/>
    <w:rsid w:val="004706EE"/>
    <w:rsid w:val="00470842"/>
    <w:rsid w:val="00470949"/>
    <w:rsid w:val="00470967"/>
    <w:rsid w:val="004709C4"/>
    <w:rsid w:val="00470A31"/>
    <w:rsid w:val="00470B2F"/>
    <w:rsid w:val="00470BBA"/>
    <w:rsid w:val="00470BD3"/>
    <w:rsid w:val="00470BD9"/>
    <w:rsid w:val="00470C27"/>
    <w:rsid w:val="00470C3D"/>
    <w:rsid w:val="00470C93"/>
    <w:rsid w:val="00470C9D"/>
    <w:rsid w:val="00470CDF"/>
    <w:rsid w:val="00470E69"/>
    <w:rsid w:val="00470E92"/>
    <w:rsid w:val="00470F54"/>
    <w:rsid w:val="00471018"/>
    <w:rsid w:val="00471071"/>
    <w:rsid w:val="0047129F"/>
    <w:rsid w:val="0047144A"/>
    <w:rsid w:val="00471473"/>
    <w:rsid w:val="00471526"/>
    <w:rsid w:val="00471687"/>
    <w:rsid w:val="0047173E"/>
    <w:rsid w:val="00471908"/>
    <w:rsid w:val="00471AF6"/>
    <w:rsid w:val="00471AF7"/>
    <w:rsid w:val="00471BBB"/>
    <w:rsid w:val="00471C55"/>
    <w:rsid w:val="00471E69"/>
    <w:rsid w:val="00471E90"/>
    <w:rsid w:val="00471F8B"/>
    <w:rsid w:val="00471FFB"/>
    <w:rsid w:val="00472014"/>
    <w:rsid w:val="0047227D"/>
    <w:rsid w:val="0047235D"/>
    <w:rsid w:val="004723E3"/>
    <w:rsid w:val="004724A1"/>
    <w:rsid w:val="00472544"/>
    <w:rsid w:val="00472580"/>
    <w:rsid w:val="004726C7"/>
    <w:rsid w:val="00472739"/>
    <w:rsid w:val="00472883"/>
    <w:rsid w:val="004728CA"/>
    <w:rsid w:val="004729B7"/>
    <w:rsid w:val="00472B49"/>
    <w:rsid w:val="00472C51"/>
    <w:rsid w:val="00472D55"/>
    <w:rsid w:val="00472E1F"/>
    <w:rsid w:val="00472F8D"/>
    <w:rsid w:val="004731C1"/>
    <w:rsid w:val="004731EE"/>
    <w:rsid w:val="00473251"/>
    <w:rsid w:val="00473549"/>
    <w:rsid w:val="00473564"/>
    <w:rsid w:val="0047356B"/>
    <w:rsid w:val="0047366C"/>
    <w:rsid w:val="0047369F"/>
    <w:rsid w:val="00473730"/>
    <w:rsid w:val="00473764"/>
    <w:rsid w:val="00473770"/>
    <w:rsid w:val="00473771"/>
    <w:rsid w:val="00473782"/>
    <w:rsid w:val="00473A67"/>
    <w:rsid w:val="00473D82"/>
    <w:rsid w:val="00473E00"/>
    <w:rsid w:val="00473E74"/>
    <w:rsid w:val="00473EB6"/>
    <w:rsid w:val="00473F45"/>
    <w:rsid w:val="00473FF1"/>
    <w:rsid w:val="00474016"/>
    <w:rsid w:val="0047406C"/>
    <w:rsid w:val="004740F8"/>
    <w:rsid w:val="0047418F"/>
    <w:rsid w:val="00474206"/>
    <w:rsid w:val="00474273"/>
    <w:rsid w:val="00474465"/>
    <w:rsid w:val="00474503"/>
    <w:rsid w:val="004745D9"/>
    <w:rsid w:val="004746D4"/>
    <w:rsid w:val="004746ED"/>
    <w:rsid w:val="00474774"/>
    <w:rsid w:val="0047490B"/>
    <w:rsid w:val="004749D8"/>
    <w:rsid w:val="00474A8B"/>
    <w:rsid w:val="00474ADA"/>
    <w:rsid w:val="00474AF1"/>
    <w:rsid w:val="00474B0F"/>
    <w:rsid w:val="00474B67"/>
    <w:rsid w:val="00474B7D"/>
    <w:rsid w:val="00474D33"/>
    <w:rsid w:val="00474DA1"/>
    <w:rsid w:val="00474E1F"/>
    <w:rsid w:val="00474E91"/>
    <w:rsid w:val="00474EFD"/>
    <w:rsid w:val="00474F5D"/>
    <w:rsid w:val="00475035"/>
    <w:rsid w:val="0047507C"/>
    <w:rsid w:val="00475154"/>
    <w:rsid w:val="004751C9"/>
    <w:rsid w:val="00475438"/>
    <w:rsid w:val="0047549D"/>
    <w:rsid w:val="004754B5"/>
    <w:rsid w:val="00475531"/>
    <w:rsid w:val="00475553"/>
    <w:rsid w:val="00475562"/>
    <w:rsid w:val="004755C9"/>
    <w:rsid w:val="0047581F"/>
    <w:rsid w:val="004758AF"/>
    <w:rsid w:val="004759B2"/>
    <w:rsid w:val="00475B75"/>
    <w:rsid w:val="00475B8A"/>
    <w:rsid w:val="00475CBE"/>
    <w:rsid w:val="00475E5C"/>
    <w:rsid w:val="00475F72"/>
    <w:rsid w:val="00475FF8"/>
    <w:rsid w:val="00476026"/>
    <w:rsid w:val="00476067"/>
    <w:rsid w:val="004760BC"/>
    <w:rsid w:val="004760EA"/>
    <w:rsid w:val="00476107"/>
    <w:rsid w:val="00476134"/>
    <w:rsid w:val="0047615A"/>
    <w:rsid w:val="0047621F"/>
    <w:rsid w:val="0047626F"/>
    <w:rsid w:val="004762A8"/>
    <w:rsid w:val="004764F7"/>
    <w:rsid w:val="0047662D"/>
    <w:rsid w:val="00476687"/>
    <w:rsid w:val="00476729"/>
    <w:rsid w:val="0047683C"/>
    <w:rsid w:val="004768C4"/>
    <w:rsid w:val="00476AF9"/>
    <w:rsid w:val="00476D66"/>
    <w:rsid w:val="00476EB9"/>
    <w:rsid w:val="00476F1E"/>
    <w:rsid w:val="00476FFE"/>
    <w:rsid w:val="00477011"/>
    <w:rsid w:val="00477065"/>
    <w:rsid w:val="004770A9"/>
    <w:rsid w:val="00477189"/>
    <w:rsid w:val="0047719A"/>
    <w:rsid w:val="004771B0"/>
    <w:rsid w:val="0047737D"/>
    <w:rsid w:val="00477475"/>
    <w:rsid w:val="004774D3"/>
    <w:rsid w:val="00477585"/>
    <w:rsid w:val="00477595"/>
    <w:rsid w:val="0047764A"/>
    <w:rsid w:val="004776B0"/>
    <w:rsid w:val="00477721"/>
    <w:rsid w:val="00477748"/>
    <w:rsid w:val="00477752"/>
    <w:rsid w:val="004778A4"/>
    <w:rsid w:val="0047794E"/>
    <w:rsid w:val="00477A06"/>
    <w:rsid w:val="00477A69"/>
    <w:rsid w:val="00477A92"/>
    <w:rsid w:val="00477BE8"/>
    <w:rsid w:val="00477CAE"/>
    <w:rsid w:val="00477DDC"/>
    <w:rsid w:val="00477E60"/>
    <w:rsid w:val="00477E85"/>
    <w:rsid w:val="00477F24"/>
    <w:rsid w:val="00477FBC"/>
    <w:rsid w:val="00479181"/>
    <w:rsid w:val="004800BB"/>
    <w:rsid w:val="00480114"/>
    <w:rsid w:val="00480121"/>
    <w:rsid w:val="0048020F"/>
    <w:rsid w:val="0048028D"/>
    <w:rsid w:val="004802E0"/>
    <w:rsid w:val="0048033A"/>
    <w:rsid w:val="004804CB"/>
    <w:rsid w:val="004805B8"/>
    <w:rsid w:val="004806CC"/>
    <w:rsid w:val="004807AE"/>
    <w:rsid w:val="00480AD7"/>
    <w:rsid w:val="00480BF2"/>
    <w:rsid w:val="00480CAF"/>
    <w:rsid w:val="00480DAA"/>
    <w:rsid w:val="00480DFB"/>
    <w:rsid w:val="00480F07"/>
    <w:rsid w:val="00480F64"/>
    <w:rsid w:val="00481050"/>
    <w:rsid w:val="0048109A"/>
    <w:rsid w:val="00481117"/>
    <w:rsid w:val="0048130E"/>
    <w:rsid w:val="00481612"/>
    <w:rsid w:val="00481614"/>
    <w:rsid w:val="00481981"/>
    <w:rsid w:val="00481AB2"/>
    <w:rsid w:val="00481BAD"/>
    <w:rsid w:val="00481C42"/>
    <w:rsid w:val="00481D30"/>
    <w:rsid w:val="00481D6B"/>
    <w:rsid w:val="00481DCD"/>
    <w:rsid w:val="00481EC1"/>
    <w:rsid w:val="00481F78"/>
    <w:rsid w:val="004821A8"/>
    <w:rsid w:val="00482507"/>
    <w:rsid w:val="004825AA"/>
    <w:rsid w:val="00482631"/>
    <w:rsid w:val="0048285F"/>
    <w:rsid w:val="004828D4"/>
    <w:rsid w:val="00482AED"/>
    <w:rsid w:val="00482BEB"/>
    <w:rsid w:val="00482CFB"/>
    <w:rsid w:val="00482D9C"/>
    <w:rsid w:val="0048331B"/>
    <w:rsid w:val="0048336B"/>
    <w:rsid w:val="00483461"/>
    <w:rsid w:val="00483473"/>
    <w:rsid w:val="0048356F"/>
    <w:rsid w:val="004835E6"/>
    <w:rsid w:val="00483657"/>
    <w:rsid w:val="004836DC"/>
    <w:rsid w:val="00483777"/>
    <w:rsid w:val="0048381B"/>
    <w:rsid w:val="00483928"/>
    <w:rsid w:val="00483971"/>
    <w:rsid w:val="004839E6"/>
    <w:rsid w:val="00483AE8"/>
    <w:rsid w:val="00483C89"/>
    <w:rsid w:val="00483CA0"/>
    <w:rsid w:val="00483CBE"/>
    <w:rsid w:val="00483E0B"/>
    <w:rsid w:val="00483E3A"/>
    <w:rsid w:val="00483E59"/>
    <w:rsid w:val="00483ECE"/>
    <w:rsid w:val="004840D1"/>
    <w:rsid w:val="00484153"/>
    <w:rsid w:val="0048416C"/>
    <w:rsid w:val="00484212"/>
    <w:rsid w:val="004842BC"/>
    <w:rsid w:val="004842DC"/>
    <w:rsid w:val="00484361"/>
    <w:rsid w:val="0048459D"/>
    <w:rsid w:val="00484626"/>
    <w:rsid w:val="00484AA0"/>
    <w:rsid w:val="00484B57"/>
    <w:rsid w:val="00484B72"/>
    <w:rsid w:val="00484BA0"/>
    <w:rsid w:val="00484BE0"/>
    <w:rsid w:val="00484F20"/>
    <w:rsid w:val="00484F88"/>
    <w:rsid w:val="004850E3"/>
    <w:rsid w:val="0048518A"/>
    <w:rsid w:val="00485191"/>
    <w:rsid w:val="004853FC"/>
    <w:rsid w:val="004856C3"/>
    <w:rsid w:val="0048593C"/>
    <w:rsid w:val="004859A2"/>
    <w:rsid w:val="00485AD6"/>
    <w:rsid w:val="00485BE4"/>
    <w:rsid w:val="00485C60"/>
    <w:rsid w:val="00485F46"/>
    <w:rsid w:val="00485F69"/>
    <w:rsid w:val="00485FAF"/>
    <w:rsid w:val="00486092"/>
    <w:rsid w:val="0048609C"/>
    <w:rsid w:val="00486154"/>
    <w:rsid w:val="00486233"/>
    <w:rsid w:val="0048628B"/>
    <w:rsid w:val="0048628C"/>
    <w:rsid w:val="004862FE"/>
    <w:rsid w:val="00486437"/>
    <w:rsid w:val="00486472"/>
    <w:rsid w:val="00486700"/>
    <w:rsid w:val="0048678A"/>
    <w:rsid w:val="004867A3"/>
    <w:rsid w:val="004867B4"/>
    <w:rsid w:val="004867E2"/>
    <w:rsid w:val="004868D6"/>
    <w:rsid w:val="00486997"/>
    <w:rsid w:val="00486A2D"/>
    <w:rsid w:val="00486ABA"/>
    <w:rsid w:val="00486B49"/>
    <w:rsid w:val="00486DC3"/>
    <w:rsid w:val="00486DDD"/>
    <w:rsid w:val="00486EDF"/>
    <w:rsid w:val="00486F51"/>
    <w:rsid w:val="00487020"/>
    <w:rsid w:val="0048708F"/>
    <w:rsid w:val="004870C5"/>
    <w:rsid w:val="004871B7"/>
    <w:rsid w:val="004871BD"/>
    <w:rsid w:val="00487264"/>
    <w:rsid w:val="004872BA"/>
    <w:rsid w:val="004872DA"/>
    <w:rsid w:val="00487332"/>
    <w:rsid w:val="00487431"/>
    <w:rsid w:val="00487597"/>
    <w:rsid w:val="00487661"/>
    <w:rsid w:val="00487830"/>
    <w:rsid w:val="00487889"/>
    <w:rsid w:val="004878AD"/>
    <w:rsid w:val="00487907"/>
    <w:rsid w:val="004879EB"/>
    <w:rsid w:val="00487A61"/>
    <w:rsid w:val="00487AC4"/>
    <w:rsid w:val="00487B72"/>
    <w:rsid w:val="00487BBB"/>
    <w:rsid w:val="00487BCD"/>
    <w:rsid w:val="00487D79"/>
    <w:rsid w:val="00487E7C"/>
    <w:rsid w:val="00487EFA"/>
    <w:rsid w:val="00487F03"/>
    <w:rsid w:val="00487F52"/>
    <w:rsid w:val="00487F7F"/>
    <w:rsid w:val="0048D1CD"/>
    <w:rsid w:val="0049001B"/>
    <w:rsid w:val="004900C1"/>
    <w:rsid w:val="0049012E"/>
    <w:rsid w:val="004901B7"/>
    <w:rsid w:val="00490242"/>
    <w:rsid w:val="004902FB"/>
    <w:rsid w:val="00490486"/>
    <w:rsid w:val="004904C7"/>
    <w:rsid w:val="004904D6"/>
    <w:rsid w:val="004904DA"/>
    <w:rsid w:val="0049056B"/>
    <w:rsid w:val="004905C2"/>
    <w:rsid w:val="0049066F"/>
    <w:rsid w:val="00490692"/>
    <w:rsid w:val="004906AD"/>
    <w:rsid w:val="00490864"/>
    <w:rsid w:val="00490914"/>
    <w:rsid w:val="00490922"/>
    <w:rsid w:val="00490A1D"/>
    <w:rsid w:val="00490ABD"/>
    <w:rsid w:val="00490BA8"/>
    <w:rsid w:val="00490C95"/>
    <w:rsid w:val="00490D4C"/>
    <w:rsid w:val="00490EB9"/>
    <w:rsid w:val="00490F88"/>
    <w:rsid w:val="00490F89"/>
    <w:rsid w:val="00491022"/>
    <w:rsid w:val="004910C5"/>
    <w:rsid w:val="00491101"/>
    <w:rsid w:val="004913AC"/>
    <w:rsid w:val="004913E3"/>
    <w:rsid w:val="004914EF"/>
    <w:rsid w:val="004917DE"/>
    <w:rsid w:val="004918FF"/>
    <w:rsid w:val="0049194C"/>
    <w:rsid w:val="00491B7E"/>
    <w:rsid w:val="00491CC5"/>
    <w:rsid w:val="00491DAA"/>
    <w:rsid w:val="00491E32"/>
    <w:rsid w:val="00491E4A"/>
    <w:rsid w:val="00491FC1"/>
    <w:rsid w:val="00491FD6"/>
    <w:rsid w:val="0049218B"/>
    <w:rsid w:val="00492359"/>
    <w:rsid w:val="004923B7"/>
    <w:rsid w:val="0049246C"/>
    <w:rsid w:val="004924A0"/>
    <w:rsid w:val="00492513"/>
    <w:rsid w:val="0049258D"/>
    <w:rsid w:val="004925AE"/>
    <w:rsid w:val="004925B0"/>
    <w:rsid w:val="004926DE"/>
    <w:rsid w:val="004927D7"/>
    <w:rsid w:val="004928AC"/>
    <w:rsid w:val="0049290A"/>
    <w:rsid w:val="004929A9"/>
    <w:rsid w:val="00492C3D"/>
    <w:rsid w:val="00492DDC"/>
    <w:rsid w:val="00492E2C"/>
    <w:rsid w:val="00492E50"/>
    <w:rsid w:val="00492F80"/>
    <w:rsid w:val="00493005"/>
    <w:rsid w:val="004930C1"/>
    <w:rsid w:val="004930C3"/>
    <w:rsid w:val="0049317B"/>
    <w:rsid w:val="004931AA"/>
    <w:rsid w:val="004931BE"/>
    <w:rsid w:val="0049320B"/>
    <w:rsid w:val="0049343B"/>
    <w:rsid w:val="004934CA"/>
    <w:rsid w:val="00493565"/>
    <w:rsid w:val="0049366E"/>
    <w:rsid w:val="00493706"/>
    <w:rsid w:val="00493997"/>
    <w:rsid w:val="004939A1"/>
    <w:rsid w:val="00493A32"/>
    <w:rsid w:val="00493A44"/>
    <w:rsid w:val="00493B02"/>
    <w:rsid w:val="00493B6F"/>
    <w:rsid w:val="00493F21"/>
    <w:rsid w:val="00493F23"/>
    <w:rsid w:val="004940CE"/>
    <w:rsid w:val="004940DE"/>
    <w:rsid w:val="004941F0"/>
    <w:rsid w:val="0049421B"/>
    <w:rsid w:val="0049438C"/>
    <w:rsid w:val="004943B9"/>
    <w:rsid w:val="004943ED"/>
    <w:rsid w:val="004944BE"/>
    <w:rsid w:val="0049459B"/>
    <w:rsid w:val="004945C8"/>
    <w:rsid w:val="0049461C"/>
    <w:rsid w:val="0049466A"/>
    <w:rsid w:val="00494830"/>
    <w:rsid w:val="00494977"/>
    <w:rsid w:val="00494A54"/>
    <w:rsid w:val="00494ADB"/>
    <w:rsid w:val="00494ADC"/>
    <w:rsid w:val="00494BCF"/>
    <w:rsid w:val="00494D58"/>
    <w:rsid w:val="00494D78"/>
    <w:rsid w:val="00494E3C"/>
    <w:rsid w:val="00494F2F"/>
    <w:rsid w:val="00494F4A"/>
    <w:rsid w:val="00494F62"/>
    <w:rsid w:val="00495010"/>
    <w:rsid w:val="00495086"/>
    <w:rsid w:val="00495144"/>
    <w:rsid w:val="004951C4"/>
    <w:rsid w:val="004952AE"/>
    <w:rsid w:val="00495333"/>
    <w:rsid w:val="00495415"/>
    <w:rsid w:val="0049557A"/>
    <w:rsid w:val="00495669"/>
    <w:rsid w:val="0049567A"/>
    <w:rsid w:val="004956BB"/>
    <w:rsid w:val="004957A3"/>
    <w:rsid w:val="0049581C"/>
    <w:rsid w:val="0049583D"/>
    <w:rsid w:val="004958EE"/>
    <w:rsid w:val="00495A31"/>
    <w:rsid w:val="00495B63"/>
    <w:rsid w:val="00495C27"/>
    <w:rsid w:val="00495CB3"/>
    <w:rsid w:val="00495CDE"/>
    <w:rsid w:val="00495D83"/>
    <w:rsid w:val="00495DC8"/>
    <w:rsid w:val="00495E52"/>
    <w:rsid w:val="00495F20"/>
    <w:rsid w:val="00495F4F"/>
    <w:rsid w:val="00495F5E"/>
    <w:rsid w:val="004960D3"/>
    <w:rsid w:val="0049623B"/>
    <w:rsid w:val="0049630C"/>
    <w:rsid w:val="0049631A"/>
    <w:rsid w:val="00496481"/>
    <w:rsid w:val="004964DF"/>
    <w:rsid w:val="00496510"/>
    <w:rsid w:val="00496687"/>
    <w:rsid w:val="004966B9"/>
    <w:rsid w:val="004967A7"/>
    <w:rsid w:val="004967E2"/>
    <w:rsid w:val="004968E8"/>
    <w:rsid w:val="0049690E"/>
    <w:rsid w:val="00496A16"/>
    <w:rsid w:val="00496BBB"/>
    <w:rsid w:val="00496BC7"/>
    <w:rsid w:val="00496BD2"/>
    <w:rsid w:val="00496CC5"/>
    <w:rsid w:val="00496E02"/>
    <w:rsid w:val="00496EF0"/>
    <w:rsid w:val="00497058"/>
    <w:rsid w:val="00497104"/>
    <w:rsid w:val="004973BA"/>
    <w:rsid w:val="0049744D"/>
    <w:rsid w:val="004975AA"/>
    <w:rsid w:val="004975DE"/>
    <w:rsid w:val="00497648"/>
    <w:rsid w:val="0049766B"/>
    <w:rsid w:val="00497683"/>
    <w:rsid w:val="004976F4"/>
    <w:rsid w:val="00497734"/>
    <w:rsid w:val="00497750"/>
    <w:rsid w:val="004977EA"/>
    <w:rsid w:val="00497A63"/>
    <w:rsid w:val="00497BED"/>
    <w:rsid w:val="00497E33"/>
    <w:rsid w:val="00497E52"/>
    <w:rsid w:val="00497EE3"/>
    <w:rsid w:val="00497F11"/>
    <w:rsid w:val="00497F2A"/>
    <w:rsid w:val="004A015A"/>
    <w:rsid w:val="004A01C5"/>
    <w:rsid w:val="004A0324"/>
    <w:rsid w:val="004A03ED"/>
    <w:rsid w:val="004A03F1"/>
    <w:rsid w:val="004A0435"/>
    <w:rsid w:val="004A04C2"/>
    <w:rsid w:val="004A05D9"/>
    <w:rsid w:val="004A0600"/>
    <w:rsid w:val="004A0609"/>
    <w:rsid w:val="004A09D4"/>
    <w:rsid w:val="004A0A0A"/>
    <w:rsid w:val="004A0A1E"/>
    <w:rsid w:val="004A0A3D"/>
    <w:rsid w:val="004A0C5E"/>
    <w:rsid w:val="004A0CC2"/>
    <w:rsid w:val="004A0DA9"/>
    <w:rsid w:val="004A0DD2"/>
    <w:rsid w:val="004A0F6D"/>
    <w:rsid w:val="004A10CB"/>
    <w:rsid w:val="004A1109"/>
    <w:rsid w:val="004A1155"/>
    <w:rsid w:val="004A133A"/>
    <w:rsid w:val="004A14C5"/>
    <w:rsid w:val="004A14C7"/>
    <w:rsid w:val="004A1633"/>
    <w:rsid w:val="004A165E"/>
    <w:rsid w:val="004A1779"/>
    <w:rsid w:val="004A17B3"/>
    <w:rsid w:val="004A181A"/>
    <w:rsid w:val="004A1827"/>
    <w:rsid w:val="004A1886"/>
    <w:rsid w:val="004A1A6D"/>
    <w:rsid w:val="004A1BEF"/>
    <w:rsid w:val="004A1C4C"/>
    <w:rsid w:val="004A1C71"/>
    <w:rsid w:val="004A1D9D"/>
    <w:rsid w:val="004A1EE7"/>
    <w:rsid w:val="004A1F1A"/>
    <w:rsid w:val="004A2008"/>
    <w:rsid w:val="004A20BD"/>
    <w:rsid w:val="004A20EB"/>
    <w:rsid w:val="004A2158"/>
    <w:rsid w:val="004A216C"/>
    <w:rsid w:val="004A21C3"/>
    <w:rsid w:val="004A2232"/>
    <w:rsid w:val="004A22A6"/>
    <w:rsid w:val="004A22D5"/>
    <w:rsid w:val="004A23F7"/>
    <w:rsid w:val="004A2448"/>
    <w:rsid w:val="004A2572"/>
    <w:rsid w:val="004A2577"/>
    <w:rsid w:val="004A25EE"/>
    <w:rsid w:val="004A26FD"/>
    <w:rsid w:val="004A272A"/>
    <w:rsid w:val="004A275D"/>
    <w:rsid w:val="004A27B9"/>
    <w:rsid w:val="004A27DC"/>
    <w:rsid w:val="004A280B"/>
    <w:rsid w:val="004A2825"/>
    <w:rsid w:val="004A2992"/>
    <w:rsid w:val="004A29E5"/>
    <w:rsid w:val="004A2A0F"/>
    <w:rsid w:val="004A2A54"/>
    <w:rsid w:val="004A2A59"/>
    <w:rsid w:val="004A2AA7"/>
    <w:rsid w:val="004A2CD1"/>
    <w:rsid w:val="004A2D1F"/>
    <w:rsid w:val="004A2DB7"/>
    <w:rsid w:val="004A2DE1"/>
    <w:rsid w:val="004A2F47"/>
    <w:rsid w:val="004A3200"/>
    <w:rsid w:val="004A329C"/>
    <w:rsid w:val="004A3382"/>
    <w:rsid w:val="004A33E1"/>
    <w:rsid w:val="004A3423"/>
    <w:rsid w:val="004A34A5"/>
    <w:rsid w:val="004A3567"/>
    <w:rsid w:val="004A38C5"/>
    <w:rsid w:val="004A38F5"/>
    <w:rsid w:val="004A3A50"/>
    <w:rsid w:val="004A3B97"/>
    <w:rsid w:val="004A3D9F"/>
    <w:rsid w:val="004A3E74"/>
    <w:rsid w:val="004A3F20"/>
    <w:rsid w:val="004A406D"/>
    <w:rsid w:val="004A40A3"/>
    <w:rsid w:val="004A40BA"/>
    <w:rsid w:val="004A412B"/>
    <w:rsid w:val="004A4137"/>
    <w:rsid w:val="004A41F7"/>
    <w:rsid w:val="004A428C"/>
    <w:rsid w:val="004A42A0"/>
    <w:rsid w:val="004A4436"/>
    <w:rsid w:val="004A46BC"/>
    <w:rsid w:val="004A4886"/>
    <w:rsid w:val="004A4B49"/>
    <w:rsid w:val="004A4B7A"/>
    <w:rsid w:val="004A4B90"/>
    <w:rsid w:val="004A4BD8"/>
    <w:rsid w:val="004A4BEA"/>
    <w:rsid w:val="004A4C18"/>
    <w:rsid w:val="004A4C3D"/>
    <w:rsid w:val="004A4D2C"/>
    <w:rsid w:val="004A4DF2"/>
    <w:rsid w:val="004A4F01"/>
    <w:rsid w:val="004A5207"/>
    <w:rsid w:val="004A527C"/>
    <w:rsid w:val="004A53E4"/>
    <w:rsid w:val="004A5461"/>
    <w:rsid w:val="004A54D7"/>
    <w:rsid w:val="004A5793"/>
    <w:rsid w:val="004A5881"/>
    <w:rsid w:val="004A5EBC"/>
    <w:rsid w:val="004A5F60"/>
    <w:rsid w:val="004A5F6B"/>
    <w:rsid w:val="004A5F9C"/>
    <w:rsid w:val="004A6000"/>
    <w:rsid w:val="004A6035"/>
    <w:rsid w:val="004A61AC"/>
    <w:rsid w:val="004A61B5"/>
    <w:rsid w:val="004A6244"/>
    <w:rsid w:val="004A6271"/>
    <w:rsid w:val="004A62A1"/>
    <w:rsid w:val="004A644A"/>
    <w:rsid w:val="004A6541"/>
    <w:rsid w:val="004A6556"/>
    <w:rsid w:val="004A659B"/>
    <w:rsid w:val="004A6614"/>
    <w:rsid w:val="004A663B"/>
    <w:rsid w:val="004A686B"/>
    <w:rsid w:val="004A688D"/>
    <w:rsid w:val="004A6A28"/>
    <w:rsid w:val="004A6A9B"/>
    <w:rsid w:val="004A6B78"/>
    <w:rsid w:val="004A6BD8"/>
    <w:rsid w:val="004A6C1D"/>
    <w:rsid w:val="004A6E08"/>
    <w:rsid w:val="004A6E96"/>
    <w:rsid w:val="004A6EB7"/>
    <w:rsid w:val="004A6F30"/>
    <w:rsid w:val="004A6FAE"/>
    <w:rsid w:val="004A6FDC"/>
    <w:rsid w:val="004A7189"/>
    <w:rsid w:val="004A7499"/>
    <w:rsid w:val="004A7534"/>
    <w:rsid w:val="004A76C1"/>
    <w:rsid w:val="004A78D9"/>
    <w:rsid w:val="004A7A00"/>
    <w:rsid w:val="004A7A0A"/>
    <w:rsid w:val="004A7ABD"/>
    <w:rsid w:val="004A7B50"/>
    <w:rsid w:val="004A7B5A"/>
    <w:rsid w:val="004A7C06"/>
    <w:rsid w:val="004A7E1D"/>
    <w:rsid w:val="004A7FB4"/>
    <w:rsid w:val="004B00A1"/>
    <w:rsid w:val="004B00EE"/>
    <w:rsid w:val="004B0643"/>
    <w:rsid w:val="004B06BF"/>
    <w:rsid w:val="004B0A83"/>
    <w:rsid w:val="004B0B4D"/>
    <w:rsid w:val="004B0B69"/>
    <w:rsid w:val="004B0BA1"/>
    <w:rsid w:val="004B0C85"/>
    <w:rsid w:val="004B0C8A"/>
    <w:rsid w:val="004B0CDF"/>
    <w:rsid w:val="004B0D6E"/>
    <w:rsid w:val="004B0E63"/>
    <w:rsid w:val="004B1190"/>
    <w:rsid w:val="004B12F8"/>
    <w:rsid w:val="004B133C"/>
    <w:rsid w:val="004B1450"/>
    <w:rsid w:val="004B14B7"/>
    <w:rsid w:val="004B14F5"/>
    <w:rsid w:val="004B15C7"/>
    <w:rsid w:val="004B1615"/>
    <w:rsid w:val="004B1690"/>
    <w:rsid w:val="004B16B1"/>
    <w:rsid w:val="004B1729"/>
    <w:rsid w:val="004B1782"/>
    <w:rsid w:val="004B178B"/>
    <w:rsid w:val="004B182B"/>
    <w:rsid w:val="004B183C"/>
    <w:rsid w:val="004B1857"/>
    <w:rsid w:val="004B18EB"/>
    <w:rsid w:val="004B1957"/>
    <w:rsid w:val="004B19E9"/>
    <w:rsid w:val="004B19F0"/>
    <w:rsid w:val="004B1A31"/>
    <w:rsid w:val="004B1AE2"/>
    <w:rsid w:val="004B1CB6"/>
    <w:rsid w:val="004B1CCA"/>
    <w:rsid w:val="004B1CF5"/>
    <w:rsid w:val="004B1CF7"/>
    <w:rsid w:val="004B1D2F"/>
    <w:rsid w:val="004B1D32"/>
    <w:rsid w:val="004B1DF7"/>
    <w:rsid w:val="004B1F3D"/>
    <w:rsid w:val="004B22F9"/>
    <w:rsid w:val="004B2333"/>
    <w:rsid w:val="004B24E7"/>
    <w:rsid w:val="004B26D0"/>
    <w:rsid w:val="004B288F"/>
    <w:rsid w:val="004B28A6"/>
    <w:rsid w:val="004B290C"/>
    <w:rsid w:val="004B2C87"/>
    <w:rsid w:val="004B2EB2"/>
    <w:rsid w:val="004B2F15"/>
    <w:rsid w:val="004B2F7E"/>
    <w:rsid w:val="004B3060"/>
    <w:rsid w:val="004B327B"/>
    <w:rsid w:val="004B3418"/>
    <w:rsid w:val="004B34C7"/>
    <w:rsid w:val="004B3719"/>
    <w:rsid w:val="004B376E"/>
    <w:rsid w:val="004B3875"/>
    <w:rsid w:val="004B3887"/>
    <w:rsid w:val="004B38C7"/>
    <w:rsid w:val="004B3941"/>
    <w:rsid w:val="004B396A"/>
    <w:rsid w:val="004B3977"/>
    <w:rsid w:val="004B3A98"/>
    <w:rsid w:val="004B3B00"/>
    <w:rsid w:val="004B3B17"/>
    <w:rsid w:val="004B3BB9"/>
    <w:rsid w:val="004B3DBA"/>
    <w:rsid w:val="004B3DF1"/>
    <w:rsid w:val="004B3E1E"/>
    <w:rsid w:val="004B3F76"/>
    <w:rsid w:val="004B3FB0"/>
    <w:rsid w:val="004B4081"/>
    <w:rsid w:val="004B41C0"/>
    <w:rsid w:val="004B41E5"/>
    <w:rsid w:val="004B4288"/>
    <w:rsid w:val="004B4299"/>
    <w:rsid w:val="004B42D4"/>
    <w:rsid w:val="004B42F5"/>
    <w:rsid w:val="004B4368"/>
    <w:rsid w:val="004B443C"/>
    <w:rsid w:val="004B4470"/>
    <w:rsid w:val="004B4537"/>
    <w:rsid w:val="004B45FE"/>
    <w:rsid w:val="004B4856"/>
    <w:rsid w:val="004B485F"/>
    <w:rsid w:val="004B48A9"/>
    <w:rsid w:val="004B4B4E"/>
    <w:rsid w:val="004B4BAC"/>
    <w:rsid w:val="004B4CB0"/>
    <w:rsid w:val="004B4CCD"/>
    <w:rsid w:val="004B4EB2"/>
    <w:rsid w:val="004B50E0"/>
    <w:rsid w:val="004B5203"/>
    <w:rsid w:val="004B52AF"/>
    <w:rsid w:val="004B5657"/>
    <w:rsid w:val="004B569D"/>
    <w:rsid w:val="004B56BD"/>
    <w:rsid w:val="004B5753"/>
    <w:rsid w:val="004B58C0"/>
    <w:rsid w:val="004B59B7"/>
    <w:rsid w:val="004B59E6"/>
    <w:rsid w:val="004B5A7B"/>
    <w:rsid w:val="004B5A81"/>
    <w:rsid w:val="004B5D66"/>
    <w:rsid w:val="004B5D95"/>
    <w:rsid w:val="004B5F67"/>
    <w:rsid w:val="004B60F4"/>
    <w:rsid w:val="004B6135"/>
    <w:rsid w:val="004B616B"/>
    <w:rsid w:val="004B6284"/>
    <w:rsid w:val="004B6357"/>
    <w:rsid w:val="004B6602"/>
    <w:rsid w:val="004B6622"/>
    <w:rsid w:val="004B6658"/>
    <w:rsid w:val="004B69F0"/>
    <w:rsid w:val="004B6A3E"/>
    <w:rsid w:val="004B6A8F"/>
    <w:rsid w:val="004B6B56"/>
    <w:rsid w:val="004B6C8C"/>
    <w:rsid w:val="004B6CC8"/>
    <w:rsid w:val="004B6D2F"/>
    <w:rsid w:val="004B6D64"/>
    <w:rsid w:val="004B6D6B"/>
    <w:rsid w:val="004B6D7D"/>
    <w:rsid w:val="004B6E02"/>
    <w:rsid w:val="004B6EE2"/>
    <w:rsid w:val="004B6FC0"/>
    <w:rsid w:val="004B6FE4"/>
    <w:rsid w:val="004B70C8"/>
    <w:rsid w:val="004B7104"/>
    <w:rsid w:val="004B728F"/>
    <w:rsid w:val="004B73FE"/>
    <w:rsid w:val="004B741D"/>
    <w:rsid w:val="004B751E"/>
    <w:rsid w:val="004B7550"/>
    <w:rsid w:val="004B761A"/>
    <w:rsid w:val="004B783A"/>
    <w:rsid w:val="004B7852"/>
    <w:rsid w:val="004B7ACA"/>
    <w:rsid w:val="004B7B71"/>
    <w:rsid w:val="004B7C1E"/>
    <w:rsid w:val="004B7E55"/>
    <w:rsid w:val="004B7E92"/>
    <w:rsid w:val="004C00DB"/>
    <w:rsid w:val="004C0208"/>
    <w:rsid w:val="004C021A"/>
    <w:rsid w:val="004C0256"/>
    <w:rsid w:val="004C02F0"/>
    <w:rsid w:val="004C039E"/>
    <w:rsid w:val="004C03D9"/>
    <w:rsid w:val="004C04C4"/>
    <w:rsid w:val="004C04E5"/>
    <w:rsid w:val="004C0782"/>
    <w:rsid w:val="004C0788"/>
    <w:rsid w:val="004C07E2"/>
    <w:rsid w:val="004C08FD"/>
    <w:rsid w:val="004C0930"/>
    <w:rsid w:val="004C099A"/>
    <w:rsid w:val="004C0D03"/>
    <w:rsid w:val="004C0D67"/>
    <w:rsid w:val="004C0DAA"/>
    <w:rsid w:val="004C0DE5"/>
    <w:rsid w:val="004C0E54"/>
    <w:rsid w:val="004C0F02"/>
    <w:rsid w:val="004C1001"/>
    <w:rsid w:val="004C111D"/>
    <w:rsid w:val="004C12B2"/>
    <w:rsid w:val="004C13D7"/>
    <w:rsid w:val="004C13F1"/>
    <w:rsid w:val="004C149B"/>
    <w:rsid w:val="004C159D"/>
    <w:rsid w:val="004C15FB"/>
    <w:rsid w:val="004C1743"/>
    <w:rsid w:val="004C1804"/>
    <w:rsid w:val="004C192C"/>
    <w:rsid w:val="004C19E3"/>
    <w:rsid w:val="004C1DCB"/>
    <w:rsid w:val="004C1F07"/>
    <w:rsid w:val="004C1F54"/>
    <w:rsid w:val="004C1FCA"/>
    <w:rsid w:val="004C20BE"/>
    <w:rsid w:val="004C2128"/>
    <w:rsid w:val="004C23AB"/>
    <w:rsid w:val="004C2501"/>
    <w:rsid w:val="004C2558"/>
    <w:rsid w:val="004C2582"/>
    <w:rsid w:val="004C27D9"/>
    <w:rsid w:val="004C28D6"/>
    <w:rsid w:val="004C29C2"/>
    <w:rsid w:val="004C2A61"/>
    <w:rsid w:val="004C2AB0"/>
    <w:rsid w:val="004C2AE8"/>
    <w:rsid w:val="004C2D2F"/>
    <w:rsid w:val="004C2ED4"/>
    <w:rsid w:val="004C2F27"/>
    <w:rsid w:val="004C2F5D"/>
    <w:rsid w:val="004C3005"/>
    <w:rsid w:val="004C3026"/>
    <w:rsid w:val="004C3058"/>
    <w:rsid w:val="004C33E0"/>
    <w:rsid w:val="004C3543"/>
    <w:rsid w:val="004C3732"/>
    <w:rsid w:val="004C3745"/>
    <w:rsid w:val="004C37E5"/>
    <w:rsid w:val="004C38A0"/>
    <w:rsid w:val="004C398C"/>
    <w:rsid w:val="004C3B60"/>
    <w:rsid w:val="004C3E79"/>
    <w:rsid w:val="004C3EFE"/>
    <w:rsid w:val="004C3F10"/>
    <w:rsid w:val="004C40A2"/>
    <w:rsid w:val="004C42E3"/>
    <w:rsid w:val="004C43C4"/>
    <w:rsid w:val="004C46E0"/>
    <w:rsid w:val="004C4793"/>
    <w:rsid w:val="004C488E"/>
    <w:rsid w:val="004C4991"/>
    <w:rsid w:val="004C4A89"/>
    <w:rsid w:val="004C4ABF"/>
    <w:rsid w:val="004C4AFF"/>
    <w:rsid w:val="004C4F02"/>
    <w:rsid w:val="004C5004"/>
    <w:rsid w:val="004C507D"/>
    <w:rsid w:val="004C530B"/>
    <w:rsid w:val="004C5348"/>
    <w:rsid w:val="004C536B"/>
    <w:rsid w:val="004C53E8"/>
    <w:rsid w:val="004C55E7"/>
    <w:rsid w:val="004C5652"/>
    <w:rsid w:val="004C594C"/>
    <w:rsid w:val="004C59F9"/>
    <w:rsid w:val="004C5BD6"/>
    <w:rsid w:val="004C5C0F"/>
    <w:rsid w:val="004C5C24"/>
    <w:rsid w:val="004C5E28"/>
    <w:rsid w:val="004C5E44"/>
    <w:rsid w:val="004C605A"/>
    <w:rsid w:val="004C6063"/>
    <w:rsid w:val="004C6091"/>
    <w:rsid w:val="004C610D"/>
    <w:rsid w:val="004C61BE"/>
    <w:rsid w:val="004C61EA"/>
    <w:rsid w:val="004C627D"/>
    <w:rsid w:val="004C62C7"/>
    <w:rsid w:val="004C6412"/>
    <w:rsid w:val="004C6447"/>
    <w:rsid w:val="004C6506"/>
    <w:rsid w:val="004C6535"/>
    <w:rsid w:val="004C6587"/>
    <w:rsid w:val="004C67A5"/>
    <w:rsid w:val="004C6855"/>
    <w:rsid w:val="004C686D"/>
    <w:rsid w:val="004C68A4"/>
    <w:rsid w:val="004C695F"/>
    <w:rsid w:val="004C69B7"/>
    <w:rsid w:val="004C6B3F"/>
    <w:rsid w:val="004C6B57"/>
    <w:rsid w:val="004C6BCF"/>
    <w:rsid w:val="004C6CC7"/>
    <w:rsid w:val="004C6FD3"/>
    <w:rsid w:val="004C7185"/>
    <w:rsid w:val="004C7229"/>
    <w:rsid w:val="004C72D0"/>
    <w:rsid w:val="004C7323"/>
    <w:rsid w:val="004C7390"/>
    <w:rsid w:val="004C73F5"/>
    <w:rsid w:val="004C7445"/>
    <w:rsid w:val="004C748F"/>
    <w:rsid w:val="004C75F6"/>
    <w:rsid w:val="004C7703"/>
    <w:rsid w:val="004C77B2"/>
    <w:rsid w:val="004C78C6"/>
    <w:rsid w:val="004C7C71"/>
    <w:rsid w:val="004C7C9E"/>
    <w:rsid w:val="004C7D47"/>
    <w:rsid w:val="004C7D52"/>
    <w:rsid w:val="004C7E3A"/>
    <w:rsid w:val="004C7E7F"/>
    <w:rsid w:val="004D0093"/>
    <w:rsid w:val="004D0196"/>
    <w:rsid w:val="004D0256"/>
    <w:rsid w:val="004D0433"/>
    <w:rsid w:val="004D04D6"/>
    <w:rsid w:val="004D0799"/>
    <w:rsid w:val="004D07D4"/>
    <w:rsid w:val="004D07D7"/>
    <w:rsid w:val="004D097E"/>
    <w:rsid w:val="004D0B16"/>
    <w:rsid w:val="004D0C69"/>
    <w:rsid w:val="004D0D27"/>
    <w:rsid w:val="004D0D47"/>
    <w:rsid w:val="004D0DA4"/>
    <w:rsid w:val="004D0F5F"/>
    <w:rsid w:val="004D0FC7"/>
    <w:rsid w:val="004D0FF4"/>
    <w:rsid w:val="004D1016"/>
    <w:rsid w:val="004D10D4"/>
    <w:rsid w:val="004D1140"/>
    <w:rsid w:val="004D12BD"/>
    <w:rsid w:val="004D1341"/>
    <w:rsid w:val="004D1554"/>
    <w:rsid w:val="004D1558"/>
    <w:rsid w:val="004D1682"/>
    <w:rsid w:val="004D1714"/>
    <w:rsid w:val="004D17A7"/>
    <w:rsid w:val="004D19BB"/>
    <w:rsid w:val="004D19C4"/>
    <w:rsid w:val="004D1A29"/>
    <w:rsid w:val="004D1A50"/>
    <w:rsid w:val="004D1ACB"/>
    <w:rsid w:val="004D1C48"/>
    <w:rsid w:val="004D1CCC"/>
    <w:rsid w:val="004D1DE9"/>
    <w:rsid w:val="004D204C"/>
    <w:rsid w:val="004D204F"/>
    <w:rsid w:val="004D20A9"/>
    <w:rsid w:val="004D2103"/>
    <w:rsid w:val="004D213E"/>
    <w:rsid w:val="004D2338"/>
    <w:rsid w:val="004D23A4"/>
    <w:rsid w:val="004D23A9"/>
    <w:rsid w:val="004D28F6"/>
    <w:rsid w:val="004D29AB"/>
    <w:rsid w:val="004D2ABA"/>
    <w:rsid w:val="004D2BA3"/>
    <w:rsid w:val="004D2BC2"/>
    <w:rsid w:val="004D2C2F"/>
    <w:rsid w:val="004D2D46"/>
    <w:rsid w:val="004D2D65"/>
    <w:rsid w:val="004D2D7E"/>
    <w:rsid w:val="004D2E7B"/>
    <w:rsid w:val="004D2E7C"/>
    <w:rsid w:val="004D2FC5"/>
    <w:rsid w:val="004D300C"/>
    <w:rsid w:val="004D3074"/>
    <w:rsid w:val="004D307E"/>
    <w:rsid w:val="004D3089"/>
    <w:rsid w:val="004D30C3"/>
    <w:rsid w:val="004D30C8"/>
    <w:rsid w:val="004D30D2"/>
    <w:rsid w:val="004D32CB"/>
    <w:rsid w:val="004D32DC"/>
    <w:rsid w:val="004D3380"/>
    <w:rsid w:val="004D3410"/>
    <w:rsid w:val="004D3522"/>
    <w:rsid w:val="004D3566"/>
    <w:rsid w:val="004D3569"/>
    <w:rsid w:val="004D363C"/>
    <w:rsid w:val="004D3653"/>
    <w:rsid w:val="004D36C5"/>
    <w:rsid w:val="004D3963"/>
    <w:rsid w:val="004D3A0F"/>
    <w:rsid w:val="004D3A2E"/>
    <w:rsid w:val="004D3A3D"/>
    <w:rsid w:val="004D3AA2"/>
    <w:rsid w:val="004D3B12"/>
    <w:rsid w:val="004D3CED"/>
    <w:rsid w:val="004D3E99"/>
    <w:rsid w:val="004D3FE8"/>
    <w:rsid w:val="004D402F"/>
    <w:rsid w:val="004D40A2"/>
    <w:rsid w:val="004D40DB"/>
    <w:rsid w:val="004D4153"/>
    <w:rsid w:val="004D424B"/>
    <w:rsid w:val="004D434D"/>
    <w:rsid w:val="004D43FB"/>
    <w:rsid w:val="004D44AF"/>
    <w:rsid w:val="004D465D"/>
    <w:rsid w:val="004D46F1"/>
    <w:rsid w:val="004D47A9"/>
    <w:rsid w:val="004D47CA"/>
    <w:rsid w:val="004D4837"/>
    <w:rsid w:val="004D48E8"/>
    <w:rsid w:val="004D4905"/>
    <w:rsid w:val="004D493A"/>
    <w:rsid w:val="004D4A70"/>
    <w:rsid w:val="004D4A8D"/>
    <w:rsid w:val="004D4AA6"/>
    <w:rsid w:val="004D4ACF"/>
    <w:rsid w:val="004D4BB4"/>
    <w:rsid w:val="004D4D60"/>
    <w:rsid w:val="004D4ECE"/>
    <w:rsid w:val="004D4EE1"/>
    <w:rsid w:val="004D4F07"/>
    <w:rsid w:val="004D4FFD"/>
    <w:rsid w:val="004D5124"/>
    <w:rsid w:val="004D513A"/>
    <w:rsid w:val="004D526D"/>
    <w:rsid w:val="004D53CE"/>
    <w:rsid w:val="004D53D3"/>
    <w:rsid w:val="004D54C9"/>
    <w:rsid w:val="004D55AA"/>
    <w:rsid w:val="004D55CD"/>
    <w:rsid w:val="004D5651"/>
    <w:rsid w:val="004D5673"/>
    <w:rsid w:val="004D57F2"/>
    <w:rsid w:val="004D58BF"/>
    <w:rsid w:val="004D598E"/>
    <w:rsid w:val="004D5A25"/>
    <w:rsid w:val="004D5A32"/>
    <w:rsid w:val="004D5AE8"/>
    <w:rsid w:val="004D5B33"/>
    <w:rsid w:val="004D5B5C"/>
    <w:rsid w:val="004D5B86"/>
    <w:rsid w:val="004D5C06"/>
    <w:rsid w:val="004D5C0A"/>
    <w:rsid w:val="004D5C26"/>
    <w:rsid w:val="004D5C38"/>
    <w:rsid w:val="004D5E3B"/>
    <w:rsid w:val="004D5E44"/>
    <w:rsid w:val="004D5E61"/>
    <w:rsid w:val="004D5E66"/>
    <w:rsid w:val="004D6048"/>
    <w:rsid w:val="004D61FE"/>
    <w:rsid w:val="004D6349"/>
    <w:rsid w:val="004D63C0"/>
    <w:rsid w:val="004D63E2"/>
    <w:rsid w:val="004D6402"/>
    <w:rsid w:val="004D67FA"/>
    <w:rsid w:val="004D6967"/>
    <w:rsid w:val="004D6A29"/>
    <w:rsid w:val="004D6AF0"/>
    <w:rsid w:val="004D6BC1"/>
    <w:rsid w:val="004D6BF6"/>
    <w:rsid w:val="004D6C5E"/>
    <w:rsid w:val="004D6C81"/>
    <w:rsid w:val="004D6DAB"/>
    <w:rsid w:val="004D6E3D"/>
    <w:rsid w:val="004D6F7F"/>
    <w:rsid w:val="004D6FD0"/>
    <w:rsid w:val="004D6FFE"/>
    <w:rsid w:val="004D711D"/>
    <w:rsid w:val="004D717B"/>
    <w:rsid w:val="004D71D7"/>
    <w:rsid w:val="004D734D"/>
    <w:rsid w:val="004D73B7"/>
    <w:rsid w:val="004D73CD"/>
    <w:rsid w:val="004D7406"/>
    <w:rsid w:val="004D74FE"/>
    <w:rsid w:val="004D757B"/>
    <w:rsid w:val="004D7618"/>
    <w:rsid w:val="004D762C"/>
    <w:rsid w:val="004D773C"/>
    <w:rsid w:val="004D7821"/>
    <w:rsid w:val="004D7847"/>
    <w:rsid w:val="004D7954"/>
    <w:rsid w:val="004D7AA5"/>
    <w:rsid w:val="004D7B1D"/>
    <w:rsid w:val="004D7D36"/>
    <w:rsid w:val="004D7D56"/>
    <w:rsid w:val="004D7FC8"/>
    <w:rsid w:val="004DB9E5"/>
    <w:rsid w:val="004E001A"/>
    <w:rsid w:val="004E010D"/>
    <w:rsid w:val="004E03F0"/>
    <w:rsid w:val="004E052F"/>
    <w:rsid w:val="004E060F"/>
    <w:rsid w:val="004E077B"/>
    <w:rsid w:val="004E07CA"/>
    <w:rsid w:val="004E0885"/>
    <w:rsid w:val="004E08CA"/>
    <w:rsid w:val="004E09EA"/>
    <w:rsid w:val="004E0A14"/>
    <w:rsid w:val="004E0B76"/>
    <w:rsid w:val="004E0B98"/>
    <w:rsid w:val="004E0C23"/>
    <w:rsid w:val="004E0D88"/>
    <w:rsid w:val="004E0DDC"/>
    <w:rsid w:val="004E0F08"/>
    <w:rsid w:val="004E110F"/>
    <w:rsid w:val="004E1187"/>
    <w:rsid w:val="004E11B7"/>
    <w:rsid w:val="004E11E7"/>
    <w:rsid w:val="004E1280"/>
    <w:rsid w:val="004E12D2"/>
    <w:rsid w:val="004E130B"/>
    <w:rsid w:val="004E130D"/>
    <w:rsid w:val="004E144B"/>
    <w:rsid w:val="004E1613"/>
    <w:rsid w:val="004E1751"/>
    <w:rsid w:val="004E1784"/>
    <w:rsid w:val="004E1832"/>
    <w:rsid w:val="004E18C3"/>
    <w:rsid w:val="004E192F"/>
    <w:rsid w:val="004E1933"/>
    <w:rsid w:val="004E1B78"/>
    <w:rsid w:val="004E1E01"/>
    <w:rsid w:val="004E1E33"/>
    <w:rsid w:val="004E1F54"/>
    <w:rsid w:val="004E20B5"/>
    <w:rsid w:val="004E215A"/>
    <w:rsid w:val="004E238B"/>
    <w:rsid w:val="004E24EB"/>
    <w:rsid w:val="004E25A1"/>
    <w:rsid w:val="004E25F8"/>
    <w:rsid w:val="004E2631"/>
    <w:rsid w:val="004E2674"/>
    <w:rsid w:val="004E274F"/>
    <w:rsid w:val="004E27D8"/>
    <w:rsid w:val="004E27DC"/>
    <w:rsid w:val="004E28BD"/>
    <w:rsid w:val="004E2984"/>
    <w:rsid w:val="004E29AD"/>
    <w:rsid w:val="004E2A17"/>
    <w:rsid w:val="004E2B87"/>
    <w:rsid w:val="004E2BEE"/>
    <w:rsid w:val="004E2C46"/>
    <w:rsid w:val="004E2E92"/>
    <w:rsid w:val="004E3008"/>
    <w:rsid w:val="004E3034"/>
    <w:rsid w:val="004E321F"/>
    <w:rsid w:val="004E32FF"/>
    <w:rsid w:val="004E338A"/>
    <w:rsid w:val="004E3405"/>
    <w:rsid w:val="004E3460"/>
    <w:rsid w:val="004E3471"/>
    <w:rsid w:val="004E354E"/>
    <w:rsid w:val="004E379F"/>
    <w:rsid w:val="004E37CD"/>
    <w:rsid w:val="004E3819"/>
    <w:rsid w:val="004E3835"/>
    <w:rsid w:val="004E3985"/>
    <w:rsid w:val="004E39EA"/>
    <w:rsid w:val="004E3A85"/>
    <w:rsid w:val="004E3A90"/>
    <w:rsid w:val="004E3AB0"/>
    <w:rsid w:val="004E3B59"/>
    <w:rsid w:val="004E3C5C"/>
    <w:rsid w:val="004E3C7C"/>
    <w:rsid w:val="004E3D72"/>
    <w:rsid w:val="004E3F13"/>
    <w:rsid w:val="004E3F2E"/>
    <w:rsid w:val="004E424D"/>
    <w:rsid w:val="004E42BE"/>
    <w:rsid w:val="004E4312"/>
    <w:rsid w:val="004E4335"/>
    <w:rsid w:val="004E44A0"/>
    <w:rsid w:val="004E44CC"/>
    <w:rsid w:val="004E453E"/>
    <w:rsid w:val="004E45A3"/>
    <w:rsid w:val="004E4744"/>
    <w:rsid w:val="004E47B9"/>
    <w:rsid w:val="004E4800"/>
    <w:rsid w:val="004E4805"/>
    <w:rsid w:val="004E491D"/>
    <w:rsid w:val="004E4985"/>
    <w:rsid w:val="004E4A05"/>
    <w:rsid w:val="004E4AB8"/>
    <w:rsid w:val="004E4B23"/>
    <w:rsid w:val="004E4B6B"/>
    <w:rsid w:val="004E4B97"/>
    <w:rsid w:val="004E4C6B"/>
    <w:rsid w:val="004E4CFF"/>
    <w:rsid w:val="004E4E56"/>
    <w:rsid w:val="004E4EFA"/>
    <w:rsid w:val="004E4FFC"/>
    <w:rsid w:val="004E5112"/>
    <w:rsid w:val="004E5148"/>
    <w:rsid w:val="004E51E7"/>
    <w:rsid w:val="004E51F0"/>
    <w:rsid w:val="004E5247"/>
    <w:rsid w:val="004E5287"/>
    <w:rsid w:val="004E52A8"/>
    <w:rsid w:val="004E55CE"/>
    <w:rsid w:val="004E56C7"/>
    <w:rsid w:val="004E576C"/>
    <w:rsid w:val="004E579B"/>
    <w:rsid w:val="004E57CF"/>
    <w:rsid w:val="004E58C1"/>
    <w:rsid w:val="004E5916"/>
    <w:rsid w:val="004E5C0B"/>
    <w:rsid w:val="004E5C9A"/>
    <w:rsid w:val="004E5D64"/>
    <w:rsid w:val="004E5DA2"/>
    <w:rsid w:val="004E6053"/>
    <w:rsid w:val="004E605C"/>
    <w:rsid w:val="004E61BA"/>
    <w:rsid w:val="004E621F"/>
    <w:rsid w:val="004E6268"/>
    <w:rsid w:val="004E62A9"/>
    <w:rsid w:val="004E62D2"/>
    <w:rsid w:val="004E633E"/>
    <w:rsid w:val="004E63D8"/>
    <w:rsid w:val="004E642E"/>
    <w:rsid w:val="004E648E"/>
    <w:rsid w:val="004E6712"/>
    <w:rsid w:val="004E6792"/>
    <w:rsid w:val="004E67F5"/>
    <w:rsid w:val="004E67FC"/>
    <w:rsid w:val="004E6834"/>
    <w:rsid w:val="004E6957"/>
    <w:rsid w:val="004E695A"/>
    <w:rsid w:val="004E6A4E"/>
    <w:rsid w:val="004E6A59"/>
    <w:rsid w:val="004E6B5C"/>
    <w:rsid w:val="004E6BAD"/>
    <w:rsid w:val="004E6BFC"/>
    <w:rsid w:val="004E6EF2"/>
    <w:rsid w:val="004E7001"/>
    <w:rsid w:val="004E712D"/>
    <w:rsid w:val="004E7227"/>
    <w:rsid w:val="004E7297"/>
    <w:rsid w:val="004E73D8"/>
    <w:rsid w:val="004E74AA"/>
    <w:rsid w:val="004E74D7"/>
    <w:rsid w:val="004E752C"/>
    <w:rsid w:val="004E76F3"/>
    <w:rsid w:val="004E7711"/>
    <w:rsid w:val="004E79C3"/>
    <w:rsid w:val="004E7A77"/>
    <w:rsid w:val="004E7B57"/>
    <w:rsid w:val="004E7C20"/>
    <w:rsid w:val="004E7DC8"/>
    <w:rsid w:val="004E7E15"/>
    <w:rsid w:val="004E7E38"/>
    <w:rsid w:val="004E7EA5"/>
    <w:rsid w:val="004E7EAE"/>
    <w:rsid w:val="004F00FC"/>
    <w:rsid w:val="004F016B"/>
    <w:rsid w:val="004F01B0"/>
    <w:rsid w:val="004F024F"/>
    <w:rsid w:val="004F027C"/>
    <w:rsid w:val="004F03E3"/>
    <w:rsid w:val="004F0443"/>
    <w:rsid w:val="004F044C"/>
    <w:rsid w:val="004F0556"/>
    <w:rsid w:val="004F0610"/>
    <w:rsid w:val="004F064D"/>
    <w:rsid w:val="004F0686"/>
    <w:rsid w:val="004F0830"/>
    <w:rsid w:val="004F0884"/>
    <w:rsid w:val="004F08D6"/>
    <w:rsid w:val="004F0C2D"/>
    <w:rsid w:val="004F0C3A"/>
    <w:rsid w:val="004F0E41"/>
    <w:rsid w:val="004F0F21"/>
    <w:rsid w:val="004F0FA6"/>
    <w:rsid w:val="004F0FEC"/>
    <w:rsid w:val="004F1069"/>
    <w:rsid w:val="004F115A"/>
    <w:rsid w:val="004F11C8"/>
    <w:rsid w:val="004F12CC"/>
    <w:rsid w:val="004F13EE"/>
    <w:rsid w:val="004F13EF"/>
    <w:rsid w:val="004F1460"/>
    <w:rsid w:val="004F1663"/>
    <w:rsid w:val="004F16F0"/>
    <w:rsid w:val="004F1705"/>
    <w:rsid w:val="004F17CF"/>
    <w:rsid w:val="004F18A6"/>
    <w:rsid w:val="004F18AB"/>
    <w:rsid w:val="004F19C1"/>
    <w:rsid w:val="004F1CD4"/>
    <w:rsid w:val="004F1D16"/>
    <w:rsid w:val="004F1E22"/>
    <w:rsid w:val="004F1E40"/>
    <w:rsid w:val="004F1EF7"/>
    <w:rsid w:val="004F1F41"/>
    <w:rsid w:val="004F2022"/>
    <w:rsid w:val="004F208E"/>
    <w:rsid w:val="004F2121"/>
    <w:rsid w:val="004F21AD"/>
    <w:rsid w:val="004F246D"/>
    <w:rsid w:val="004F257D"/>
    <w:rsid w:val="004F25BD"/>
    <w:rsid w:val="004F2637"/>
    <w:rsid w:val="004F26E5"/>
    <w:rsid w:val="004F2716"/>
    <w:rsid w:val="004F27EA"/>
    <w:rsid w:val="004F2821"/>
    <w:rsid w:val="004F28D4"/>
    <w:rsid w:val="004F2ADA"/>
    <w:rsid w:val="004F2DAA"/>
    <w:rsid w:val="004F2E18"/>
    <w:rsid w:val="004F2F09"/>
    <w:rsid w:val="004F2F66"/>
    <w:rsid w:val="004F306A"/>
    <w:rsid w:val="004F31CD"/>
    <w:rsid w:val="004F32C8"/>
    <w:rsid w:val="004F33A2"/>
    <w:rsid w:val="004F35DC"/>
    <w:rsid w:val="004F35DE"/>
    <w:rsid w:val="004F3629"/>
    <w:rsid w:val="004F3654"/>
    <w:rsid w:val="004F36F5"/>
    <w:rsid w:val="004F373F"/>
    <w:rsid w:val="004F376C"/>
    <w:rsid w:val="004F3938"/>
    <w:rsid w:val="004F3967"/>
    <w:rsid w:val="004F399C"/>
    <w:rsid w:val="004F3B3F"/>
    <w:rsid w:val="004F3BAC"/>
    <w:rsid w:val="004F3D1C"/>
    <w:rsid w:val="004F3D54"/>
    <w:rsid w:val="004F3EEE"/>
    <w:rsid w:val="004F3F59"/>
    <w:rsid w:val="004F40CE"/>
    <w:rsid w:val="004F40F1"/>
    <w:rsid w:val="004F4146"/>
    <w:rsid w:val="004F4166"/>
    <w:rsid w:val="004F4174"/>
    <w:rsid w:val="004F41C7"/>
    <w:rsid w:val="004F434E"/>
    <w:rsid w:val="004F43CC"/>
    <w:rsid w:val="004F442C"/>
    <w:rsid w:val="004F44DB"/>
    <w:rsid w:val="004F4554"/>
    <w:rsid w:val="004F47A1"/>
    <w:rsid w:val="004F4898"/>
    <w:rsid w:val="004F49FC"/>
    <w:rsid w:val="004F4B57"/>
    <w:rsid w:val="004F4B90"/>
    <w:rsid w:val="004F4CFB"/>
    <w:rsid w:val="004F4D11"/>
    <w:rsid w:val="004F4D7E"/>
    <w:rsid w:val="004F4E1C"/>
    <w:rsid w:val="004F5017"/>
    <w:rsid w:val="004F527F"/>
    <w:rsid w:val="004F53B3"/>
    <w:rsid w:val="004F5504"/>
    <w:rsid w:val="004F572B"/>
    <w:rsid w:val="004F57D0"/>
    <w:rsid w:val="004F5AC2"/>
    <w:rsid w:val="004F5B27"/>
    <w:rsid w:val="004F5B46"/>
    <w:rsid w:val="004F5B61"/>
    <w:rsid w:val="004F5C25"/>
    <w:rsid w:val="004F5CBD"/>
    <w:rsid w:val="004F5CE2"/>
    <w:rsid w:val="004F5D22"/>
    <w:rsid w:val="004F5F58"/>
    <w:rsid w:val="004F60F6"/>
    <w:rsid w:val="004F611C"/>
    <w:rsid w:val="004F61C5"/>
    <w:rsid w:val="004F640F"/>
    <w:rsid w:val="004F64D0"/>
    <w:rsid w:val="004F6654"/>
    <w:rsid w:val="004F67E6"/>
    <w:rsid w:val="004F682F"/>
    <w:rsid w:val="004F683A"/>
    <w:rsid w:val="004F688E"/>
    <w:rsid w:val="004F6942"/>
    <w:rsid w:val="004F6958"/>
    <w:rsid w:val="004F69EA"/>
    <w:rsid w:val="004F6BA8"/>
    <w:rsid w:val="004F6BC3"/>
    <w:rsid w:val="004F6C34"/>
    <w:rsid w:val="004F6C43"/>
    <w:rsid w:val="004F6CAE"/>
    <w:rsid w:val="004F6D6F"/>
    <w:rsid w:val="004F6FFF"/>
    <w:rsid w:val="004F7081"/>
    <w:rsid w:val="004F711B"/>
    <w:rsid w:val="004F735A"/>
    <w:rsid w:val="004F741F"/>
    <w:rsid w:val="004F7470"/>
    <w:rsid w:val="004F7521"/>
    <w:rsid w:val="004F752E"/>
    <w:rsid w:val="004F7623"/>
    <w:rsid w:val="004F7628"/>
    <w:rsid w:val="004F78C4"/>
    <w:rsid w:val="004F78EB"/>
    <w:rsid w:val="004F7909"/>
    <w:rsid w:val="004F7913"/>
    <w:rsid w:val="004F79CA"/>
    <w:rsid w:val="004F7A0F"/>
    <w:rsid w:val="004F7C05"/>
    <w:rsid w:val="004F7C3B"/>
    <w:rsid w:val="004F7CA7"/>
    <w:rsid w:val="004F7D2B"/>
    <w:rsid w:val="004F7E16"/>
    <w:rsid w:val="004F7FC6"/>
    <w:rsid w:val="00500014"/>
    <w:rsid w:val="00500123"/>
    <w:rsid w:val="005001B4"/>
    <w:rsid w:val="005001C6"/>
    <w:rsid w:val="00500246"/>
    <w:rsid w:val="0050027A"/>
    <w:rsid w:val="005002AE"/>
    <w:rsid w:val="00500408"/>
    <w:rsid w:val="00500628"/>
    <w:rsid w:val="00500672"/>
    <w:rsid w:val="005006AD"/>
    <w:rsid w:val="00500714"/>
    <w:rsid w:val="00500778"/>
    <w:rsid w:val="005007FC"/>
    <w:rsid w:val="00500819"/>
    <w:rsid w:val="005009A6"/>
    <w:rsid w:val="00500A08"/>
    <w:rsid w:val="00500A30"/>
    <w:rsid w:val="00500B50"/>
    <w:rsid w:val="00500BF2"/>
    <w:rsid w:val="00500C08"/>
    <w:rsid w:val="00500C37"/>
    <w:rsid w:val="00500CC3"/>
    <w:rsid w:val="00501211"/>
    <w:rsid w:val="005012A8"/>
    <w:rsid w:val="0050147F"/>
    <w:rsid w:val="0050148C"/>
    <w:rsid w:val="005014A6"/>
    <w:rsid w:val="005017D1"/>
    <w:rsid w:val="005017F5"/>
    <w:rsid w:val="00501814"/>
    <w:rsid w:val="0050188F"/>
    <w:rsid w:val="0050199E"/>
    <w:rsid w:val="00501A4C"/>
    <w:rsid w:val="00501AD5"/>
    <w:rsid w:val="00501B12"/>
    <w:rsid w:val="00501C2C"/>
    <w:rsid w:val="00501C7C"/>
    <w:rsid w:val="00501C94"/>
    <w:rsid w:val="00501E24"/>
    <w:rsid w:val="00501E7D"/>
    <w:rsid w:val="00501EE4"/>
    <w:rsid w:val="00501F69"/>
    <w:rsid w:val="00501FFA"/>
    <w:rsid w:val="00502138"/>
    <w:rsid w:val="00502254"/>
    <w:rsid w:val="005022F9"/>
    <w:rsid w:val="005024C1"/>
    <w:rsid w:val="005027CA"/>
    <w:rsid w:val="00502804"/>
    <w:rsid w:val="00502860"/>
    <w:rsid w:val="00502890"/>
    <w:rsid w:val="00502A03"/>
    <w:rsid w:val="00502A0B"/>
    <w:rsid w:val="00502A0C"/>
    <w:rsid w:val="00502A27"/>
    <w:rsid w:val="00502A67"/>
    <w:rsid w:val="00502A7C"/>
    <w:rsid w:val="00502AAD"/>
    <w:rsid w:val="00502C10"/>
    <w:rsid w:val="00502CB5"/>
    <w:rsid w:val="00502CD8"/>
    <w:rsid w:val="00502E99"/>
    <w:rsid w:val="00502EE7"/>
    <w:rsid w:val="005030F6"/>
    <w:rsid w:val="00503174"/>
    <w:rsid w:val="005031C0"/>
    <w:rsid w:val="005031D3"/>
    <w:rsid w:val="00503411"/>
    <w:rsid w:val="00503659"/>
    <w:rsid w:val="005037D8"/>
    <w:rsid w:val="00503880"/>
    <w:rsid w:val="00503893"/>
    <w:rsid w:val="00503907"/>
    <w:rsid w:val="00503909"/>
    <w:rsid w:val="0050395B"/>
    <w:rsid w:val="00503A27"/>
    <w:rsid w:val="00503C33"/>
    <w:rsid w:val="00503CFD"/>
    <w:rsid w:val="00503D3E"/>
    <w:rsid w:val="00503D63"/>
    <w:rsid w:val="00503DCA"/>
    <w:rsid w:val="00503ED9"/>
    <w:rsid w:val="00503F07"/>
    <w:rsid w:val="00503F6D"/>
    <w:rsid w:val="00503F98"/>
    <w:rsid w:val="005040F7"/>
    <w:rsid w:val="005041D2"/>
    <w:rsid w:val="0050420E"/>
    <w:rsid w:val="0050429B"/>
    <w:rsid w:val="005043F6"/>
    <w:rsid w:val="005044F7"/>
    <w:rsid w:val="00504621"/>
    <w:rsid w:val="0050462E"/>
    <w:rsid w:val="005046DB"/>
    <w:rsid w:val="00504702"/>
    <w:rsid w:val="00504767"/>
    <w:rsid w:val="0050476E"/>
    <w:rsid w:val="00504943"/>
    <w:rsid w:val="005049C2"/>
    <w:rsid w:val="00504AAE"/>
    <w:rsid w:val="00504C0C"/>
    <w:rsid w:val="00504F23"/>
    <w:rsid w:val="00504F88"/>
    <w:rsid w:val="005051B1"/>
    <w:rsid w:val="005051D7"/>
    <w:rsid w:val="00505324"/>
    <w:rsid w:val="0050537B"/>
    <w:rsid w:val="00505440"/>
    <w:rsid w:val="005054C2"/>
    <w:rsid w:val="005054FB"/>
    <w:rsid w:val="005055E5"/>
    <w:rsid w:val="0050565C"/>
    <w:rsid w:val="005056AA"/>
    <w:rsid w:val="005056D3"/>
    <w:rsid w:val="00505768"/>
    <w:rsid w:val="005058EA"/>
    <w:rsid w:val="005059F1"/>
    <w:rsid w:val="005059FB"/>
    <w:rsid w:val="00505A0E"/>
    <w:rsid w:val="00505AB8"/>
    <w:rsid w:val="00505AEA"/>
    <w:rsid w:val="00505AED"/>
    <w:rsid w:val="00505CC8"/>
    <w:rsid w:val="00505E00"/>
    <w:rsid w:val="00505FA9"/>
    <w:rsid w:val="00505FB0"/>
    <w:rsid w:val="005060BA"/>
    <w:rsid w:val="005060C5"/>
    <w:rsid w:val="005061B5"/>
    <w:rsid w:val="005062DB"/>
    <w:rsid w:val="0050634E"/>
    <w:rsid w:val="00506432"/>
    <w:rsid w:val="005064B4"/>
    <w:rsid w:val="00506571"/>
    <w:rsid w:val="005066FF"/>
    <w:rsid w:val="005067F2"/>
    <w:rsid w:val="00506843"/>
    <w:rsid w:val="0050691A"/>
    <w:rsid w:val="00506A57"/>
    <w:rsid w:val="00506ACB"/>
    <w:rsid w:val="00506C16"/>
    <w:rsid w:val="00506C1F"/>
    <w:rsid w:val="00506CBC"/>
    <w:rsid w:val="00506D28"/>
    <w:rsid w:val="00506D39"/>
    <w:rsid w:val="00506DA0"/>
    <w:rsid w:val="00506DB6"/>
    <w:rsid w:val="00506E82"/>
    <w:rsid w:val="00506F74"/>
    <w:rsid w:val="00506FDF"/>
    <w:rsid w:val="00506FFA"/>
    <w:rsid w:val="005070F0"/>
    <w:rsid w:val="0050736C"/>
    <w:rsid w:val="00507427"/>
    <w:rsid w:val="0050742D"/>
    <w:rsid w:val="0050752E"/>
    <w:rsid w:val="00507691"/>
    <w:rsid w:val="00507952"/>
    <w:rsid w:val="005079E0"/>
    <w:rsid w:val="00507A00"/>
    <w:rsid w:val="00507A25"/>
    <w:rsid w:val="00507B7B"/>
    <w:rsid w:val="00507C1D"/>
    <w:rsid w:val="00507D05"/>
    <w:rsid w:val="00507DB8"/>
    <w:rsid w:val="00507E77"/>
    <w:rsid w:val="0051007D"/>
    <w:rsid w:val="00510098"/>
    <w:rsid w:val="005100A6"/>
    <w:rsid w:val="005101F5"/>
    <w:rsid w:val="00510243"/>
    <w:rsid w:val="0051043B"/>
    <w:rsid w:val="0051044E"/>
    <w:rsid w:val="005104CF"/>
    <w:rsid w:val="0051057A"/>
    <w:rsid w:val="005105E2"/>
    <w:rsid w:val="005105EE"/>
    <w:rsid w:val="0051061D"/>
    <w:rsid w:val="00510803"/>
    <w:rsid w:val="005108B1"/>
    <w:rsid w:val="005108D2"/>
    <w:rsid w:val="00510919"/>
    <w:rsid w:val="00510B70"/>
    <w:rsid w:val="00510BB6"/>
    <w:rsid w:val="00510C50"/>
    <w:rsid w:val="00510CDD"/>
    <w:rsid w:val="00510D28"/>
    <w:rsid w:val="00510F81"/>
    <w:rsid w:val="005110AF"/>
    <w:rsid w:val="00511115"/>
    <w:rsid w:val="005116AD"/>
    <w:rsid w:val="00511733"/>
    <w:rsid w:val="00511978"/>
    <w:rsid w:val="00511B39"/>
    <w:rsid w:val="00511B6E"/>
    <w:rsid w:val="00511BDB"/>
    <w:rsid w:val="00511DA9"/>
    <w:rsid w:val="00512035"/>
    <w:rsid w:val="005120D9"/>
    <w:rsid w:val="005120DB"/>
    <w:rsid w:val="00512237"/>
    <w:rsid w:val="00512480"/>
    <w:rsid w:val="0051256A"/>
    <w:rsid w:val="00512644"/>
    <w:rsid w:val="005127C7"/>
    <w:rsid w:val="00512A0E"/>
    <w:rsid w:val="00512A4E"/>
    <w:rsid w:val="00512ABD"/>
    <w:rsid w:val="00512E56"/>
    <w:rsid w:val="00512E65"/>
    <w:rsid w:val="00512E8B"/>
    <w:rsid w:val="00512EDA"/>
    <w:rsid w:val="00512F29"/>
    <w:rsid w:val="00512FE5"/>
    <w:rsid w:val="00513039"/>
    <w:rsid w:val="005131A7"/>
    <w:rsid w:val="005131DF"/>
    <w:rsid w:val="005134E7"/>
    <w:rsid w:val="0051354E"/>
    <w:rsid w:val="0051361D"/>
    <w:rsid w:val="005136AE"/>
    <w:rsid w:val="005137AD"/>
    <w:rsid w:val="00513853"/>
    <w:rsid w:val="00513A55"/>
    <w:rsid w:val="00513B30"/>
    <w:rsid w:val="00513BE5"/>
    <w:rsid w:val="00513BF6"/>
    <w:rsid w:val="00513C66"/>
    <w:rsid w:val="00513D03"/>
    <w:rsid w:val="00513D25"/>
    <w:rsid w:val="00513EAD"/>
    <w:rsid w:val="00514063"/>
    <w:rsid w:val="00514131"/>
    <w:rsid w:val="0051428A"/>
    <w:rsid w:val="005142CB"/>
    <w:rsid w:val="00514417"/>
    <w:rsid w:val="0051442C"/>
    <w:rsid w:val="00514593"/>
    <w:rsid w:val="005145CC"/>
    <w:rsid w:val="00514642"/>
    <w:rsid w:val="0051471B"/>
    <w:rsid w:val="00514725"/>
    <w:rsid w:val="00514772"/>
    <w:rsid w:val="00514955"/>
    <w:rsid w:val="00514969"/>
    <w:rsid w:val="00514972"/>
    <w:rsid w:val="005149B2"/>
    <w:rsid w:val="00514D6B"/>
    <w:rsid w:val="00514D7B"/>
    <w:rsid w:val="00514E21"/>
    <w:rsid w:val="00514E2C"/>
    <w:rsid w:val="00514E41"/>
    <w:rsid w:val="00514F9D"/>
    <w:rsid w:val="00514FEF"/>
    <w:rsid w:val="005151A0"/>
    <w:rsid w:val="005151D0"/>
    <w:rsid w:val="00515267"/>
    <w:rsid w:val="0051542C"/>
    <w:rsid w:val="00515433"/>
    <w:rsid w:val="00515552"/>
    <w:rsid w:val="005156F5"/>
    <w:rsid w:val="0051578C"/>
    <w:rsid w:val="005157AF"/>
    <w:rsid w:val="00515803"/>
    <w:rsid w:val="00515892"/>
    <w:rsid w:val="005158C4"/>
    <w:rsid w:val="005158DC"/>
    <w:rsid w:val="00515927"/>
    <w:rsid w:val="005159DD"/>
    <w:rsid w:val="00515A22"/>
    <w:rsid w:val="00515A35"/>
    <w:rsid w:val="00515C14"/>
    <w:rsid w:val="00515CD7"/>
    <w:rsid w:val="00515D15"/>
    <w:rsid w:val="00515E2A"/>
    <w:rsid w:val="00516219"/>
    <w:rsid w:val="00516279"/>
    <w:rsid w:val="00516294"/>
    <w:rsid w:val="005162E0"/>
    <w:rsid w:val="00516375"/>
    <w:rsid w:val="0051653D"/>
    <w:rsid w:val="0051657D"/>
    <w:rsid w:val="00516656"/>
    <w:rsid w:val="005166F1"/>
    <w:rsid w:val="00516701"/>
    <w:rsid w:val="00516791"/>
    <w:rsid w:val="005167D1"/>
    <w:rsid w:val="0051683B"/>
    <w:rsid w:val="0051693E"/>
    <w:rsid w:val="00516B8A"/>
    <w:rsid w:val="00516BDF"/>
    <w:rsid w:val="00516CD9"/>
    <w:rsid w:val="00516D73"/>
    <w:rsid w:val="00516DE2"/>
    <w:rsid w:val="00516F06"/>
    <w:rsid w:val="00517032"/>
    <w:rsid w:val="005171D8"/>
    <w:rsid w:val="0051727E"/>
    <w:rsid w:val="0051727F"/>
    <w:rsid w:val="00517320"/>
    <w:rsid w:val="0051734E"/>
    <w:rsid w:val="00517485"/>
    <w:rsid w:val="005174AC"/>
    <w:rsid w:val="005174FF"/>
    <w:rsid w:val="00517510"/>
    <w:rsid w:val="0051752A"/>
    <w:rsid w:val="0051755B"/>
    <w:rsid w:val="00517564"/>
    <w:rsid w:val="0051757E"/>
    <w:rsid w:val="00517661"/>
    <w:rsid w:val="00517671"/>
    <w:rsid w:val="0051794F"/>
    <w:rsid w:val="00517A26"/>
    <w:rsid w:val="00517A35"/>
    <w:rsid w:val="00517A36"/>
    <w:rsid w:val="00517ABC"/>
    <w:rsid w:val="00517B45"/>
    <w:rsid w:val="00517BD1"/>
    <w:rsid w:val="00517C19"/>
    <w:rsid w:val="00517D23"/>
    <w:rsid w:val="00517D91"/>
    <w:rsid w:val="00517DB1"/>
    <w:rsid w:val="00517E12"/>
    <w:rsid w:val="0051EA1C"/>
    <w:rsid w:val="0052017A"/>
    <w:rsid w:val="00520215"/>
    <w:rsid w:val="00520286"/>
    <w:rsid w:val="005202D0"/>
    <w:rsid w:val="0052049C"/>
    <w:rsid w:val="0052051D"/>
    <w:rsid w:val="005206AE"/>
    <w:rsid w:val="005206CD"/>
    <w:rsid w:val="00520844"/>
    <w:rsid w:val="005208CA"/>
    <w:rsid w:val="00520918"/>
    <w:rsid w:val="0052095D"/>
    <w:rsid w:val="005209B6"/>
    <w:rsid w:val="00520ACE"/>
    <w:rsid w:val="00520B39"/>
    <w:rsid w:val="00520B67"/>
    <w:rsid w:val="00520BD3"/>
    <w:rsid w:val="00520C45"/>
    <w:rsid w:val="00520C51"/>
    <w:rsid w:val="00520C5A"/>
    <w:rsid w:val="00520CB5"/>
    <w:rsid w:val="00520DB1"/>
    <w:rsid w:val="00520F69"/>
    <w:rsid w:val="00520FE0"/>
    <w:rsid w:val="00521063"/>
    <w:rsid w:val="0052125F"/>
    <w:rsid w:val="0052133C"/>
    <w:rsid w:val="0052134C"/>
    <w:rsid w:val="0052150B"/>
    <w:rsid w:val="0052160F"/>
    <w:rsid w:val="005216FF"/>
    <w:rsid w:val="005218EB"/>
    <w:rsid w:val="00521A17"/>
    <w:rsid w:val="00521D13"/>
    <w:rsid w:val="00521E15"/>
    <w:rsid w:val="00521E7B"/>
    <w:rsid w:val="00521EB3"/>
    <w:rsid w:val="00521FC1"/>
    <w:rsid w:val="0052212C"/>
    <w:rsid w:val="00522171"/>
    <w:rsid w:val="005221AB"/>
    <w:rsid w:val="00522230"/>
    <w:rsid w:val="005222A9"/>
    <w:rsid w:val="005222D0"/>
    <w:rsid w:val="005223AD"/>
    <w:rsid w:val="00522444"/>
    <w:rsid w:val="00522475"/>
    <w:rsid w:val="005225B0"/>
    <w:rsid w:val="005225BD"/>
    <w:rsid w:val="00522702"/>
    <w:rsid w:val="00522836"/>
    <w:rsid w:val="00522926"/>
    <w:rsid w:val="00522986"/>
    <w:rsid w:val="00522A73"/>
    <w:rsid w:val="00522ADC"/>
    <w:rsid w:val="00522B6C"/>
    <w:rsid w:val="00522B79"/>
    <w:rsid w:val="00522CDF"/>
    <w:rsid w:val="00522D93"/>
    <w:rsid w:val="00522DB3"/>
    <w:rsid w:val="00522E8F"/>
    <w:rsid w:val="00522EB2"/>
    <w:rsid w:val="00522EDA"/>
    <w:rsid w:val="00522FC6"/>
    <w:rsid w:val="00523022"/>
    <w:rsid w:val="005230A2"/>
    <w:rsid w:val="005230BD"/>
    <w:rsid w:val="0052319C"/>
    <w:rsid w:val="0052319D"/>
    <w:rsid w:val="0052322C"/>
    <w:rsid w:val="00523280"/>
    <w:rsid w:val="0052339F"/>
    <w:rsid w:val="005233CF"/>
    <w:rsid w:val="005233FF"/>
    <w:rsid w:val="005234A9"/>
    <w:rsid w:val="00523607"/>
    <w:rsid w:val="00523687"/>
    <w:rsid w:val="005236E0"/>
    <w:rsid w:val="005237B8"/>
    <w:rsid w:val="00523909"/>
    <w:rsid w:val="00523A40"/>
    <w:rsid w:val="00523A83"/>
    <w:rsid w:val="00523B14"/>
    <w:rsid w:val="00523C42"/>
    <w:rsid w:val="00523D21"/>
    <w:rsid w:val="00523D4C"/>
    <w:rsid w:val="00523E5E"/>
    <w:rsid w:val="00523E67"/>
    <w:rsid w:val="00523E94"/>
    <w:rsid w:val="00523F14"/>
    <w:rsid w:val="00523F83"/>
    <w:rsid w:val="00523FE0"/>
    <w:rsid w:val="00523FF6"/>
    <w:rsid w:val="0052429D"/>
    <w:rsid w:val="005242A9"/>
    <w:rsid w:val="00524414"/>
    <w:rsid w:val="0052442F"/>
    <w:rsid w:val="00524431"/>
    <w:rsid w:val="0052449A"/>
    <w:rsid w:val="005244A4"/>
    <w:rsid w:val="0052471D"/>
    <w:rsid w:val="005248B2"/>
    <w:rsid w:val="00524952"/>
    <w:rsid w:val="005249CD"/>
    <w:rsid w:val="00524A38"/>
    <w:rsid w:val="00524AE8"/>
    <w:rsid w:val="00524C14"/>
    <w:rsid w:val="00524DD5"/>
    <w:rsid w:val="00524E4C"/>
    <w:rsid w:val="00524F13"/>
    <w:rsid w:val="00524F43"/>
    <w:rsid w:val="00524F9E"/>
    <w:rsid w:val="00524FAF"/>
    <w:rsid w:val="0052521E"/>
    <w:rsid w:val="00525311"/>
    <w:rsid w:val="00525324"/>
    <w:rsid w:val="005253FF"/>
    <w:rsid w:val="00525571"/>
    <w:rsid w:val="0052558B"/>
    <w:rsid w:val="00525659"/>
    <w:rsid w:val="0052567D"/>
    <w:rsid w:val="005257AC"/>
    <w:rsid w:val="005257E8"/>
    <w:rsid w:val="0052584B"/>
    <w:rsid w:val="00525868"/>
    <w:rsid w:val="005258A1"/>
    <w:rsid w:val="005258C5"/>
    <w:rsid w:val="00525911"/>
    <w:rsid w:val="00525A01"/>
    <w:rsid w:val="00525B45"/>
    <w:rsid w:val="00525D4A"/>
    <w:rsid w:val="00525F40"/>
    <w:rsid w:val="00525F9A"/>
    <w:rsid w:val="00525FC1"/>
    <w:rsid w:val="00526008"/>
    <w:rsid w:val="00526023"/>
    <w:rsid w:val="005260AF"/>
    <w:rsid w:val="0052614D"/>
    <w:rsid w:val="0052616E"/>
    <w:rsid w:val="00526595"/>
    <w:rsid w:val="005265EC"/>
    <w:rsid w:val="00526650"/>
    <w:rsid w:val="005266D2"/>
    <w:rsid w:val="00526913"/>
    <w:rsid w:val="00526968"/>
    <w:rsid w:val="00526AB7"/>
    <w:rsid w:val="00526AC5"/>
    <w:rsid w:val="00526B2F"/>
    <w:rsid w:val="00526C82"/>
    <w:rsid w:val="00526CC8"/>
    <w:rsid w:val="00526D09"/>
    <w:rsid w:val="00526D7E"/>
    <w:rsid w:val="00526DD6"/>
    <w:rsid w:val="00526E41"/>
    <w:rsid w:val="00527088"/>
    <w:rsid w:val="00527198"/>
    <w:rsid w:val="005274E3"/>
    <w:rsid w:val="00527595"/>
    <w:rsid w:val="005275D0"/>
    <w:rsid w:val="0052764F"/>
    <w:rsid w:val="00527673"/>
    <w:rsid w:val="00527762"/>
    <w:rsid w:val="005277D8"/>
    <w:rsid w:val="0052781F"/>
    <w:rsid w:val="0052791C"/>
    <w:rsid w:val="00527999"/>
    <w:rsid w:val="005279BE"/>
    <w:rsid w:val="005279D8"/>
    <w:rsid w:val="00527B31"/>
    <w:rsid w:val="00527C32"/>
    <w:rsid w:val="00527D35"/>
    <w:rsid w:val="00527DE9"/>
    <w:rsid w:val="00527E2D"/>
    <w:rsid w:val="00527FDC"/>
    <w:rsid w:val="00530013"/>
    <w:rsid w:val="005300CE"/>
    <w:rsid w:val="00530100"/>
    <w:rsid w:val="0053015C"/>
    <w:rsid w:val="0053016F"/>
    <w:rsid w:val="005301E3"/>
    <w:rsid w:val="005302BC"/>
    <w:rsid w:val="0053039D"/>
    <w:rsid w:val="0053049A"/>
    <w:rsid w:val="005304F1"/>
    <w:rsid w:val="0053056F"/>
    <w:rsid w:val="0053070D"/>
    <w:rsid w:val="005307B1"/>
    <w:rsid w:val="005307B4"/>
    <w:rsid w:val="005307D9"/>
    <w:rsid w:val="005308B1"/>
    <w:rsid w:val="005308CF"/>
    <w:rsid w:val="0053093A"/>
    <w:rsid w:val="00530946"/>
    <w:rsid w:val="00530B14"/>
    <w:rsid w:val="00530C36"/>
    <w:rsid w:val="00530E06"/>
    <w:rsid w:val="00530E07"/>
    <w:rsid w:val="00530E8B"/>
    <w:rsid w:val="00530ECE"/>
    <w:rsid w:val="00531028"/>
    <w:rsid w:val="005310FB"/>
    <w:rsid w:val="0053120C"/>
    <w:rsid w:val="005313C9"/>
    <w:rsid w:val="005313D2"/>
    <w:rsid w:val="005314AD"/>
    <w:rsid w:val="00531612"/>
    <w:rsid w:val="005318AE"/>
    <w:rsid w:val="00531929"/>
    <w:rsid w:val="005319FA"/>
    <w:rsid w:val="00531A35"/>
    <w:rsid w:val="00531A53"/>
    <w:rsid w:val="00531D55"/>
    <w:rsid w:val="00531DEB"/>
    <w:rsid w:val="00531E45"/>
    <w:rsid w:val="00532122"/>
    <w:rsid w:val="00532153"/>
    <w:rsid w:val="00532155"/>
    <w:rsid w:val="005321B9"/>
    <w:rsid w:val="005321EB"/>
    <w:rsid w:val="005323B9"/>
    <w:rsid w:val="00532434"/>
    <w:rsid w:val="00532447"/>
    <w:rsid w:val="00532495"/>
    <w:rsid w:val="005325DE"/>
    <w:rsid w:val="0053270A"/>
    <w:rsid w:val="0053277C"/>
    <w:rsid w:val="005329E8"/>
    <w:rsid w:val="00532A42"/>
    <w:rsid w:val="00532A73"/>
    <w:rsid w:val="00532A83"/>
    <w:rsid w:val="00532C09"/>
    <w:rsid w:val="00532C0C"/>
    <w:rsid w:val="00532C98"/>
    <w:rsid w:val="00532D04"/>
    <w:rsid w:val="00532EC3"/>
    <w:rsid w:val="00532F94"/>
    <w:rsid w:val="00533123"/>
    <w:rsid w:val="0053313C"/>
    <w:rsid w:val="00533162"/>
    <w:rsid w:val="00533184"/>
    <w:rsid w:val="005331A8"/>
    <w:rsid w:val="00533457"/>
    <w:rsid w:val="00533663"/>
    <w:rsid w:val="00533698"/>
    <w:rsid w:val="005336D6"/>
    <w:rsid w:val="005336D7"/>
    <w:rsid w:val="005336D8"/>
    <w:rsid w:val="00533708"/>
    <w:rsid w:val="0053376F"/>
    <w:rsid w:val="005339A5"/>
    <w:rsid w:val="00533B06"/>
    <w:rsid w:val="00533B1A"/>
    <w:rsid w:val="00533B95"/>
    <w:rsid w:val="00533C90"/>
    <w:rsid w:val="00533C9C"/>
    <w:rsid w:val="00533D4E"/>
    <w:rsid w:val="00533D9F"/>
    <w:rsid w:val="00533DBE"/>
    <w:rsid w:val="00533ECD"/>
    <w:rsid w:val="00533ED5"/>
    <w:rsid w:val="00533F0A"/>
    <w:rsid w:val="00533F54"/>
    <w:rsid w:val="00533FFD"/>
    <w:rsid w:val="00534012"/>
    <w:rsid w:val="00534126"/>
    <w:rsid w:val="0053416F"/>
    <w:rsid w:val="005341CF"/>
    <w:rsid w:val="00534232"/>
    <w:rsid w:val="00534259"/>
    <w:rsid w:val="005342F9"/>
    <w:rsid w:val="0053432B"/>
    <w:rsid w:val="00534338"/>
    <w:rsid w:val="005343ED"/>
    <w:rsid w:val="0053471F"/>
    <w:rsid w:val="0053484A"/>
    <w:rsid w:val="00534A16"/>
    <w:rsid w:val="00534B78"/>
    <w:rsid w:val="00534BB9"/>
    <w:rsid w:val="00534C0E"/>
    <w:rsid w:val="00534E8A"/>
    <w:rsid w:val="00534F35"/>
    <w:rsid w:val="00534FFA"/>
    <w:rsid w:val="005350D7"/>
    <w:rsid w:val="005351E1"/>
    <w:rsid w:val="0053526B"/>
    <w:rsid w:val="005352EA"/>
    <w:rsid w:val="0053535F"/>
    <w:rsid w:val="005353FA"/>
    <w:rsid w:val="00535413"/>
    <w:rsid w:val="00535526"/>
    <w:rsid w:val="00535568"/>
    <w:rsid w:val="0053558C"/>
    <w:rsid w:val="005355A8"/>
    <w:rsid w:val="0053562D"/>
    <w:rsid w:val="005356D8"/>
    <w:rsid w:val="005356EB"/>
    <w:rsid w:val="005356FD"/>
    <w:rsid w:val="005357CB"/>
    <w:rsid w:val="005357D5"/>
    <w:rsid w:val="005358DA"/>
    <w:rsid w:val="00535910"/>
    <w:rsid w:val="00535993"/>
    <w:rsid w:val="005359CA"/>
    <w:rsid w:val="005359F3"/>
    <w:rsid w:val="00535B19"/>
    <w:rsid w:val="00535CD4"/>
    <w:rsid w:val="00535DDA"/>
    <w:rsid w:val="00535E3E"/>
    <w:rsid w:val="00535EE8"/>
    <w:rsid w:val="0053604C"/>
    <w:rsid w:val="005360BC"/>
    <w:rsid w:val="00536118"/>
    <w:rsid w:val="005363E2"/>
    <w:rsid w:val="0053649F"/>
    <w:rsid w:val="005365E7"/>
    <w:rsid w:val="005366C9"/>
    <w:rsid w:val="005367FB"/>
    <w:rsid w:val="00536B18"/>
    <w:rsid w:val="00536B8D"/>
    <w:rsid w:val="00536B99"/>
    <w:rsid w:val="00536C2A"/>
    <w:rsid w:val="00536D0A"/>
    <w:rsid w:val="00536D57"/>
    <w:rsid w:val="00536E9E"/>
    <w:rsid w:val="00536FDA"/>
    <w:rsid w:val="00537142"/>
    <w:rsid w:val="00537237"/>
    <w:rsid w:val="0053724B"/>
    <w:rsid w:val="00537277"/>
    <w:rsid w:val="00537280"/>
    <w:rsid w:val="00537481"/>
    <w:rsid w:val="00537495"/>
    <w:rsid w:val="0053754E"/>
    <w:rsid w:val="005376A4"/>
    <w:rsid w:val="0053775A"/>
    <w:rsid w:val="00537786"/>
    <w:rsid w:val="005379FC"/>
    <w:rsid w:val="00537BE1"/>
    <w:rsid w:val="00537C40"/>
    <w:rsid w:val="00537DEB"/>
    <w:rsid w:val="00537E03"/>
    <w:rsid w:val="00537E36"/>
    <w:rsid w:val="00537F46"/>
    <w:rsid w:val="00537F86"/>
    <w:rsid w:val="00537FB5"/>
    <w:rsid w:val="00540048"/>
    <w:rsid w:val="005400DE"/>
    <w:rsid w:val="005401D6"/>
    <w:rsid w:val="005402DB"/>
    <w:rsid w:val="005403B9"/>
    <w:rsid w:val="005405A3"/>
    <w:rsid w:val="005406D6"/>
    <w:rsid w:val="00540732"/>
    <w:rsid w:val="00540A7A"/>
    <w:rsid w:val="00540A86"/>
    <w:rsid w:val="00540AC0"/>
    <w:rsid w:val="00540AC1"/>
    <w:rsid w:val="00540AF5"/>
    <w:rsid w:val="00540B68"/>
    <w:rsid w:val="00540B80"/>
    <w:rsid w:val="00540C20"/>
    <w:rsid w:val="00540D37"/>
    <w:rsid w:val="00540E1A"/>
    <w:rsid w:val="00540EB6"/>
    <w:rsid w:val="00540F45"/>
    <w:rsid w:val="00540F52"/>
    <w:rsid w:val="00540F53"/>
    <w:rsid w:val="00540F8D"/>
    <w:rsid w:val="00541048"/>
    <w:rsid w:val="005411D1"/>
    <w:rsid w:val="00541290"/>
    <w:rsid w:val="005412A2"/>
    <w:rsid w:val="005413E6"/>
    <w:rsid w:val="0054146E"/>
    <w:rsid w:val="00541572"/>
    <w:rsid w:val="0054163B"/>
    <w:rsid w:val="00541709"/>
    <w:rsid w:val="0054176E"/>
    <w:rsid w:val="00541858"/>
    <w:rsid w:val="005418F7"/>
    <w:rsid w:val="00541A69"/>
    <w:rsid w:val="00541AD5"/>
    <w:rsid w:val="00541ADF"/>
    <w:rsid w:val="00541B03"/>
    <w:rsid w:val="00541B4D"/>
    <w:rsid w:val="00541B79"/>
    <w:rsid w:val="00541D6B"/>
    <w:rsid w:val="00541D8F"/>
    <w:rsid w:val="00541DAC"/>
    <w:rsid w:val="00541E05"/>
    <w:rsid w:val="00541E75"/>
    <w:rsid w:val="00541EA1"/>
    <w:rsid w:val="00541EB8"/>
    <w:rsid w:val="00542222"/>
    <w:rsid w:val="00542309"/>
    <w:rsid w:val="005423BE"/>
    <w:rsid w:val="005424AA"/>
    <w:rsid w:val="005424FF"/>
    <w:rsid w:val="00542553"/>
    <w:rsid w:val="00542561"/>
    <w:rsid w:val="00542572"/>
    <w:rsid w:val="005425A0"/>
    <w:rsid w:val="005425E0"/>
    <w:rsid w:val="00542651"/>
    <w:rsid w:val="00542662"/>
    <w:rsid w:val="005426B0"/>
    <w:rsid w:val="00542719"/>
    <w:rsid w:val="00542752"/>
    <w:rsid w:val="0054275D"/>
    <w:rsid w:val="005428CA"/>
    <w:rsid w:val="00542AC8"/>
    <w:rsid w:val="00542C84"/>
    <w:rsid w:val="00542CDD"/>
    <w:rsid w:val="00542D20"/>
    <w:rsid w:val="00542DB5"/>
    <w:rsid w:val="00542E73"/>
    <w:rsid w:val="00542FDA"/>
    <w:rsid w:val="00542FF4"/>
    <w:rsid w:val="005430A9"/>
    <w:rsid w:val="005430D8"/>
    <w:rsid w:val="00543257"/>
    <w:rsid w:val="005433DB"/>
    <w:rsid w:val="005433F6"/>
    <w:rsid w:val="005435C5"/>
    <w:rsid w:val="005436BA"/>
    <w:rsid w:val="00543970"/>
    <w:rsid w:val="005439E8"/>
    <w:rsid w:val="00543A14"/>
    <w:rsid w:val="00543A5D"/>
    <w:rsid w:val="00543B35"/>
    <w:rsid w:val="00543C72"/>
    <w:rsid w:val="00543D5B"/>
    <w:rsid w:val="00543E41"/>
    <w:rsid w:val="00543F8B"/>
    <w:rsid w:val="00543FB3"/>
    <w:rsid w:val="005440F5"/>
    <w:rsid w:val="00544160"/>
    <w:rsid w:val="00544183"/>
    <w:rsid w:val="005441A5"/>
    <w:rsid w:val="005441A8"/>
    <w:rsid w:val="00544259"/>
    <w:rsid w:val="0054454A"/>
    <w:rsid w:val="00544582"/>
    <w:rsid w:val="005446A8"/>
    <w:rsid w:val="0054473B"/>
    <w:rsid w:val="005447A7"/>
    <w:rsid w:val="005448F0"/>
    <w:rsid w:val="0054496F"/>
    <w:rsid w:val="00544ADE"/>
    <w:rsid w:val="00544B06"/>
    <w:rsid w:val="00544B0B"/>
    <w:rsid w:val="00544B62"/>
    <w:rsid w:val="00544C2A"/>
    <w:rsid w:val="00544C91"/>
    <w:rsid w:val="00544CA6"/>
    <w:rsid w:val="00544D21"/>
    <w:rsid w:val="00544DD3"/>
    <w:rsid w:val="00544E25"/>
    <w:rsid w:val="00544E5F"/>
    <w:rsid w:val="00544F85"/>
    <w:rsid w:val="00544FA3"/>
    <w:rsid w:val="00545007"/>
    <w:rsid w:val="005451E7"/>
    <w:rsid w:val="005452EE"/>
    <w:rsid w:val="0054531E"/>
    <w:rsid w:val="005453E9"/>
    <w:rsid w:val="00545485"/>
    <w:rsid w:val="0054563A"/>
    <w:rsid w:val="00545651"/>
    <w:rsid w:val="005456C6"/>
    <w:rsid w:val="005457C1"/>
    <w:rsid w:val="005457D2"/>
    <w:rsid w:val="00545894"/>
    <w:rsid w:val="00545A00"/>
    <w:rsid w:val="00545B1D"/>
    <w:rsid w:val="00545BFD"/>
    <w:rsid w:val="00545C21"/>
    <w:rsid w:val="00545CE5"/>
    <w:rsid w:val="00545E9B"/>
    <w:rsid w:val="00545EE5"/>
    <w:rsid w:val="00545EE6"/>
    <w:rsid w:val="00545F49"/>
    <w:rsid w:val="00546442"/>
    <w:rsid w:val="00546470"/>
    <w:rsid w:val="0054651A"/>
    <w:rsid w:val="00546560"/>
    <w:rsid w:val="0054656D"/>
    <w:rsid w:val="005466AF"/>
    <w:rsid w:val="005467C4"/>
    <w:rsid w:val="005468F2"/>
    <w:rsid w:val="005468FA"/>
    <w:rsid w:val="00546997"/>
    <w:rsid w:val="00546A7D"/>
    <w:rsid w:val="00546C35"/>
    <w:rsid w:val="00546CE7"/>
    <w:rsid w:val="00546CFB"/>
    <w:rsid w:val="00546F6F"/>
    <w:rsid w:val="00547093"/>
    <w:rsid w:val="005470B3"/>
    <w:rsid w:val="00547120"/>
    <w:rsid w:val="00547179"/>
    <w:rsid w:val="00547212"/>
    <w:rsid w:val="00547306"/>
    <w:rsid w:val="005473A1"/>
    <w:rsid w:val="0054741E"/>
    <w:rsid w:val="0054766E"/>
    <w:rsid w:val="00547756"/>
    <w:rsid w:val="0054778E"/>
    <w:rsid w:val="00547936"/>
    <w:rsid w:val="00547B0D"/>
    <w:rsid w:val="00547B64"/>
    <w:rsid w:val="00547CDD"/>
    <w:rsid w:val="00547DC1"/>
    <w:rsid w:val="00547DFC"/>
    <w:rsid w:val="00547E19"/>
    <w:rsid w:val="00547E62"/>
    <w:rsid w:val="00547F72"/>
    <w:rsid w:val="0055009D"/>
    <w:rsid w:val="005500DA"/>
    <w:rsid w:val="0055018E"/>
    <w:rsid w:val="005502F3"/>
    <w:rsid w:val="005503B4"/>
    <w:rsid w:val="00550457"/>
    <w:rsid w:val="005504C2"/>
    <w:rsid w:val="005505EF"/>
    <w:rsid w:val="005506D6"/>
    <w:rsid w:val="005507D3"/>
    <w:rsid w:val="00550800"/>
    <w:rsid w:val="00550963"/>
    <w:rsid w:val="00550ACD"/>
    <w:rsid w:val="00550C0E"/>
    <w:rsid w:val="00550C69"/>
    <w:rsid w:val="00550C8F"/>
    <w:rsid w:val="00550CB6"/>
    <w:rsid w:val="00550CED"/>
    <w:rsid w:val="00550E6F"/>
    <w:rsid w:val="00550F40"/>
    <w:rsid w:val="00550F88"/>
    <w:rsid w:val="00551023"/>
    <w:rsid w:val="00551076"/>
    <w:rsid w:val="005511B5"/>
    <w:rsid w:val="005511C3"/>
    <w:rsid w:val="005511EA"/>
    <w:rsid w:val="00551292"/>
    <w:rsid w:val="00551578"/>
    <w:rsid w:val="005515CF"/>
    <w:rsid w:val="0055161A"/>
    <w:rsid w:val="00551706"/>
    <w:rsid w:val="00551761"/>
    <w:rsid w:val="0055184A"/>
    <w:rsid w:val="00551927"/>
    <w:rsid w:val="005519EB"/>
    <w:rsid w:val="00551A41"/>
    <w:rsid w:val="00551B1B"/>
    <w:rsid w:val="00551B6A"/>
    <w:rsid w:val="00551D0A"/>
    <w:rsid w:val="00551E16"/>
    <w:rsid w:val="00551EE2"/>
    <w:rsid w:val="00551F30"/>
    <w:rsid w:val="00551FFB"/>
    <w:rsid w:val="00552195"/>
    <w:rsid w:val="0055226C"/>
    <w:rsid w:val="00552291"/>
    <w:rsid w:val="00552427"/>
    <w:rsid w:val="0055243E"/>
    <w:rsid w:val="005525C3"/>
    <w:rsid w:val="0055267F"/>
    <w:rsid w:val="005526DF"/>
    <w:rsid w:val="005526E6"/>
    <w:rsid w:val="00552700"/>
    <w:rsid w:val="00552844"/>
    <w:rsid w:val="0055289D"/>
    <w:rsid w:val="005528E1"/>
    <w:rsid w:val="00552966"/>
    <w:rsid w:val="00552B3A"/>
    <w:rsid w:val="00552CE5"/>
    <w:rsid w:val="00552E6B"/>
    <w:rsid w:val="00552E8E"/>
    <w:rsid w:val="00552E92"/>
    <w:rsid w:val="00552F86"/>
    <w:rsid w:val="00552FA0"/>
    <w:rsid w:val="0055300D"/>
    <w:rsid w:val="00553058"/>
    <w:rsid w:val="0055311D"/>
    <w:rsid w:val="00553268"/>
    <w:rsid w:val="00553524"/>
    <w:rsid w:val="005535B0"/>
    <w:rsid w:val="005536B9"/>
    <w:rsid w:val="00553821"/>
    <w:rsid w:val="0055385C"/>
    <w:rsid w:val="0055386C"/>
    <w:rsid w:val="0055386D"/>
    <w:rsid w:val="005539CA"/>
    <w:rsid w:val="005539D2"/>
    <w:rsid w:val="00553A61"/>
    <w:rsid w:val="00553B83"/>
    <w:rsid w:val="00553C1D"/>
    <w:rsid w:val="00553D4E"/>
    <w:rsid w:val="00553D76"/>
    <w:rsid w:val="00553DB1"/>
    <w:rsid w:val="00553FFE"/>
    <w:rsid w:val="005540DC"/>
    <w:rsid w:val="00554233"/>
    <w:rsid w:val="00554339"/>
    <w:rsid w:val="005544F1"/>
    <w:rsid w:val="00554626"/>
    <w:rsid w:val="0055468A"/>
    <w:rsid w:val="005546AC"/>
    <w:rsid w:val="00554743"/>
    <w:rsid w:val="005547D3"/>
    <w:rsid w:val="00554851"/>
    <w:rsid w:val="00554A25"/>
    <w:rsid w:val="00554AB5"/>
    <w:rsid w:val="00554B57"/>
    <w:rsid w:val="00554CF7"/>
    <w:rsid w:val="00554E70"/>
    <w:rsid w:val="00554FD9"/>
    <w:rsid w:val="0055503C"/>
    <w:rsid w:val="005550E7"/>
    <w:rsid w:val="0055522E"/>
    <w:rsid w:val="005553B2"/>
    <w:rsid w:val="005553B8"/>
    <w:rsid w:val="00555451"/>
    <w:rsid w:val="0055545D"/>
    <w:rsid w:val="0055546B"/>
    <w:rsid w:val="0055558C"/>
    <w:rsid w:val="005557DA"/>
    <w:rsid w:val="00555970"/>
    <w:rsid w:val="005559CD"/>
    <w:rsid w:val="00555A55"/>
    <w:rsid w:val="00555C8B"/>
    <w:rsid w:val="00555F17"/>
    <w:rsid w:val="00555F34"/>
    <w:rsid w:val="0055604B"/>
    <w:rsid w:val="0055613D"/>
    <w:rsid w:val="00556150"/>
    <w:rsid w:val="005561E5"/>
    <w:rsid w:val="00556345"/>
    <w:rsid w:val="00556434"/>
    <w:rsid w:val="005564FB"/>
    <w:rsid w:val="005565AB"/>
    <w:rsid w:val="005565F0"/>
    <w:rsid w:val="005567F8"/>
    <w:rsid w:val="0055683E"/>
    <w:rsid w:val="005568B2"/>
    <w:rsid w:val="00556988"/>
    <w:rsid w:val="00556B24"/>
    <w:rsid w:val="00556B25"/>
    <w:rsid w:val="00556B38"/>
    <w:rsid w:val="00556B97"/>
    <w:rsid w:val="00556BB8"/>
    <w:rsid w:val="00556C53"/>
    <w:rsid w:val="00556E18"/>
    <w:rsid w:val="00556FE1"/>
    <w:rsid w:val="00556FE6"/>
    <w:rsid w:val="0055702C"/>
    <w:rsid w:val="00557098"/>
    <w:rsid w:val="0055710C"/>
    <w:rsid w:val="00557119"/>
    <w:rsid w:val="0055714F"/>
    <w:rsid w:val="00557261"/>
    <w:rsid w:val="005572C7"/>
    <w:rsid w:val="00557345"/>
    <w:rsid w:val="00557357"/>
    <w:rsid w:val="00557473"/>
    <w:rsid w:val="00557561"/>
    <w:rsid w:val="00557584"/>
    <w:rsid w:val="005576C3"/>
    <w:rsid w:val="00557778"/>
    <w:rsid w:val="00557807"/>
    <w:rsid w:val="005578EA"/>
    <w:rsid w:val="00557A8E"/>
    <w:rsid w:val="00557BFD"/>
    <w:rsid w:val="00557C0F"/>
    <w:rsid w:val="00557C63"/>
    <w:rsid w:val="00557D11"/>
    <w:rsid w:val="00557E97"/>
    <w:rsid w:val="00557F38"/>
    <w:rsid w:val="00560040"/>
    <w:rsid w:val="005601A5"/>
    <w:rsid w:val="0056025E"/>
    <w:rsid w:val="0056031E"/>
    <w:rsid w:val="005603E9"/>
    <w:rsid w:val="00560508"/>
    <w:rsid w:val="0056050F"/>
    <w:rsid w:val="0056066A"/>
    <w:rsid w:val="005606C0"/>
    <w:rsid w:val="00560747"/>
    <w:rsid w:val="005607A2"/>
    <w:rsid w:val="00560A06"/>
    <w:rsid w:val="00560B6E"/>
    <w:rsid w:val="00560BC1"/>
    <w:rsid w:val="00560BDF"/>
    <w:rsid w:val="00560C91"/>
    <w:rsid w:val="00560CE3"/>
    <w:rsid w:val="00560EEC"/>
    <w:rsid w:val="00560FE3"/>
    <w:rsid w:val="00561030"/>
    <w:rsid w:val="00561108"/>
    <w:rsid w:val="00561135"/>
    <w:rsid w:val="005611EC"/>
    <w:rsid w:val="005612D3"/>
    <w:rsid w:val="0056145A"/>
    <w:rsid w:val="00561561"/>
    <w:rsid w:val="0056164B"/>
    <w:rsid w:val="00561676"/>
    <w:rsid w:val="00561798"/>
    <w:rsid w:val="005617F7"/>
    <w:rsid w:val="005619D1"/>
    <w:rsid w:val="00561A17"/>
    <w:rsid w:val="00561BBE"/>
    <w:rsid w:val="00561C4A"/>
    <w:rsid w:val="00561DAA"/>
    <w:rsid w:val="00561F13"/>
    <w:rsid w:val="00561FDC"/>
    <w:rsid w:val="00562086"/>
    <w:rsid w:val="0056208C"/>
    <w:rsid w:val="005620DF"/>
    <w:rsid w:val="005622BD"/>
    <w:rsid w:val="00562348"/>
    <w:rsid w:val="005624DF"/>
    <w:rsid w:val="00562508"/>
    <w:rsid w:val="005626A5"/>
    <w:rsid w:val="00562743"/>
    <w:rsid w:val="005627C9"/>
    <w:rsid w:val="00562816"/>
    <w:rsid w:val="00562A47"/>
    <w:rsid w:val="00562A4F"/>
    <w:rsid w:val="00562AE1"/>
    <w:rsid w:val="00562C15"/>
    <w:rsid w:val="00562D17"/>
    <w:rsid w:val="00562D3D"/>
    <w:rsid w:val="00562D9D"/>
    <w:rsid w:val="00562F76"/>
    <w:rsid w:val="00562FCB"/>
    <w:rsid w:val="00563148"/>
    <w:rsid w:val="0056333B"/>
    <w:rsid w:val="0056334C"/>
    <w:rsid w:val="00563427"/>
    <w:rsid w:val="0056347C"/>
    <w:rsid w:val="0056359D"/>
    <w:rsid w:val="005635DC"/>
    <w:rsid w:val="00563658"/>
    <w:rsid w:val="00563682"/>
    <w:rsid w:val="005638AA"/>
    <w:rsid w:val="0056396D"/>
    <w:rsid w:val="005639B5"/>
    <w:rsid w:val="00563AB5"/>
    <w:rsid w:val="00563C25"/>
    <w:rsid w:val="00563C99"/>
    <w:rsid w:val="00563C9F"/>
    <w:rsid w:val="00563D12"/>
    <w:rsid w:val="00563DAF"/>
    <w:rsid w:val="00563DE2"/>
    <w:rsid w:val="00563E5E"/>
    <w:rsid w:val="00563EE9"/>
    <w:rsid w:val="00563EFA"/>
    <w:rsid w:val="00563F32"/>
    <w:rsid w:val="005640F5"/>
    <w:rsid w:val="0056411B"/>
    <w:rsid w:val="00564173"/>
    <w:rsid w:val="005641F7"/>
    <w:rsid w:val="005644DE"/>
    <w:rsid w:val="005645D4"/>
    <w:rsid w:val="00564783"/>
    <w:rsid w:val="005647A3"/>
    <w:rsid w:val="005647B1"/>
    <w:rsid w:val="0056490C"/>
    <w:rsid w:val="005649DC"/>
    <w:rsid w:val="00564A5E"/>
    <w:rsid w:val="00564B93"/>
    <w:rsid w:val="00564BCA"/>
    <w:rsid w:val="00564C05"/>
    <w:rsid w:val="00564C39"/>
    <w:rsid w:val="00564C56"/>
    <w:rsid w:val="00564C8E"/>
    <w:rsid w:val="00564DAC"/>
    <w:rsid w:val="00564E28"/>
    <w:rsid w:val="00564E42"/>
    <w:rsid w:val="00564EAD"/>
    <w:rsid w:val="00564ED4"/>
    <w:rsid w:val="00564F24"/>
    <w:rsid w:val="00564F2A"/>
    <w:rsid w:val="00564F94"/>
    <w:rsid w:val="00564FCE"/>
    <w:rsid w:val="00564FE0"/>
    <w:rsid w:val="00564FE2"/>
    <w:rsid w:val="00565016"/>
    <w:rsid w:val="0056503A"/>
    <w:rsid w:val="00565066"/>
    <w:rsid w:val="005650ED"/>
    <w:rsid w:val="00565169"/>
    <w:rsid w:val="005653A1"/>
    <w:rsid w:val="005653BA"/>
    <w:rsid w:val="00565478"/>
    <w:rsid w:val="005655B7"/>
    <w:rsid w:val="0056565E"/>
    <w:rsid w:val="005658FD"/>
    <w:rsid w:val="00565B71"/>
    <w:rsid w:val="00565B9E"/>
    <w:rsid w:val="00565C10"/>
    <w:rsid w:val="00565E62"/>
    <w:rsid w:val="00565F85"/>
    <w:rsid w:val="00565FDA"/>
    <w:rsid w:val="0056607A"/>
    <w:rsid w:val="005660B3"/>
    <w:rsid w:val="005660C0"/>
    <w:rsid w:val="005660DF"/>
    <w:rsid w:val="0056610E"/>
    <w:rsid w:val="00566284"/>
    <w:rsid w:val="005662BE"/>
    <w:rsid w:val="00566367"/>
    <w:rsid w:val="005663A6"/>
    <w:rsid w:val="005663F5"/>
    <w:rsid w:val="00566417"/>
    <w:rsid w:val="00566427"/>
    <w:rsid w:val="00566683"/>
    <w:rsid w:val="00566AB3"/>
    <w:rsid w:val="00566B6F"/>
    <w:rsid w:val="00566C38"/>
    <w:rsid w:val="00566E57"/>
    <w:rsid w:val="00566EBF"/>
    <w:rsid w:val="00566EED"/>
    <w:rsid w:val="00566F3E"/>
    <w:rsid w:val="00566F5A"/>
    <w:rsid w:val="00566F85"/>
    <w:rsid w:val="00567093"/>
    <w:rsid w:val="005670FC"/>
    <w:rsid w:val="00567105"/>
    <w:rsid w:val="00567152"/>
    <w:rsid w:val="005671E1"/>
    <w:rsid w:val="00567453"/>
    <w:rsid w:val="00567543"/>
    <w:rsid w:val="005675EF"/>
    <w:rsid w:val="005678E0"/>
    <w:rsid w:val="00567A94"/>
    <w:rsid w:val="00567B84"/>
    <w:rsid w:val="00567B93"/>
    <w:rsid w:val="00567B99"/>
    <w:rsid w:val="00567CA7"/>
    <w:rsid w:val="00567D0E"/>
    <w:rsid w:val="00567D19"/>
    <w:rsid w:val="00567DEF"/>
    <w:rsid w:val="00567E79"/>
    <w:rsid w:val="00567EB7"/>
    <w:rsid w:val="00567EC9"/>
    <w:rsid w:val="00567F42"/>
    <w:rsid w:val="00567FC2"/>
    <w:rsid w:val="0057008E"/>
    <w:rsid w:val="00570100"/>
    <w:rsid w:val="00570103"/>
    <w:rsid w:val="0057023B"/>
    <w:rsid w:val="00570469"/>
    <w:rsid w:val="005704E2"/>
    <w:rsid w:val="0057057B"/>
    <w:rsid w:val="005706BA"/>
    <w:rsid w:val="00570763"/>
    <w:rsid w:val="0057078A"/>
    <w:rsid w:val="005707BC"/>
    <w:rsid w:val="005707C7"/>
    <w:rsid w:val="00570AE3"/>
    <w:rsid w:val="00570B98"/>
    <w:rsid w:val="00570BCD"/>
    <w:rsid w:val="00570C31"/>
    <w:rsid w:val="00570D46"/>
    <w:rsid w:val="00570D92"/>
    <w:rsid w:val="00570DCC"/>
    <w:rsid w:val="00570E04"/>
    <w:rsid w:val="00570E7B"/>
    <w:rsid w:val="00571152"/>
    <w:rsid w:val="00571212"/>
    <w:rsid w:val="0057126C"/>
    <w:rsid w:val="005712F0"/>
    <w:rsid w:val="005713A0"/>
    <w:rsid w:val="00571479"/>
    <w:rsid w:val="005715B3"/>
    <w:rsid w:val="005715F5"/>
    <w:rsid w:val="00571673"/>
    <w:rsid w:val="005716FC"/>
    <w:rsid w:val="005717EF"/>
    <w:rsid w:val="00571822"/>
    <w:rsid w:val="00571A16"/>
    <w:rsid w:val="00571B2F"/>
    <w:rsid w:val="00571C5A"/>
    <w:rsid w:val="00571C7F"/>
    <w:rsid w:val="00571D37"/>
    <w:rsid w:val="00571ED8"/>
    <w:rsid w:val="00571EE9"/>
    <w:rsid w:val="005720C1"/>
    <w:rsid w:val="005720D3"/>
    <w:rsid w:val="0057217D"/>
    <w:rsid w:val="00572337"/>
    <w:rsid w:val="005723F0"/>
    <w:rsid w:val="00572474"/>
    <w:rsid w:val="00572566"/>
    <w:rsid w:val="0057256B"/>
    <w:rsid w:val="005726F1"/>
    <w:rsid w:val="005726F3"/>
    <w:rsid w:val="00572826"/>
    <w:rsid w:val="00572834"/>
    <w:rsid w:val="00572848"/>
    <w:rsid w:val="0057284A"/>
    <w:rsid w:val="0057286F"/>
    <w:rsid w:val="005728B7"/>
    <w:rsid w:val="005728C6"/>
    <w:rsid w:val="00572917"/>
    <w:rsid w:val="00572A70"/>
    <w:rsid w:val="00572DEC"/>
    <w:rsid w:val="00572E18"/>
    <w:rsid w:val="00572E4C"/>
    <w:rsid w:val="00572F30"/>
    <w:rsid w:val="00572F37"/>
    <w:rsid w:val="00573071"/>
    <w:rsid w:val="005730AE"/>
    <w:rsid w:val="005730DC"/>
    <w:rsid w:val="00573165"/>
    <w:rsid w:val="005731B5"/>
    <w:rsid w:val="00573207"/>
    <w:rsid w:val="00573227"/>
    <w:rsid w:val="00573243"/>
    <w:rsid w:val="00573413"/>
    <w:rsid w:val="00573561"/>
    <w:rsid w:val="00573602"/>
    <w:rsid w:val="0057371E"/>
    <w:rsid w:val="00573724"/>
    <w:rsid w:val="005738CA"/>
    <w:rsid w:val="00573E64"/>
    <w:rsid w:val="00573F2E"/>
    <w:rsid w:val="00573F38"/>
    <w:rsid w:val="00573FFA"/>
    <w:rsid w:val="0057403C"/>
    <w:rsid w:val="0057413A"/>
    <w:rsid w:val="0057419F"/>
    <w:rsid w:val="0057421B"/>
    <w:rsid w:val="00574273"/>
    <w:rsid w:val="0057429B"/>
    <w:rsid w:val="00574313"/>
    <w:rsid w:val="0057431E"/>
    <w:rsid w:val="0057445F"/>
    <w:rsid w:val="0057456B"/>
    <w:rsid w:val="00574603"/>
    <w:rsid w:val="005746D9"/>
    <w:rsid w:val="00574743"/>
    <w:rsid w:val="005748B5"/>
    <w:rsid w:val="00574A08"/>
    <w:rsid w:val="00574AE4"/>
    <w:rsid w:val="00574BA5"/>
    <w:rsid w:val="00574BB7"/>
    <w:rsid w:val="00574EF8"/>
    <w:rsid w:val="00574F54"/>
    <w:rsid w:val="00574F58"/>
    <w:rsid w:val="00574F78"/>
    <w:rsid w:val="00574FB7"/>
    <w:rsid w:val="0057508E"/>
    <w:rsid w:val="0057511C"/>
    <w:rsid w:val="005751A7"/>
    <w:rsid w:val="00575558"/>
    <w:rsid w:val="00575591"/>
    <w:rsid w:val="005755EF"/>
    <w:rsid w:val="00575657"/>
    <w:rsid w:val="00575754"/>
    <w:rsid w:val="00575844"/>
    <w:rsid w:val="00575A27"/>
    <w:rsid w:val="00575A8E"/>
    <w:rsid w:val="00575B84"/>
    <w:rsid w:val="00575BB8"/>
    <w:rsid w:val="00575CB3"/>
    <w:rsid w:val="00576067"/>
    <w:rsid w:val="0057608C"/>
    <w:rsid w:val="005760A0"/>
    <w:rsid w:val="0057623F"/>
    <w:rsid w:val="005763A3"/>
    <w:rsid w:val="00576436"/>
    <w:rsid w:val="00576497"/>
    <w:rsid w:val="005764FB"/>
    <w:rsid w:val="005765A4"/>
    <w:rsid w:val="00576B81"/>
    <w:rsid w:val="00576C86"/>
    <w:rsid w:val="00576CE8"/>
    <w:rsid w:val="00576D2F"/>
    <w:rsid w:val="00576E10"/>
    <w:rsid w:val="00576E9E"/>
    <w:rsid w:val="00576F1C"/>
    <w:rsid w:val="00576FBD"/>
    <w:rsid w:val="00577061"/>
    <w:rsid w:val="00577093"/>
    <w:rsid w:val="0057712F"/>
    <w:rsid w:val="0057724C"/>
    <w:rsid w:val="00577290"/>
    <w:rsid w:val="00577393"/>
    <w:rsid w:val="005773EC"/>
    <w:rsid w:val="00577411"/>
    <w:rsid w:val="00577573"/>
    <w:rsid w:val="005775A5"/>
    <w:rsid w:val="005775CB"/>
    <w:rsid w:val="005776C1"/>
    <w:rsid w:val="0057776F"/>
    <w:rsid w:val="005778A5"/>
    <w:rsid w:val="005778FB"/>
    <w:rsid w:val="00577998"/>
    <w:rsid w:val="005779CF"/>
    <w:rsid w:val="005779EC"/>
    <w:rsid w:val="005779F8"/>
    <w:rsid w:val="00577C9D"/>
    <w:rsid w:val="00577CE4"/>
    <w:rsid w:val="00577D17"/>
    <w:rsid w:val="00577D39"/>
    <w:rsid w:val="00577DF9"/>
    <w:rsid w:val="00577FC6"/>
    <w:rsid w:val="00577FE1"/>
    <w:rsid w:val="0058001E"/>
    <w:rsid w:val="00580072"/>
    <w:rsid w:val="00580277"/>
    <w:rsid w:val="005802AB"/>
    <w:rsid w:val="0058047E"/>
    <w:rsid w:val="00580574"/>
    <w:rsid w:val="005805B1"/>
    <w:rsid w:val="005806A0"/>
    <w:rsid w:val="00580806"/>
    <w:rsid w:val="0058080B"/>
    <w:rsid w:val="00580879"/>
    <w:rsid w:val="0058095A"/>
    <w:rsid w:val="00580A31"/>
    <w:rsid w:val="00580A3A"/>
    <w:rsid w:val="00580A6C"/>
    <w:rsid w:val="00580B63"/>
    <w:rsid w:val="00580B7A"/>
    <w:rsid w:val="00580CB7"/>
    <w:rsid w:val="00580CF0"/>
    <w:rsid w:val="00580DF2"/>
    <w:rsid w:val="00580DFD"/>
    <w:rsid w:val="00580E25"/>
    <w:rsid w:val="00580F24"/>
    <w:rsid w:val="005810AE"/>
    <w:rsid w:val="00581169"/>
    <w:rsid w:val="005811A5"/>
    <w:rsid w:val="005811CA"/>
    <w:rsid w:val="005812E2"/>
    <w:rsid w:val="0058132A"/>
    <w:rsid w:val="005813F8"/>
    <w:rsid w:val="00581404"/>
    <w:rsid w:val="005814C6"/>
    <w:rsid w:val="0058155D"/>
    <w:rsid w:val="005815B2"/>
    <w:rsid w:val="00581630"/>
    <w:rsid w:val="00581696"/>
    <w:rsid w:val="005816B2"/>
    <w:rsid w:val="005816CE"/>
    <w:rsid w:val="0058183C"/>
    <w:rsid w:val="0058184A"/>
    <w:rsid w:val="0058187C"/>
    <w:rsid w:val="00581A80"/>
    <w:rsid w:val="00581ACD"/>
    <w:rsid w:val="00581C63"/>
    <w:rsid w:val="00581D7B"/>
    <w:rsid w:val="00581DA2"/>
    <w:rsid w:val="00581F5F"/>
    <w:rsid w:val="00581FBA"/>
    <w:rsid w:val="00581FC8"/>
    <w:rsid w:val="0058208C"/>
    <w:rsid w:val="005820EE"/>
    <w:rsid w:val="0058224D"/>
    <w:rsid w:val="005823B4"/>
    <w:rsid w:val="00582453"/>
    <w:rsid w:val="005824F8"/>
    <w:rsid w:val="005825BC"/>
    <w:rsid w:val="005825CD"/>
    <w:rsid w:val="005825E6"/>
    <w:rsid w:val="005825F6"/>
    <w:rsid w:val="00582684"/>
    <w:rsid w:val="00582784"/>
    <w:rsid w:val="0058284B"/>
    <w:rsid w:val="0058285F"/>
    <w:rsid w:val="00582879"/>
    <w:rsid w:val="005829C8"/>
    <w:rsid w:val="00582DCA"/>
    <w:rsid w:val="00582E47"/>
    <w:rsid w:val="00582FD4"/>
    <w:rsid w:val="00582FEE"/>
    <w:rsid w:val="00583056"/>
    <w:rsid w:val="005831FD"/>
    <w:rsid w:val="00583469"/>
    <w:rsid w:val="005834E1"/>
    <w:rsid w:val="0058362E"/>
    <w:rsid w:val="00583746"/>
    <w:rsid w:val="005837FB"/>
    <w:rsid w:val="00583857"/>
    <w:rsid w:val="0058388B"/>
    <w:rsid w:val="00583BF2"/>
    <w:rsid w:val="00583BFE"/>
    <w:rsid w:val="00583C84"/>
    <w:rsid w:val="00583CFE"/>
    <w:rsid w:val="00583D03"/>
    <w:rsid w:val="00583EC7"/>
    <w:rsid w:val="00583EE7"/>
    <w:rsid w:val="00583F18"/>
    <w:rsid w:val="00583F69"/>
    <w:rsid w:val="00583F76"/>
    <w:rsid w:val="00584047"/>
    <w:rsid w:val="00584070"/>
    <w:rsid w:val="005840DA"/>
    <w:rsid w:val="005842EE"/>
    <w:rsid w:val="0058431F"/>
    <w:rsid w:val="0058469F"/>
    <w:rsid w:val="0058473D"/>
    <w:rsid w:val="00584860"/>
    <w:rsid w:val="005848DE"/>
    <w:rsid w:val="00584A48"/>
    <w:rsid w:val="00584C39"/>
    <w:rsid w:val="00584DFB"/>
    <w:rsid w:val="00584E29"/>
    <w:rsid w:val="00584E33"/>
    <w:rsid w:val="00584EDF"/>
    <w:rsid w:val="00584EFF"/>
    <w:rsid w:val="00584F48"/>
    <w:rsid w:val="0058503B"/>
    <w:rsid w:val="00585064"/>
    <w:rsid w:val="005850C6"/>
    <w:rsid w:val="00585151"/>
    <w:rsid w:val="0058518A"/>
    <w:rsid w:val="00585235"/>
    <w:rsid w:val="00585361"/>
    <w:rsid w:val="005854B7"/>
    <w:rsid w:val="005855DE"/>
    <w:rsid w:val="00585802"/>
    <w:rsid w:val="00585803"/>
    <w:rsid w:val="005858A0"/>
    <w:rsid w:val="005859AB"/>
    <w:rsid w:val="00585B0C"/>
    <w:rsid w:val="00585CD8"/>
    <w:rsid w:val="00585D8F"/>
    <w:rsid w:val="00585EC9"/>
    <w:rsid w:val="00585FBA"/>
    <w:rsid w:val="0058602E"/>
    <w:rsid w:val="005860C1"/>
    <w:rsid w:val="00586116"/>
    <w:rsid w:val="00586451"/>
    <w:rsid w:val="005867A0"/>
    <w:rsid w:val="005868E3"/>
    <w:rsid w:val="005869DC"/>
    <w:rsid w:val="00586ACA"/>
    <w:rsid w:val="00586ACF"/>
    <w:rsid w:val="00586BDF"/>
    <w:rsid w:val="00586BF8"/>
    <w:rsid w:val="00586F6A"/>
    <w:rsid w:val="00586FBB"/>
    <w:rsid w:val="00586FC8"/>
    <w:rsid w:val="0058700C"/>
    <w:rsid w:val="0058706A"/>
    <w:rsid w:val="005870A3"/>
    <w:rsid w:val="005870D1"/>
    <w:rsid w:val="00587136"/>
    <w:rsid w:val="0058713B"/>
    <w:rsid w:val="005872C8"/>
    <w:rsid w:val="005872F8"/>
    <w:rsid w:val="005874D4"/>
    <w:rsid w:val="00587539"/>
    <w:rsid w:val="0058758E"/>
    <w:rsid w:val="0058782C"/>
    <w:rsid w:val="00587833"/>
    <w:rsid w:val="00587867"/>
    <w:rsid w:val="005878F0"/>
    <w:rsid w:val="00587999"/>
    <w:rsid w:val="005879AD"/>
    <w:rsid w:val="005879D5"/>
    <w:rsid w:val="00587A69"/>
    <w:rsid w:val="00587B81"/>
    <w:rsid w:val="00587F52"/>
    <w:rsid w:val="00587F87"/>
    <w:rsid w:val="00590005"/>
    <w:rsid w:val="00590062"/>
    <w:rsid w:val="00590161"/>
    <w:rsid w:val="00590235"/>
    <w:rsid w:val="00590320"/>
    <w:rsid w:val="0059045D"/>
    <w:rsid w:val="00590793"/>
    <w:rsid w:val="0059080A"/>
    <w:rsid w:val="00590955"/>
    <w:rsid w:val="0059096D"/>
    <w:rsid w:val="00590980"/>
    <w:rsid w:val="005909A4"/>
    <w:rsid w:val="00590A08"/>
    <w:rsid w:val="00590CC6"/>
    <w:rsid w:val="00590D5D"/>
    <w:rsid w:val="00590E74"/>
    <w:rsid w:val="00590F1F"/>
    <w:rsid w:val="00590F4D"/>
    <w:rsid w:val="00591058"/>
    <w:rsid w:val="005910A6"/>
    <w:rsid w:val="005910AC"/>
    <w:rsid w:val="005910BC"/>
    <w:rsid w:val="005910C1"/>
    <w:rsid w:val="005911F8"/>
    <w:rsid w:val="00591255"/>
    <w:rsid w:val="005912E9"/>
    <w:rsid w:val="00591324"/>
    <w:rsid w:val="00591409"/>
    <w:rsid w:val="00591479"/>
    <w:rsid w:val="0059147F"/>
    <w:rsid w:val="0059150D"/>
    <w:rsid w:val="00591530"/>
    <w:rsid w:val="00591541"/>
    <w:rsid w:val="005916E4"/>
    <w:rsid w:val="00591A6C"/>
    <w:rsid w:val="00591BBF"/>
    <w:rsid w:val="00591D49"/>
    <w:rsid w:val="00591D6B"/>
    <w:rsid w:val="00591D91"/>
    <w:rsid w:val="00591DA3"/>
    <w:rsid w:val="00591E20"/>
    <w:rsid w:val="00591E71"/>
    <w:rsid w:val="00591E84"/>
    <w:rsid w:val="005922CE"/>
    <w:rsid w:val="0059237D"/>
    <w:rsid w:val="005923A0"/>
    <w:rsid w:val="00592658"/>
    <w:rsid w:val="00592813"/>
    <w:rsid w:val="005929B7"/>
    <w:rsid w:val="00592ABD"/>
    <w:rsid w:val="00592ACA"/>
    <w:rsid w:val="00592B00"/>
    <w:rsid w:val="00592B21"/>
    <w:rsid w:val="00592B63"/>
    <w:rsid w:val="00592B67"/>
    <w:rsid w:val="00592C72"/>
    <w:rsid w:val="00592D79"/>
    <w:rsid w:val="00592FE0"/>
    <w:rsid w:val="005930BF"/>
    <w:rsid w:val="0059316C"/>
    <w:rsid w:val="00593201"/>
    <w:rsid w:val="00593228"/>
    <w:rsid w:val="00593282"/>
    <w:rsid w:val="005932FC"/>
    <w:rsid w:val="0059338A"/>
    <w:rsid w:val="0059341E"/>
    <w:rsid w:val="00593442"/>
    <w:rsid w:val="0059345F"/>
    <w:rsid w:val="005934B3"/>
    <w:rsid w:val="005934BE"/>
    <w:rsid w:val="0059370C"/>
    <w:rsid w:val="00593782"/>
    <w:rsid w:val="0059379D"/>
    <w:rsid w:val="005937AB"/>
    <w:rsid w:val="005937DA"/>
    <w:rsid w:val="0059380C"/>
    <w:rsid w:val="005938BA"/>
    <w:rsid w:val="005939CF"/>
    <w:rsid w:val="00593B0D"/>
    <w:rsid w:val="00593BC3"/>
    <w:rsid w:val="00593E1E"/>
    <w:rsid w:val="00593E7A"/>
    <w:rsid w:val="00593EBD"/>
    <w:rsid w:val="00593F89"/>
    <w:rsid w:val="00593FED"/>
    <w:rsid w:val="0059400C"/>
    <w:rsid w:val="0059411B"/>
    <w:rsid w:val="005941E6"/>
    <w:rsid w:val="00594465"/>
    <w:rsid w:val="00594500"/>
    <w:rsid w:val="00594549"/>
    <w:rsid w:val="005946B8"/>
    <w:rsid w:val="00594749"/>
    <w:rsid w:val="005949E1"/>
    <w:rsid w:val="00594A35"/>
    <w:rsid w:val="00594B91"/>
    <w:rsid w:val="00594CBA"/>
    <w:rsid w:val="00594CE5"/>
    <w:rsid w:val="00594E0B"/>
    <w:rsid w:val="00594E50"/>
    <w:rsid w:val="00594F53"/>
    <w:rsid w:val="00594F6D"/>
    <w:rsid w:val="00594F75"/>
    <w:rsid w:val="00594F80"/>
    <w:rsid w:val="00594FD7"/>
    <w:rsid w:val="00595028"/>
    <w:rsid w:val="0059505A"/>
    <w:rsid w:val="00595075"/>
    <w:rsid w:val="005951B0"/>
    <w:rsid w:val="0059523F"/>
    <w:rsid w:val="0059529C"/>
    <w:rsid w:val="00595352"/>
    <w:rsid w:val="00595408"/>
    <w:rsid w:val="00595601"/>
    <w:rsid w:val="00595696"/>
    <w:rsid w:val="0059598A"/>
    <w:rsid w:val="005959FF"/>
    <w:rsid w:val="00595A26"/>
    <w:rsid w:val="00595A35"/>
    <w:rsid w:val="00595AED"/>
    <w:rsid w:val="00595B4A"/>
    <w:rsid w:val="00595DF1"/>
    <w:rsid w:val="00595DF6"/>
    <w:rsid w:val="00595DF9"/>
    <w:rsid w:val="00595E84"/>
    <w:rsid w:val="00595FEB"/>
    <w:rsid w:val="00595FF7"/>
    <w:rsid w:val="00596073"/>
    <w:rsid w:val="0059617F"/>
    <w:rsid w:val="005961A5"/>
    <w:rsid w:val="005961B3"/>
    <w:rsid w:val="0059623A"/>
    <w:rsid w:val="005962FF"/>
    <w:rsid w:val="0059636F"/>
    <w:rsid w:val="005963F9"/>
    <w:rsid w:val="00596629"/>
    <w:rsid w:val="0059668F"/>
    <w:rsid w:val="005966ED"/>
    <w:rsid w:val="005967E9"/>
    <w:rsid w:val="005967EA"/>
    <w:rsid w:val="00596801"/>
    <w:rsid w:val="0059693F"/>
    <w:rsid w:val="00596955"/>
    <w:rsid w:val="0059698C"/>
    <w:rsid w:val="00596AB5"/>
    <w:rsid w:val="00596CA3"/>
    <w:rsid w:val="00596CFC"/>
    <w:rsid w:val="00596D24"/>
    <w:rsid w:val="00596E3B"/>
    <w:rsid w:val="00596F1F"/>
    <w:rsid w:val="00596F5E"/>
    <w:rsid w:val="00597007"/>
    <w:rsid w:val="0059712D"/>
    <w:rsid w:val="00597278"/>
    <w:rsid w:val="0059731F"/>
    <w:rsid w:val="00597484"/>
    <w:rsid w:val="00597625"/>
    <w:rsid w:val="005976A1"/>
    <w:rsid w:val="005976E1"/>
    <w:rsid w:val="00597911"/>
    <w:rsid w:val="00597957"/>
    <w:rsid w:val="005979A8"/>
    <w:rsid w:val="00597BFA"/>
    <w:rsid w:val="00597C59"/>
    <w:rsid w:val="00597DAD"/>
    <w:rsid w:val="00597DF6"/>
    <w:rsid w:val="00597E0D"/>
    <w:rsid w:val="00597E1A"/>
    <w:rsid w:val="00597E37"/>
    <w:rsid w:val="00597FA9"/>
    <w:rsid w:val="005A01AE"/>
    <w:rsid w:val="005A036B"/>
    <w:rsid w:val="005A03AE"/>
    <w:rsid w:val="005A0447"/>
    <w:rsid w:val="005A05ED"/>
    <w:rsid w:val="005A082C"/>
    <w:rsid w:val="005A091B"/>
    <w:rsid w:val="005A0A46"/>
    <w:rsid w:val="005A0AD2"/>
    <w:rsid w:val="005A0B2D"/>
    <w:rsid w:val="005A0BA6"/>
    <w:rsid w:val="005A0C59"/>
    <w:rsid w:val="005A0C5F"/>
    <w:rsid w:val="005A0D56"/>
    <w:rsid w:val="005A0DB0"/>
    <w:rsid w:val="005A0DC0"/>
    <w:rsid w:val="005A0DC2"/>
    <w:rsid w:val="005A0DF6"/>
    <w:rsid w:val="005A0ED6"/>
    <w:rsid w:val="005A0F61"/>
    <w:rsid w:val="005A0F63"/>
    <w:rsid w:val="005A0FA8"/>
    <w:rsid w:val="005A1062"/>
    <w:rsid w:val="005A1097"/>
    <w:rsid w:val="005A10A4"/>
    <w:rsid w:val="005A131A"/>
    <w:rsid w:val="005A1354"/>
    <w:rsid w:val="005A1475"/>
    <w:rsid w:val="005A1570"/>
    <w:rsid w:val="005A157B"/>
    <w:rsid w:val="005A1583"/>
    <w:rsid w:val="005A15E3"/>
    <w:rsid w:val="005A1695"/>
    <w:rsid w:val="005A182A"/>
    <w:rsid w:val="005A18D5"/>
    <w:rsid w:val="005A1901"/>
    <w:rsid w:val="005A1961"/>
    <w:rsid w:val="005A1A66"/>
    <w:rsid w:val="005A1BBB"/>
    <w:rsid w:val="005A1BF2"/>
    <w:rsid w:val="005A1C26"/>
    <w:rsid w:val="005A1CD9"/>
    <w:rsid w:val="005A1DD4"/>
    <w:rsid w:val="005A1DF4"/>
    <w:rsid w:val="005A1EB4"/>
    <w:rsid w:val="005A1F14"/>
    <w:rsid w:val="005A1FB6"/>
    <w:rsid w:val="005A2017"/>
    <w:rsid w:val="005A209B"/>
    <w:rsid w:val="005A23D5"/>
    <w:rsid w:val="005A241B"/>
    <w:rsid w:val="005A247B"/>
    <w:rsid w:val="005A2586"/>
    <w:rsid w:val="005A2818"/>
    <w:rsid w:val="005A2830"/>
    <w:rsid w:val="005A283B"/>
    <w:rsid w:val="005A2842"/>
    <w:rsid w:val="005A28C3"/>
    <w:rsid w:val="005A292E"/>
    <w:rsid w:val="005A2A7C"/>
    <w:rsid w:val="005A2CDE"/>
    <w:rsid w:val="005A2D61"/>
    <w:rsid w:val="005A2F43"/>
    <w:rsid w:val="005A2FF4"/>
    <w:rsid w:val="005A3058"/>
    <w:rsid w:val="005A30B0"/>
    <w:rsid w:val="005A32AD"/>
    <w:rsid w:val="005A33C1"/>
    <w:rsid w:val="005A343D"/>
    <w:rsid w:val="005A35D6"/>
    <w:rsid w:val="005A36C0"/>
    <w:rsid w:val="005A377D"/>
    <w:rsid w:val="005A37EF"/>
    <w:rsid w:val="005A3881"/>
    <w:rsid w:val="005A394A"/>
    <w:rsid w:val="005A3A7D"/>
    <w:rsid w:val="005A3AD1"/>
    <w:rsid w:val="005A3B0B"/>
    <w:rsid w:val="005A3B37"/>
    <w:rsid w:val="005A3B62"/>
    <w:rsid w:val="005A3D09"/>
    <w:rsid w:val="005A3D64"/>
    <w:rsid w:val="005A3DBF"/>
    <w:rsid w:val="005A3E68"/>
    <w:rsid w:val="005A3F6E"/>
    <w:rsid w:val="005A41B6"/>
    <w:rsid w:val="005A41F0"/>
    <w:rsid w:val="005A42A8"/>
    <w:rsid w:val="005A42F9"/>
    <w:rsid w:val="005A4368"/>
    <w:rsid w:val="005A4477"/>
    <w:rsid w:val="005A4480"/>
    <w:rsid w:val="005A4538"/>
    <w:rsid w:val="005A457E"/>
    <w:rsid w:val="005A4586"/>
    <w:rsid w:val="005A479E"/>
    <w:rsid w:val="005A48EB"/>
    <w:rsid w:val="005A4C4B"/>
    <w:rsid w:val="005A4C86"/>
    <w:rsid w:val="005A4DA9"/>
    <w:rsid w:val="005A4DEA"/>
    <w:rsid w:val="005A4E5F"/>
    <w:rsid w:val="005A506A"/>
    <w:rsid w:val="005A5085"/>
    <w:rsid w:val="005A51A4"/>
    <w:rsid w:val="005A51F7"/>
    <w:rsid w:val="005A523A"/>
    <w:rsid w:val="005A52C8"/>
    <w:rsid w:val="005A5314"/>
    <w:rsid w:val="005A533D"/>
    <w:rsid w:val="005A5358"/>
    <w:rsid w:val="005A53DB"/>
    <w:rsid w:val="005A5428"/>
    <w:rsid w:val="005A54B7"/>
    <w:rsid w:val="005A54E6"/>
    <w:rsid w:val="005A5687"/>
    <w:rsid w:val="005A588B"/>
    <w:rsid w:val="005A5A64"/>
    <w:rsid w:val="005A5B7D"/>
    <w:rsid w:val="005A5BC0"/>
    <w:rsid w:val="005A5CD1"/>
    <w:rsid w:val="005A5FEE"/>
    <w:rsid w:val="005A60CF"/>
    <w:rsid w:val="005A60E8"/>
    <w:rsid w:val="005A616C"/>
    <w:rsid w:val="005A61BB"/>
    <w:rsid w:val="005A6234"/>
    <w:rsid w:val="005A6361"/>
    <w:rsid w:val="005A646D"/>
    <w:rsid w:val="005A6531"/>
    <w:rsid w:val="005A655F"/>
    <w:rsid w:val="005A662A"/>
    <w:rsid w:val="005A6732"/>
    <w:rsid w:val="005A67F0"/>
    <w:rsid w:val="005A6865"/>
    <w:rsid w:val="005A6A34"/>
    <w:rsid w:val="005A6B8C"/>
    <w:rsid w:val="005A6B9B"/>
    <w:rsid w:val="005A6BC3"/>
    <w:rsid w:val="005A6BF7"/>
    <w:rsid w:val="005A6C6B"/>
    <w:rsid w:val="005A6C93"/>
    <w:rsid w:val="005A6CFB"/>
    <w:rsid w:val="005A6D03"/>
    <w:rsid w:val="005A6F63"/>
    <w:rsid w:val="005A6F6B"/>
    <w:rsid w:val="005A7007"/>
    <w:rsid w:val="005A707E"/>
    <w:rsid w:val="005A70E2"/>
    <w:rsid w:val="005A71B1"/>
    <w:rsid w:val="005A72D1"/>
    <w:rsid w:val="005A740D"/>
    <w:rsid w:val="005A742F"/>
    <w:rsid w:val="005A74A7"/>
    <w:rsid w:val="005A7511"/>
    <w:rsid w:val="005A7541"/>
    <w:rsid w:val="005A755F"/>
    <w:rsid w:val="005A7596"/>
    <w:rsid w:val="005A761E"/>
    <w:rsid w:val="005A7757"/>
    <w:rsid w:val="005A7759"/>
    <w:rsid w:val="005A7846"/>
    <w:rsid w:val="005A792E"/>
    <w:rsid w:val="005A79CA"/>
    <w:rsid w:val="005A79CC"/>
    <w:rsid w:val="005A7AE0"/>
    <w:rsid w:val="005A7AE1"/>
    <w:rsid w:val="005A7C48"/>
    <w:rsid w:val="005A7D73"/>
    <w:rsid w:val="005A7D8C"/>
    <w:rsid w:val="005A7DDF"/>
    <w:rsid w:val="005A7E12"/>
    <w:rsid w:val="005A7F6C"/>
    <w:rsid w:val="005A8B65"/>
    <w:rsid w:val="005B00B9"/>
    <w:rsid w:val="005B02AC"/>
    <w:rsid w:val="005B0304"/>
    <w:rsid w:val="005B0332"/>
    <w:rsid w:val="005B0339"/>
    <w:rsid w:val="005B06D8"/>
    <w:rsid w:val="005B0711"/>
    <w:rsid w:val="005B08C1"/>
    <w:rsid w:val="005B09C2"/>
    <w:rsid w:val="005B0B20"/>
    <w:rsid w:val="005B0E5B"/>
    <w:rsid w:val="005B0F17"/>
    <w:rsid w:val="005B0F2B"/>
    <w:rsid w:val="005B0F34"/>
    <w:rsid w:val="005B130E"/>
    <w:rsid w:val="005B141F"/>
    <w:rsid w:val="005B148F"/>
    <w:rsid w:val="005B14E0"/>
    <w:rsid w:val="005B1559"/>
    <w:rsid w:val="005B159E"/>
    <w:rsid w:val="005B1690"/>
    <w:rsid w:val="005B176F"/>
    <w:rsid w:val="005B178D"/>
    <w:rsid w:val="005B1842"/>
    <w:rsid w:val="005B194B"/>
    <w:rsid w:val="005B19D4"/>
    <w:rsid w:val="005B1A76"/>
    <w:rsid w:val="005B1ADA"/>
    <w:rsid w:val="005B1BA2"/>
    <w:rsid w:val="005B1C5A"/>
    <w:rsid w:val="005B1C62"/>
    <w:rsid w:val="005B1D5A"/>
    <w:rsid w:val="005B1E0E"/>
    <w:rsid w:val="005B1E0F"/>
    <w:rsid w:val="005B1EC6"/>
    <w:rsid w:val="005B1F27"/>
    <w:rsid w:val="005B1FEF"/>
    <w:rsid w:val="005B2076"/>
    <w:rsid w:val="005B2093"/>
    <w:rsid w:val="005B21D8"/>
    <w:rsid w:val="005B22D6"/>
    <w:rsid w:val="005B22E5"/>
    <w:rsid w:val="005B2310"/>
    <w:rsid w:val="005B2476"/>
    <w:rsid w:val="005B24CD"/>
    <w:rsid w:val="005B24DD"/>
    <w:rsid w:val="005B2649"/>
    <w:rsid w:val="005B273B"/>
    <w:rsid w:val="005B29A8"/>
    <w:rsid w:val="005B29ED"/>
    <w:rsid w:val="005B2A4C"/>
    <w:rsid w:val="005B2B80"/>
    <w:rsid w:val="005B2C06"/>
    <w:rsid w:val="005B2C1F"/>
    <w:rsid w:val="005B2D02"/>
    <w:rsid w:val="005B2D0C"/>
    <w:rsid w:val="005B2DAF"/>
    <w:rsid w:val="005B2DFD"/>
    <w:rsid w:val="005B30AD"/>
    <w:rsid w:val="005B30F6"/>
    <w:rsid w:val="005B31B8"/>
    <w:rsid w:val="005B3325"/>
    <w:rsid w:val="005B334F"/>
    <w:rsid w:val="005B33A7"/>
    <w:rsid w:val="005B34EC"/>
    <w:rsid w:val="005B375E"/>
    <w:rsid w:val="005B377B"/>
    <w:rsid w:val="005B38B4"/>
    <w:rsid w:val="005B38EB"/>
    <w:rsid w:val="005B394B"/>
    <w:rsid w:val="005B3960"/>
    <w:rsid w:val="005B3962"/>
    <w:rsid w:val="005B39C6"/>
    <w:rsid w:val="005B3AD3"/>
    <w:rsid w:val="005B3B5A"/>
    <w:rsid w:val="005B3B66"/>
    <w:rsid w:val="005B3B69"/>
    <w:rsid w:val="005B3CFE"/>
    <w:rsid w:val="005B3D76"/>
    <w:rsid w:val="005B3E84"/>
    <w:rsid w:val="005B3F34"/>
    <w:rsid w:val="005B3FAA"/>
    <w:rsid w:val="005B3FDA"/>
    <w:rsid w:val="005B400D"/>
    <w:rsid w:val="005B40A5"/>
    <w:rsid w:val="005B40E0"/>
    <w:rsid w:val="005B41B0"/>
    <w:rsid w:val="005B4350"/>
    <w:rsid w:val="005B4428"/>
    <w:rsid w:val="005B4484"/>
    <w:rsid w:val="005B44AD"/>
    <w:rsid w:val="005B4507"/>
    <w:rsid w:val="005B453C"/>
    <w:rsid w:val="005B4649"/>
    <w:rsid w:val="005B4731"/>
    <w:rsid w:val="005B48AE"/>
    <w:rsid w:val="005B48D2"/>
    <w:rsid w:val="005B4A19"/>
    <w:rsid w:val="005B4A2A"/>
    <w:rsid w:val="005B4C5D"/>
    <w:rsid w:val="005B4E2B"/>
    <w:rsid w:val="005B4EA2"/>
    <w:rsid w:val="005B502F"/>
    <w:rsid w:val="005B5039"/>
    <w:rsid w:val="005B5065"/>
    <w:rsid w:val="005B5323"/>
    <w:rsid w:val="005B5390"/>
    <w:rsid w:val="005B54CC"/>
    <w:rsid w:val="005B55C3"/>
    <w:rsid w:val="005B5646"/>
    <w:rsid w:val="005B566F"/>
    <w:rsid w:val="005B57AF"/>
    <w:rsid w:val="005B586E"/>
    <w:rsid w:val="005B5887"/>
    <w:rsid w:val="005B5ABD"/>
    <w:rsid w:val="005B5AFD"/>
    <w:rsid w:val="005B5B2B"/>
    <w:rsid w:val="005B5B98"/>
    <w:rsid w:val="005B5D38"/>
    <w:rsid w:val="005B5DFF"/>
    <w:rsid w:val="005B5E67"/>
    <w:rsid w:val="005B5EC1"/>
    <w:rsid w:val="005B607A"/>
    <w:rsid w:val="005B60AC"/>
    <w:rsid w:val="005B61E3"/>
    <w:rsid w:val="005B61FB"/>
    <w:rsid w:val="005B631A"/>
    <w:rsid w:val="005B6320"/>
    <w:rsid w:val="005B637D"/>
    <w:rsid w:val="005B63C2"/>
    <w:rsid w:val="005B6492"/>
    <w:rsid w:val="005B6544"/>
    <w:rsid w:val="005B6683"/>
    <w:rsid w:val="005B669A"/>
    <w:rsid w:val="005B66F8"/>
    <w:rsid w:val="005B684A"/>
    <w:rsid w:val="005B6A3D"/>
    <w:rsid w:val="005B6AC4"/>
    <w:rsid w:val="005B6BA4"/>
    <w:rsid w:val="005B6BFA"/>
    <w:rsid w:val="005B6C18"/>
    <w:rsid w:val="005B6D0B"/>
    <w:rsid w:val="005B7115"/>
    <w:rsid w:val="005B7120"/>
    <w:rsid w:val="005B7143"/>
    <w:rsid w:val="005B71E5"/>
    <w:rsid w:val="005B726F"/>
    <w:rsid w:val="005B72F8"/>
    <w:rsid w:val="005B73A2"/>
    <w:rsid w:val="005B73C9"/>
    <w:rsid w:val="005B73D9"/>
    <w:rsid w:val="005B747C"/>
    <w:rsid w:val="005B74A0"/>
    <w:rsid w:val="005B750B"/>
    <w:rsid w:val="005B759D"/>
    <w:rsid w:val="005B765C"/>
    <w:rsid w:val="005B7825"/>
    <w:rsid w:val="005B78FC"/>
    <w:rsid w:val="005B795E"/>
    <w:rsid w:val="005B7A3F"/>
    <w:rsid w:val="005B7AD4"/>
    <w:rsid w:val="005B7C59"/>
    <w:rsid w:val="005B7E2E"/>
    <w:rsid w:val="005B7EA2"/>
    <w:rsid w:val="005B7F8E"/>
    <w:rsid w:val="005B7FEC"/>
    <w:rsid w:val="005C014D"/>
    <w:rsid w:val="005C01B6"/>
    <w:rsid w:val="005C0238"/>
    <w:rsid w:val="005C026B"/>
    <w:rsid w:val="005C0307"/>
    <w:rsid w:val="005C0328"/>
    <w:rsid w:val="005C0402"/>
    <w:rsid w:val="005C04F9"/>
    <w:rsid w:val="005C0570"/>
    <w:rsid w:val="005C0577"/>
    <w:rsid w:val="005C0578"/>
    <w:rsid w:val="005C0589"/>
    <w:rsid w:val="005C05AB"/>
    <w:rsid w:val="005C05BF"/>
    <w:rsid w:val="005C05D5"/>
    <w:rsid w:val="005C060C"/>
    <w:rsid w:val="005C07E8"/>
    <w:rsid w:val="005C0872"/>
    <w:rsid w:val="005C089B"/>
    <w:rsid w:val="005C08E9"/>
    <w:rsid w:val="005C0A29"/>
    <w:rsid w:val="005C0A59"/>
    <w:rsid w:val="005C0BFA"/>
    <w:rsid w:val="005C0DA1"/>
    <w:rsid w:val="005C0E5A"/>
    <w:rsid w:val="005C0EA9"/>
    <w:rsid w:val="005C1008"/>
    <w:rsid w:val="005C106F"/>
    <w:rsid w:val="005C1100"/>
    <w:rsid w:val="005C1135"/>
    <w:rsid w:val="005C1573"/>
    <w:rsid w:val="005C1753"/>
    <w:rsid w:val="005C176A"/>
    <w:rsid w:val="005C17D2"/>
    <w:rsid w:val="005C17E0"/>
    <w:rsid w:val="005C181A"/>
    <w:rsid w:val="005C1862"/>
    <w:rsid w:val="005C1864"/>
    <w:rsid w:val="005C18D0"/>
    <w:rsid w:val="005C199C"/>
    <w:rsid w:val="005C1B3E"/>
    <w:rsid w:val="005C1C11"/>
    <w:rsid w:val="005C1D22"/>
    <w:rsid w:val="005C1E3F"/>
    <w:rsid w:val="005C1F1D"/>
    <w:rsid w:val="005C205C"/>
    <w:rsid w:val="005C20F4"/>
    <w:rsid w:val="005C2197"/>
    <w:rsid w:val="005C2219"/>
    <w:rsid w:val="005C2236"/>
    <w:rsid w:val="005C2269"/>
    <w:rsid w:val="005C239F"/>
    <w:rsid w:val="005C23ED"/>
    <w:rsid w:val="005C243E"/>
    <w:rsid w:val="005C2471"/>
    <w:rsid w:val="005C24B0"/>
    <w:rsid w:val="005C258A"/>
    <w:rsid w:val="005C27FD"/>
    <w:rsid w:val="005C29F3"/>
    <w:rsid w:val="005C2ACC"/>
    <w:rsid w:val="005C2C25"/>
    <w:rsid w:val="005C2C43"/>
    <w:rsid w:val="005C2F00"/>
    <w:rsid w:val="005C30C5"/>
    <w:rsid w:val="005C3252"/>
    <w:rsid w:val="005C32B9"/>
    <w:rsid w:val="005C333A"/>
    <w:rsid w:val="005C3350"/>
    <w:rsid w:val="005C336C"/>
    <w:rsid w:val="005C3372"/>
    <w:rsid w:val="005C3407"/>
    <w:rsid w:val="005C345E"/>
    <w:rsid w:val="005C34C4"/>
    <w:rsid w:val="005C3546"/>
    <w:rsid w:val="005C3559"/>
    <w:rsid w:val="005C36C6"/>
    <w:rsid w:val="005C373E"/>
    <w:rsid w:val="005C384E"/>
    <w:rsid w:val="005C38A0"/>
    <w:rsid w:val="005C3908"/>
    <w:rsid w:val="005C395A"/>
    <w:rsid w:val="005C3A20"/>
    <w:rsid w:val="005C3A33"/>
    <w:rsid w:val="005C3BAA"/>
    <w:rsid w:val="005C3BCD"/>
    <w:rsid w:val="005C3C06"/>
    <w:rsid w:val="005C3F23"/>
    <w:rsid w:val="005C4287"/>
    <w:rsid w:val="005C43DB"/>
    <w:rsid w:val="005C4588"/>
    <w:rsid w:val="005C4674"/>
    <w:rsid w:val="005C46B3"/>
    <w:rsid w:val="005C4726"/>
    <w:rsid w:val="005C478A"/>
    <w:rsid w:val="005C47EC"/>
    <w:rsid w:val="005C48C3"/>
    <w:rsid w:val="005C49A8"/>
    <w:rsid w:val="005C4AD6"/>
    <w:rsid w:val="005C4B05"/>
    <w:rsid w:val="005C4B23"/>
    <w:rsid w:val="005C4BBA"/>
    <w:rsid w:val="005C4C1C"/>
    <w:rsid w:val="005C4C40"/>
    <w:rsid w:val="005C4CA1"/>
    <w:rsid w:val="005C4D70"/>
    <w:rsid w:val="005C4E1A"/>
    <w:rsid w:val="005C4E2D"/>
    <w:rsid w:val="005C4EB1"/>
    <w:rsid w:val="005C4F79"/>
    <w:rsid w:val="005C5228"/>
    <w:rsid w:val="005C5265"/>
    <w:rsid w:val="005C52F0"/>
    <w:rsid w:val="005C5352"/>
    <w:rsid w:val="005C53DB"/>
    <w:rsid w:val="005C545E"/>
    <w:rsid w:val="005C5488"/>
    <w:rsid w:val="005C5573"/>
    <w:rsid w:val="005C56EE"/>
    <w:rsid w:val="005C57CC"/>
    <w:rsid w:val="005C57FF"/>
    <w:rsid w:val="005C59F3"/>
    <w:rsid w:val="005C5A38"/>
    <w:rsid w:val="005C5A95"/>
    <w:rsid w:val="005C5AEB"/>
    <w:rsid w:val="005C5B1C"/>
    <w:rsid w:val="005C5B8B"/>
    <w:rsid w:val="005C5C15"/>
    <w:rsid w:val="005C5C72"/>
    <w:rsid w:val="005C5CA3"/>
    <w:rsid w:val="005C5CA5"/>
    <w:rsid w:val="005C5D80"/>
    <w:rsid w:val="005C5EEF"/>
    <w:rsid w:val="005C5F57"/>
    <w:rsid w:val="005C6094"/>
    <w:rsid w:val="005C60C9"/>
    <w:rsid w:val="005C60F2"/>
    <w:rsid w:val="005C612F"/>
    <w:rsid w:val="005C6178"/>
    <w:rsid w:val="005C627D"/>
    <w:rsid w:val="005C628B"/>
    <w:rsid w:val="005C6331"/>
    <w:rsid w:val="005C6365"/>
    <w:rsid w:val="005C63FD"/>
    <w:rsid w:val="005C6448"/>
    <w:rsid w:val="005C6492"/>
    <w:rsid w:val="005C64ED"/>
    <w:rsid w:val="005C653E"/>
    <w:rsid w:val="005C666B"/>
    <w:rsid w:val="005C6746"/>
    <w:rsid w:val="005C675C"/>
    <w:rsid w:val="005C67C8"/>
    <w:rsid w:val="005C68A8"/>
    <w:rsid w:val="005C692D"/>
    <w:rsid w:val="005C6A77"/>
    <w:rsid w:val="005C6CF1"/>
    <w:rsid w:val="005C6D73"/>
    <w:rsid w:val="005C6D7F"/>
    <w:rsid w:val="005C6DBA"/>
    <w:rsid w:val="005C6E49"/>
    <w:rsid w:val="005C7070"/>
    <w:rsid w:val="005C7193"/>
    <w:rsid w:val="005C74D7"/>
    <w:rsid w:val="005C75B1"/>
    <w:rsid w:val="005C75B9"/>
    <w:rsid w:val="005C75CD"/>
    <w:rsid w:val="005C76F0"/>
    <w:rsid w:val="005C784D"/>
    <w:rsid w:val="005C7A1A"/>
    <w:rsid w:val="005C7AC2"/>
    <w:rsid w:val="005C7C89"/>
    <w:rsid w:val="005C7CD4"/>
    <w:rsid w:val="005C7DAE"/>
    <w:rsid w:val="005C7E42"/>
    <w:rsid w:val="005C7EF0"/>
    <w:rsid w:val="005CA399"/>
    <w:rsid w:val="005D002E"/>
    <w:rsid w:val="005D00ED"/>
    <w:rsid w:val="005D030A"/>
    <w:rsid w:val="005D032E"/>
    <w:rsid w:val="005D034B"/>
    <w:rsid w:val="005D03FB"/>
    <w:rsid w:val="005D041B"/>
    <w:rsid w:val="005D0561"/>
    <w:rsid w:val="005D076E"/>
    <w:rsid w:val="005D0770"/>
    <w:rsid w:val="005D07A5"/>
    <w:rsid w:val="005D09FF"/>
    <w:rsid w:val="005D0A59"/>
    <w:rsid w:val="005D0AEB"/>
    <w:rsid w:val="005D0C4F"/>
    <w:rsid w:val="005D0CBF"/>
    <w:rsid w:val="005D1092"/>
    <w:rsid w:val="005D1121"/>
    <w:rsid w:val="005D1229"/>
    <w:rsid w:val="005D125A"/>
    <w:rsid w:val="005D12B8"/>
    <w:rsid w:val="005D135A"/>
    <w:rsid w:val="005D1420"/>
    <w:rsid w:val="005D143C"/>
    <w:rsid w:val="005D1472"/>
    <w:rsid w:val="005D1609"/>
    <w:rsid w:val="005D163E"/>
    <w:rsid w:val="005D1880"/>
    <w:rsid w:val="005D195C"/>
    <w:rsid w:val="005D1979"/>
    <w:rsid w:val="005D1A0C"/>
    <w:rsid w:val="005D1B23"/>
    <w:rsid w:val="005D1C36"/>
    <w:rsid w:val="005D1C3F"/>
    <w:rsid w:val="005D1CE7"/>
    <w:rsid w:val="005D1ECF"/>
    <w:rsid w:val="005D1FFC"/>
    <w:rsid w:val="005D2093"/>
    <w:rsid w:val="005D21DD"/>
    <w:rsid w:val="005D21F0"/>
    <w:rsid w:val="005D21FE"/>
    <w:rsid w:val="005D239A"/>
    <w:rsid w:val="005D2465"/>
    <w:rsid w:val="005D24DF"/>
    <w:rsid w:val="005D2518"/>
    <w:rsid w:val="005D2573"/>
    <w:rsid w:val="005D2659"/>
    <w:rsid w:val="005D26D8"/>
    <w:rsid w:val="005D28EB"/>
    <w:rsid w:val="005D29DF"/>
    <w:rsid w:val="005D2EFC"/>
    <w:rsid w:val="005D2F96"/>
    <w:rsid w:val="005D2F98"/>
    <w:rsid w:val="005D304F"/>
    <w:rsid w:val="005D3050"/>
    <w:rsid w:val="005D3292"/>
    <w:rsid w:val="005D3365"/>
    <w:rsid w:val="005D340B"/>
    <w:rsid w:val="005D342C"/>
    <w:rsid w:val="005D34D8"/>
    <w:rsid w:val="005D357E"/>
    <w:rsid w:val="005D35C8"/>
    <w:rsid w:val="005D36A2"/>
    <w:rsid w:val="005D37B5"/>
    <w:rsid w:val="005D37CC"/>
    <w:rsid w:val="005D380E"/>
    <w:rsid w:val="005D3844"/>
    <w:rsid w:val="005D38D3"/>
    <w:rsid w:val="005D396C"/>
    <w:rsid w:val="005D39E3"/>
    <w:rsid w:val="005D3BB9"/>
    <w:rsid w:val="005D3C60"/>
    <w:rsid w:val="005D3CAC"/>
    <w:rsid w:val="005D3D9A"/>
    <w:rsid w:val="005D3E2B"/>
    <w:rsid w:val="005D3F56"/>
    <w:rsid w:val="005D3FB7"/>
    <w:rsid w:val="005D402A"/>
    <w:rsid w:val="005D463D"/>
    <w:rsid w:val="005D4653"/>
    <w:rsid w:val="005D490B"/>
    <w:rsid w:val="005D4A6B"/>
    <w:rsid w:val="005D4A6C"/>
    <w:rsid w:val="005D4ABA"/>
    <w:rsid w:val="005D4AFF"/>
    <w:rsid w:val="005D4B87"/>
    <w:rsid w:val="005D4CBE"/>
    <w:rsid w:val="005D4D96"/>
    <w:rsid w:val="005D4DD1"/>
    <w:rsid w:val="005D4ED2"/>
    <w:rsid w:val="005D4EE6"/>
    <w:rsid w:val="005D5009"/>
    <w:rsid w:val="005D50A0"/>
    <w:rsid w:val="005D5291"/>
    <w:rsid w:val="005D52D8"/>
    <w:rsid w:val="005D52E6"/>
    <w:rsid w:val="005D536D"/>
    <w:rsid w:val="005D53D1"/>
    <w:rsid w:val="005D53D6"/>
    <w:rsid w:val="005D5721"/>
    <w:rsid w:val="005D59CB"/>
    <w:rsid w:val="005D5A00"/>
    <w:rsid w:val="005D5C4A"/>
    <w:rsid w:val="005D5C8F"/>
    <w:rsid w:val="005D5D30"/>
    <w:rsid w:val="005D5E34"/>
    <w:rsid w:val="005D5EDA"/>
    <w:rsid w:val="005D5F13"/>
    <w:rsid w:val="005D5F16"/>
    <w:rsid w:val="005D5F44"/>
    <w:rsid w:val="005D5F6A"/>
    <w:rsid w:val="005D6002"/>
    <w:rsid w:val="005D6035"/>
    <w:rsid w:val="005D6105"/>
    <w:rsid w:val="005D610A"/>
    <w:rsid w:val="005D613A"/>
    <w:rsid w:val="005D615C"/>
    <w:rsid w:val="005D618E"/>
    <w:rsid w:val="005D6261"/>
    <w:rsid w:val="005D6275"/>
    <w:rsid w:val="005D643C"/>
    <w:rsid w:val="005D64DF"/>
    <w:rsid w:val="005D659C"/>
    <w:rsid w:val="005D65EA"/>
    <w:rsid w:val="005D6638"/>
    <w:rsid w:val="005D6695"/>
    <w:rsid w:val="005D66D6"/>
    <w:rsid w:val="005D67E7"/>
    <w:rsid w:val="005D681B"/>
    <w:rsid w:val="005D6876"/>
    <w:rsid w:val="005D687A"/>
    <w:rsid w:val="005D68D1"/>
    <w:rsid w:val="005D69A3"/>
    <w:rsid w:val="005D6AAE"/>
    <w:rsid w:val="005D6C9B"/>
    <w:rsid w:val="005D6D11"/>
    <w:rsid w:val="005D6D75"/>
    <w:rsid w:val="005D6DCF"/>
    <w:rsid w:val="005D6ECC"/>
    <w:rsid w:val="005D6F4F"/>
    <w:rsid w:val="005D708D"/>
    <w:rsid w:val="005D725C"/>
    <w:rsid w:val="005D72A2"/>
    <w:rsid w:val="005D7484"/>
    <w:rsid w:val="005D748B"/>
    <w:rsid w:val="005D75FD"/>
    <w:rsid w:val="005D7732"/>
    <w:rsid w:val="005D7785"/>
    <w:rsid w:val="005D779C"/>
    <w:rsid w:val="005D795D"/>
    <w:rsid w:val="005D79A3"/>
    <w:rsid w:val="005D7A2D"/>
    <w:rsid w:val="005D7A9C"/>
    <w:rsid w:val="005D7AA4"/>
    <w:rsid w:val="005D7ACB"/>
    <w:rsid w:val="005D7B21"/>
    <w:rsid w:val="005D7B42"/>
    <w:rsid w:val="005D7C3C"/>
    <w:rsid w:val="005D7D96"/>
    <w:rsid w:val="005D7F35"/>
    <w:rsid w:val="005D7FC2"/>
    <w:rsid w:val="005E005A"/>
    <w:rsid w:val="005E006B"/>
    <w:rsid w:val="005E00A1"/>
    <w:rsid w:val="005E00D2"/>
    <w:rsid w:val="005E0151"/>
    <w:rsid w:val="005E017E"/>
    <w:rsid w:val="005E0395"/>
    <w:rsid w:val="005E03B3"/>
    <w:rsid w:val="005E0418"/>
    <w:rsid w:val="005E0421"/>
    <w:rsid w:val="005E04A9"/>
    <w:rsid w:val="005E0515"/>
    <w:rsid w:val="005E0527"/>
    <w:rsid w:val="005E0549"/>
    <w:rsid w:val="005E05A5"/>
    <w:rsid w:val="005E05A9"/>
    <w:rsid w:val="005E062E"/>
    <w:rsid w:val="005E07C3"/>
    <w:rsid w:val="005E07FC"/>
    <w:rsid w:val="005E0832"/>
    <w:rsid w:val="005E08B0"/>
    <w:rsid w:val="005E09D2"/>
    <w:rsid w:val="005E0A00"/>
    <w:rsid w:val="005E0A08"/>
    <w:rsid w:val="005E0A3F"/>
    <w:rsid w:val="005E0A9D"/>
    <w:rsid w:val="005E0B90"/>
    <w:rsid w:val="005E0BED"/>
    <w:rsid w:val="005E0D34"/>
    <w:rsid w:val="005E0D49"/>
    <w:rsid w:val="005E0D71"/>
    <w:rsid w:val="005E0DE6"/>
    <w:rsid w:val="005E0E07"/>
    <w:rsid w:val="005E10EB"/>
    <w:rsid w:val="005E12C0"/>
    <w:rsid w:val="005E12C7"/>
    <w:rsid w:val="005E12E8"/>
    <w:rsid w:val="005E12FE"/>
    <w:rsid w:val="005E14A9"/>
    <w:rsid w:val="005E1502"/>
    <w:rsid w:val="005E1563"/>
    <w:rsid w:val="005E1575"/>
    <w:rsid w:val="005E16BF"/>
    <w:rsid w:val="005E1723"/>
    <w:rsid w:val="005E17FF"/>
    <w:rsid w:val="005E18E8"/>
    <w:rsid w:val="005E1B89"/>
    <w:rsid w:val="005E1C11"/>
    <w:rsid w:val="005E1C13"/>
    <w:rsid w:val="005E1C39"/>
    <w:rsid w:val="005E1C91"/>
    <w:rsid w:val="005E1CCA"/>
    <w:rsid w:val="005E1CED"/>
    <w:rsid w:val="005E1DAD"/>
    <w:rsid w:val="005E1EBE"/>
    <w:rsid w:val="005E1EDB"/>
    <w:rsid w:val="005E1EEA"/>
    <w:rsid w:val="005E1F6C"/>
    <w:rsid w:val="005E207D"/>
    <w:rsid w:val="005E22C7"/>
    <w:rsid w:val="005E2393"/>
    <w:rsid w:val="005E2396"/>
    <w:rsid w:val="005E23B5"/>
    <w:rsid w:val="005E23C2"/>
    <w:rsid w:val="005E23DC"/>
    <w:rsid w:val="005E2406"/>
    <w:rsid w:val="005E2420"/>
    <w:rsid w:val="005E2604"/>
    <w:rsid w:val="005E2999"/>
    <w:rsid w:val="005E2A48"/>
    <w:rsid w:val="005E2B55"/>
    <w:rsid w:val="005E2BB2"/>
    <w:rsid w:val="005E2C0E"/>
    <w:rsid w:val="005E2DE7"/>
    <w:rsid w:val="005E2E82"/>
    <w:rsid w:val="005E2E8E"/>
    <w:rsid w:val="005E2ED8"/>
    <w:rsid w:val="005E300B"/>
    <w:rsid w:val="005E3101"/>
    <w:rsid w:val="005E314C"/>
    <w:rsid w:val="005E31A3"/>
    <w:rsid w:val="005E3219"/>
    <w:rsid w:val="005E323A"/>
    <w:rsid w:val="005E337E"/>
    <w:rsid w:val="005E3386"/>
    <w:rsid w:val="005E34E1"/>
    <w:rsid w:val="005E34E7"/>
    <w:rsid w:val="005E3685"/>
    <w:rsid w:val="005E3710"/>
    <w:rsid w:val="005E371B"/>
    <w:rsid w:val="005E37A3"/>
    <w:rsid w:val="005E387D"/>
    <w:rsid w:val="005E38B6"/>
    <w:rsid w:val="005E3C04"/>
    <w:rsid w:val="005E3D84"/>
    <w:rsid w:val="005E3EE4"/>
    <w:rsid w:val="005E3EF6"/>
    <w:rsid w:val="005E3FB7"/>
    <w:rsid w:val="005E4089"/>
    <w:rsid w:val="005E41E7"/>
    <w:rsid w:val="005E4387"/>
    <w:rsid w:val="005E43CA"/>
    <w:rsid w:val="005E440F"/>
    <w:rsid w:val="005E44D0"/>
    <w:rsid w:val="005E458B"/>
    <w:rsid w:val="005E4776"/>
    <w:rsid w:val="005E477E"/>
    <w:rsid w:val="005E49CA"/>
    <w:rsid w:val="005E4AD9"/>
    <w:rsid w:val="005E4B7C"/>
    <w:rsid w:val="005E4C1A"/>
    <w:rsid w:val="005E4C4F"/>
    <w:rsid w:val="005E4D2F"/>
    <w:rsid w:val="005E4D9F"/>
    <w:rsid w:val="005E4E8B"/>
    <w:rsid w:val="005E4FD7"/>
    <w:rsid w:val="005E50C1"/>
    <w:rsid w:val="005E5172"/>
    <w:rsid w:val="005E522C"/>
    <w:rsid w:val="005E523F"/>
    <w:rsid w:val="005E54DE"/>
    <w:rsid w:val="005E55E0"/>
    <w:rsid w:val="005E5603"/>
    <w:rsid w:val="005E5627"/>
    <w:rsid w:val="005E5689"/>
    <w:rsid w:val="005E59C0"/>
    <w:rsid w:val="005E5BC4"/>
    <w:rsid w:val="005E5C9F"/>
    <w:rsid w:val="005E5CDC"/>
    <w:rsid w:val="005E5DC3"/>
    <w:rsid w:val="005E5DDA"/>
    <w:rsid w:val="005E5E11"/>
    <w:rsid w:val="005E5FBD"/>
    <w:rsid w:val="005E6125"/>
    <w:rsid w:val="005E617D"/>
    <w:rsid w:val="005E6182"/>
    <w:rsid w:val="005E61C3"/>
    <w:rsid w:val="005E62AF"/>
    <w:rsid w:val="005E62FA"/>
    <w:rsid w:val="005E631D"/>
    <w:rsid w:val="005E6332"/>
    <w:rsid w:val="005E63E2"/>
    <w:rsid w:val="005E644B"/>
    <w:rsid w:val="005E6465"/>
    <w:rsid w:val="005E64F8"/>
    <w:rsid w:val="005E659C"/>
    <w:rsid w:val="005E65A1"/>
    <w:rsid w:val="005E65FC"/>
    <w:rsid w:val="005E6771"/>
    <w:rsid w:val="005E67D5"/>
    <w:rsid w:val="005E6862"/>
    <w:rsid w:val="005E6883"/>
    <w:rsid w:val="005E68A9"/>
    <w:rsid w:val="005E6A00"/>
    <w:rsid w:val="005E6A04"/>
    <w:rsid w:val="005E6A3C"/>
    <w:rsid w:val="005E6B5A"/>
    <w:rsid w:val="005E6BB9"/>
    <w:rsid w:val="005E6CEF"/>
    <w:rsid w:val="005E6D8C"/>
    <w:rsid w:val="005E6DED"/>
    <w:rsid w:val="005E6DFE"/>
    <w:rsid w:val="005E6E25"/>
    <w:rsid w:val="005E6E43"/>
    <w:rsid w:val="005E6FB8"/>
    <w:rsid w:val="005E6FE4"/>
    <w:rsid w:val="005E705F"/>
    <w:rsid w:val="005E70AD"/>
    <w:rsid w:val="005E7140"/>
    <w:rsid w:val="005E7288"/>
    <w:rsid w:val="005E735D"/>
    <w:rsid w:val="005E73BE"/>
    <w:rsid w:val="005E7506"/>
    <w:rsid w:val="005E7587"/>
    <w:rsid w:val="005E758C"/>
    <w:rsid w:val="005E772F"/>
    <w:rsid w:val="005E77FF"/>
    <w:rsid w:val="005E7860"/>
    <w:rsid w:val="005E791D"/>
    <w:rsid w:val="005E7ADA"/>
    <w:rsid w:val="005E7BB1"/>
    <w:rsid w:val="005E7D25"/>
    <w:rsid w:val="005E7EE1"/>
    <w:rsid w:val="005E7EEC"/>
    <w:rsid w:val="005E7F08"/>
    <w:rsid w:val="005E7F12"/>
    <w:rsid w:val="005F0094"/>
    <w:rsid w:val="005F00B2"/>
    <w:rsid w:val="005F00CA"/>
    <w:rsid w:val="005F01C1"/>
    <w:rsid w:val="005F0255"/>
    <w:rsid w:val="005F058E"/>
    <w:rsid w:val="005F0649"/>
    <w:rsid w:val="005F0819"/>
    <w:rsid w:val="005F082F"/>
    <w:rsid w:val="005F0951"/>
    <w:rsid w:val="005F0985"/>
    <w:rsid w:val="005F09D5"/>
    <w:rsid w:val="005F0A96"/>
    <w:rsid w:val="005F0C45"/>
    <w:rsid w:val="005F0D60"/>
    <w:rsid w:val="005F0D63"/>
    <w:rsid w:val="005F0E42"/>
    <w:rsid w:val="005F0EE1"/>
    <w:rsid w:val="005F1135"/>
    <w:rsid w:val="005F1199"/>
    <w:rsid w:val="005F126D"/>
    <w:rsid w:val="005F130E"/>
    <w:rsid w:val="005F142C"/>
    <w:rsid w:val="005F143F"/>
    <w:rsid w:val="005F15AA"/>
    <w:rsid w:val="005F15F2"/>
    <w:rsid w:val="005F1649"/>
    <w:rsid w:val="005F1831"/>
    <w:rsid w:val="005F18D4"/>
    <w:rsid w:val="005F1989"/>
    <w:rsid w:val="005F1A84"/>
    <w:rsid w:val="005F1B54"/>
    <w:rsid w:val="005F1BDB"/>
    <w:rsid w:val="005F1BE5"/>
    <w:rsid w:val="005F1C92"/>
    <w:rsid w:val="005F1CD4"/>
    <w:rsid w:val="005F1E95"/>
    <w:rsid w:val="005F1EDD"/>
    <w:rsid w:val="005F20A0"/>
    <w:rsid w:val="005F212A"/>
    <w:rsid w:val="005F2217"/>
    <w:rsid w:val="005F2263"/>
    <w:rsid w:val="005F236B"/>
    <w:rsid w:val="005F237D"/>
    <w:rsid w:val="005F23A2"/>
    <w:rsid w:val="005F2486"/>
    <w:rsid w:val="005F24BE"/>
    <w:rsid w:val="005F2590"/>
    <w:rsid w:val="005F259C"/>
    <w:rsid w:val="005F25B9"/>
    <w:rsid w:val="005F2681"/>
    <w:rsid w:val="005F2719"/>
    <w:rsid w:val="005F282A"/>
    <w:rsid w:val="005F2856"/>
    <w:rsid w:val="005F2941"/>
    <w:rsid w:val="005F2990"/>
    <w:rsid w:val="005F2AD1"/>
    <w:rsid w:val="005F2AF3"/>
    <w:rsid w:val="005F2B1A"/>
    <w:rsid w:val="005F2E86"/>
    <w:rsid w:val="005F3111"/>
    <w:rsid w:val="005F322D"/>
    <w:rsid w:val="005F3281"/>
    <w:rsid w:val="005F334D"/>
    <w:rsid w:val="005F3398"/>
    <w:rsid w:val="005F3484"/>
    <w:rsid w:val="005F34AA"/>
    <w:rsid w:val="005F3631"/>
    <w:rsid w:val="005F3652"/>
    <w:rsid w:val="005F37C1"/>
    <w:rsid w:val="005F3812"/>
    <w:rsid w:val="005F3BF2"/>
    <w:rsid w:val="005F3C05"/>
    <w:rsid w:val="005F3C6C"/>
    <w:rsid w:val="005F3CAE"/>
    <w:rsid w:val="005F3D11"/>
    <w:rsid w:val="005F3DDA"/>
    <w:rsid w:val="005F3E5F"/>
    <w:rsid w:val="005F3E9C"/>
    <w:rsid w:val="005F3EA4"/>
    <w:rsid w:val="005F3F8E"/>
    <w:rsid w:val="005F3FE8"/>
    <w:rsid w:val="005F4024"/>
    <w:rsid w:val="005F41BC"/>
    <w:rsid w:val="005F42B5"/>
    <w:rsid w:val="005F42C1"/>
    <w:rsid w:val="005F4365"/>
    <w:rsid w:val="005F43AB"/>
    <w:rsid w:val="005F447D"/>
    <w:rsid w:val="005F45DC"/>
    <w:rsid w:val="005F4742"/>
    <w:rsid w:val="005F4824"/>
    <w:rsid w:val="005F4876"/>
    <w:rsid w:val="005F4885"/>
    <w:rsid w:val="005F4896"/>
    <w:rsid w:val="005F4900"/>
    <w:rsid w:val="005F493F"/>
    <w:rsid w:val="005F4A27"/>
    <w:rsid w:val="005F4A67"/>
    <w:rsid w:val="005F4B5F"/>
    <w:rsid w:val="005F4BBD"/>
    <w:rsid w:val="005F4C34"/>
    <w:rsid w:val="005F4C65"/>
    <w:rsid w:val="005F4C84"/>
    <w:rsid w:val="005F4D83"/>
    <w:rsid w:val="005F4ECA"/>
    <w:rsid w:val="005F4ECB"/>
    <w:rsid w:val="005F4FE3"/>
    <w:rsid w:val="005F4FF3"/>
    <w:rsid w:val="005F5135"/>
    <w:rsid w:val="005F51A0"/>
    <w:rsid w:val="005F5368"/>
    <w:rsid w:val="005F53FE"/>
    <w:rsid w:val="005F545F"/>
    <w:rsid w:val="005F565A"/>
    <w:rsid w:val="005F56A5"/>
    <w:rsid w:val="005F56BA"/>
    <w:rsid w:val="005F56ED"/>
    <w:rsid w:val="005F57BD"/>
    <w:rsid w:val="005F5840"/>
    <w:rsid w:val="005F59AC"/>
    <w:rsid w:val="005F5B18"/>
    <w:rsid w:val="005F5B71"/>
    <w:rsid w:val="005F5D04"/>
    <w:rsid w:val="005F5E71"/>
    <w:rsid w:val="005F5E78"/>
    <w:rsid w:val="005F5EF8"/>
    <w:rsid w:val="005F5F6B"/>
    <w:rsid w:val="005F5FFF"/>
    <w:rsid w:val="005F6071"/>
    <w:rsid w:val="005F60DB"/>
    <w:rsid w:val="005F61F0"/>
    <w:rsid w:val="005F6449"/>
    <w:rsid w:val="005F647E"/>
    <w:rsid w:val="005F648E"/>
    <w:rsid w:val="005F64E7"/>
    <w:rsid w:val="005F65DE"/>
    <w:rsid w:val="005F6640"/>
    <w:rsid w:val="005F66F8"/>
    <w:rsid w:val="005F672A"/>
    <w:rsid w:val="005F672F"/>
    <w:rsid w:val="005F6916"/>
    <w:rsid w:val="005F695C"/>
    <w:rsid w:val="005F6A76"/>
    <w:rsid w:val="005F6BEB"/>
    <w:rsid w:val="005F6E62"/>
    <w:rsid w:val="005F6F5E"/>
    <w:rsid w:val="005F70DC"/>
    <w:rsid w:val="005F718A"/>
    <w:rsid w:val="005F71F7"/>
    <w:rsid w:val="005F72A7"/>
    <w:rsid w:val="005F72B8"/>
    <w:rsid w:val="005F72CC"/>
    <w:rsid w:val="005F73ED"/>
    <w:rsid w:val="005F73FE"/>
    <w:rsid w:val="005F74AD"/>
    <w:rsid w:val="005F7564"/>
    <w:rsid w:val="005F759D"/>
    <w:rsid w:val="005F75D6"/>
    <w:rsid w:val="005F761A"/>
    <w:rsid w:val="005F7629"/>
    <w:rsid w:val="005F768E"/>
    <w:rsid w:val="005F76E4"/>
    <w:rsid w:val="005F7764"/>
    <w:rsid w:val="005F77B0"/>
    <w:rsid w:val="005F7801"/>
    <w:rsid w:val="005F79C6"/>
    <w:rsid w:val="005F7ABC"/>
    <w:rsid w:val="005F7C4B"/>
    <w:rsid w:val="005F7C88"/>
    <w:rsid w:val="005F7CB8"/>
    <w:rsid w:val="005F7D36"/>
    <w:rsid w:val="005F7D62"/>
    <w:rsid w:val="005F7E64"/>
    <w:rsid w:val="00600112"/>
    <w:rsid w:val="006001A6"/>
    <w:rsid w:val="0060023D"/>
    <w:rsid w:val="00600253"/>
    <w:rsid w:val="0060029F"/>
    <w:rsid w:val="00600368"/>
    <w:rsid w:val="006004FE"/>
    <w:rsid w:val="00600522"/>
    <w:rsid w:val="00600545"/>
    <w:rsid w:val="00600720"/>
    <w:rsid w:val="0060086A"/>
    <w:rsid w:val="00600C26"/>
    <w:rsid w:val="00600C47"/>
    <w:rsid w:val="00600C4D"/>
    <w:rsid w:val="00600CC6"/>
    <w:rsid w:val="00600CEF"/>
    <w:rsid w:val="00600D13"/>
    <w:rsid w:val="00600D8B"/>
    <w:rsid w:val="00600DC4"/>
    <w:rsid w:val="00600EED"/>
    <w:rsid w:val="00601023"/>
    <w:rsid w:val="00601121"/>
    <w:rsid w:val="00601150"/>
    <w:rsid w:val="00601338"/>
    <w:rsid w:val="00601390"/>
    <w:rsid w:val="006014CA"/>
    <w:rsid w:val="006015B9"/>
    <w:rsid w:val="006015D3"/>
    <w:rsid w:val="0060165E"/>
    <w:rsid w:val="0060169F"/>
    <w:rsid w:val="0060171F"/>
    <w:rsid w:val="006018C1"/>
    <w:rsid w:val="0060196F"/>
    <w:rsid w:val="00601A4D"/>
    <w:rsid w:val="00601ABA"/>
    <w:rsid w:val="00601AC2"/>
    <w:rsid w:val="00601B20"/>
    <w:rsid w:val="00601B5D"/>
    <w:rsid w:val="00601E5D"/>
    <w:rsid w:val="00601F54"/>
    <w:rsid w:val="00601FBE"/>
    <w:rsid w:val="0060209D"/>
    <w:rsid w:val="006021B1"/>
    <w:rsid w:val="006022DB"/>
    <w:rsid w:val="00602323"/>
    <w:rsid w:val="00602419"/>
    <w:rsid w:val="0060242E"/>
    <w:rsid w:val="00602435"/>
    <w:rsid w:val="006024DB"/>
    <w:rsid w:val="00602512"/>
    <w:rsid w:val="00602634"/>
    <w:rsid w:val="00602715"/>
    <w:rsid w:val="00602825"/>
    <w:rsid w:val="00602848"/>
    <w:rsid w:val="00602A16"/>
    <w:rsid w:val="00602AA5"/>
    <w:rsid w:val="00602AC0"/>
    <w:rsid w:val="00602B94"/>
    <w:rsid w:val="00602C1C"/>
    <w:rsid w:val="00602C39"/>
    <w:rsid w:val="00602CAE"/>
    <w:rsid w:val="00602D7D"/>
    <w:rsid w:val="00602E17"/>
    <w:rsid w:val="00602E92"/>
    <w:rsid w:val="00602FA7"/>
    <w:rsid w:val="006030AD"/>
    <w:rsid w:val="006031B0"/>
    <w:rsid w:val="0060330F"/>
    <w:rsid w:val="00603359"/>
    <w:rsid w:val="00603552"/>
    <w:rsid w:val="00603633"/>
    <w:rsid w:val="006037B4"/>
    <w:rsid w:val="0060381F"/>
    <w:rsid w:val="0060383D"/>
    <w:rsid w:val="00603872"/>
    <w:rsid w:val="006039AB"/>
    <w:rsid w:val="006039CC"/>
    <w:rsid w:val="00603A96"/>
    <w:rsid w:val="00603B85"/>
    <w:rsid w:val="00603B9D"/>
    <w:rsid w:val="00603BD7"/>
    <w:rsid w:val="00603C3C"/>
    <w:rsid w:val="00603CA6"/>
    <w:rsid w:val="00603D48"/>
    <w:rsid w:val="00603DAE"/>
    <w:rsid w:val="00603E2C"/>
    <w:rsid w:val="00604005"/>
    <w:rsid w:val="00604048"/>
    <w:rsid w:val="0060406C"/>
    <w:rsid w:val="0060407C"/>
    <w:rsid w:val="0060408F"/>
    <w:rsid w:val="006040D4"/>
    <w:rsid w:val="0060419D"/>
    <w:rsid w:val="006041BE"/>
    <w:rsid w:val="0060431C"/>
    <w:rsid w:val="006043C7"/>
    <w:rsid w:val="0060443B"/>
    <w:rsid w:val="0060446E"/>
    <w:rsid w:val="00604573"/>
    <w:rsid w:val="00604593"/>
    <w:rsid w:val="006045E6"/>
    <w:rsid w:val="0060470D"/>
    <w:rsid w:val="006047E3"/>
    <w:rsid w:val="00604865"/>
    <w:rsid w:val="00604917"/>
    <w:rsid w:val="00604A88"/>
    <w:rsid w:val="00604AD7"/>
    <w:rsid w:val="00604D7D"/>
    <w:rsid w:val="00604F39"/>
    <w:rsid w:val="00604FD0"/>
    <w:rsid w:val="00605073"/>
    <w:rsid w:val="00605082"/>
    <w:rsid w:val="006050AE"/>
    <w:rsid w:val="006051F1"/>
    <w:rsid w:val="006052B6"/>
    <w:rsid w:val="0060533F"/>
    <w:rsid w:val="0060537E"/>
    <w:rsid w:val="00605438"/>
    <w:rsid w:val="00605524"/>
    <w:rsid w:val="006055E2"/>
    <w:rsid w:val="006055EE"/>
    <w:rsid w:val="0060564B"/>
    <w:rsid w:val="0060578C"/>
    <w:rsid w:val="00605794"/>
    <w:rsid w:val="006057E5"/>
    <w:rsid w:val="00605874"/>
    <w:rsid w:val="00605916"/>
    <w:rsid w:val="006059B2"/>
    <w:rsid w:val="006059D1"/>
    <w:rsid w:val="00605AAF"/>
    <w:rsid w:val="00605ACC"/>
    <w:rsid w:val="00605C12"/>
    <w:rsid w:val="00605C82"/>
    <w:rsid w:val="0060601F"/>
    <w:rsid w:val="00606040"/>
    <w:rsid w:val="006061AD"/>
    <w:rsid w:val="0060640A"/>
    <w:rsid w:val="0060649E"/>
    <w:rsid w:val="00606561"/>
    <w:rsid w:val="00606562"/>
    <w:rsid w:val="006065AD"/>
    <w:rsid w:val="00606613"/>
    <w:rsid w:val="00606632"/>
    <w:rsid w:val="0060689A"/>
    <w:rsid w:val="00606C19"/>
    <w:rsid w:val="00606C5A"/>
    <w:rsid w:val="00606E45"/>
    <w:rsid w:val="00606F12"/>
    <w:rsid w:val="00606FD1"/>
    <w:rsid w:val="006070DA"/>
    <w:rsid w:val="006070F9"/>
    <w:rsid w:val="00607110"/>
    <w:rsid w:val="00607197"/>
    <w:rsid w:val="00607261"/>
    <w:rsid w:val="00607422"/>
    <w:rsid w:val="0060765A"/>
    <w:rsid w:val="0060767E"/>
    <w:rsid w:val="006076FC"/>
    <w:rsid w:val="0060782F"/>
    <w:rsid w:val="0060783D"/>
    <w:rsid w:val="00607855"/>
    <w:rsid w:val="006078FF"/>
    <w:rsid w:val="00607990"/>
    <w:rsid w:val="00607BC5"/>
    <w:rsid w:val="00607CEC"/>
    <w:rsid w:val="00607CF6"/>
    <w:rsid w:val="00607F2E"/>
    <w:rsid w:val="00607FA4"/>
    <w:rsid w:val="00607FEC"/>
    <w:rsid w:val="0061002F"/>
    <w:rsid w:val="00610094"/>
    <w:rsid w:val="00610206"/>
    <w:rsid w:val="006102B6"/>
    <w:rsid w:val="006103AD"/>
    <w:rsid w:val="0061046A"/>
    <w:rsid w:val="006104A6"/>
    <w:rsid w:val="00610577"/>
    <w:rsid w:val="006105FA"/>
    <w:rsid w:val="00610696"/>
    <w:rsid w:val="006107D3"/>
    <w:rsid w:val="00610993"/>
    <w:rsid w:val="006109D6"/>
    <w:rsid w:val="00610A90"/>
    <w:rsid w:val="00610B3F"/>
    <w:rsid w:val="00610B50"/>
    <w:rsid w:val="00610D19"/>
    <w:rsid w:val="00610D2B"/>
    <w:rsid w:val="00610D55"/>
    <w:rsid w:val="00610D72"/>
    <w:rsid w:val="00610ED3"/>
    <w:rsid w:val="006110A2"/>
    <w:rsid w:val="006110B0"/>
    <w:rsid w:val="006110BA"/>
    <w:rsid w:val="006110E1"/>
    <w:rsid w:val="00611110"/>
    <w:rsid w:val="00611172"/>
    <w:rsid w:val="006111D3"/>
    <w:rsid w:val="00611234"/>
    <w:rsid w:val="006112A5"/>
    <w:rsid w:val="006112CC"/>
    <w:rsid w:val="00611305"/>
    <w:rsid w:val="00611332"/>
    <w:rsid w:val="00611345"/>
    <w:rsid w:val="006113AB"/>
    <w:rsid w:val="0061158C"/>
    <w:rsid w:val="00611628"/>
    <w:rsid w:val="00611664"/>
    <w:rsid w:val="00611702"/>
    <w:rsid w:val="00611739"/>
    <w:rsid w:val="0061173B"/>
    <w:rsid w:val="0061173D"/>
    <w:rsid w:val="00611755"/>
    <w:rsid w:val="0061182F"/>
    <w:rsid w:val="0061192D"/>
    <w:rsid w:val="00611B08"/>
    <w:rsid w:val="00611D36"/>
    <w:rsid w:val="00611D45"/>
    <w:rsid w:val="00611DF4"/>
    <w:rsid w:val="00611E11"/>
    <w:rsid w:val="00611F0C"/>
    <w:rsid w:val="00611FF0"/>
    <w:rsid w:val="006120F3"/>
    <w:rsid w:val="00612304"/>
    <w:rsid w:val="00612396"/>
    <w:rsid w:val="006124E3"/>
    <w:rsid w:val="0061253D"/>
    <w:rsid w:val="0061261E"/>
    <w:rsid w:val="006129C2"/>
    <w:rsid w:val="00612A33"/>
    <w:rsid w:val="00612B52"/>
    <w:rsid w:val="00612BD0"/>
    <w:rsid w:val="00612C55"/>
    <w:rsid w:val="00612CC0"/>
    <w:rsid w:val="00612CD7"/>
    <w:rsid w:val="00612F14"/>
    <w:rsid w:val="00612F84"/>
    <w:rsid w:val="006130E4"/>
    <w:rsid w:val="00613178"/>
    <w:rsid w:val="0061318F"/>
    <w:rsid w:val="00613365"/>
    <w:rsid w:val="0061339B"/>
    <w:rsid w:val="006133F6"/>
    <w:rsid w:val="006134E0"/>
    <w:rsid w:val="006134EB"/>
    <w:rsid w:val="0061350C"/>
    <w:rsid w:val="006135EB"/>
    <w:rsid w:val="0061367C"/>
    <w:rsid w:val="00613685"/>
    <w:rsid w:val="00613753"/>
    <w:rsid w:val="00613865"/>
    <w:rsid w:val="0061394C"/>
    <w:rsid w:val="006139FB"/>
    <w:rsid w:val="00613C98"/>
    <w:rsid w:val="00613CA1"/>
    <w:rsid w:val="00613CD6"/>
    <w:rsid w:val="00613CEA"/>
    <w:rsid w:val="00613E54"/>
    <w:rsid w:val="00613F2F"/>
    <w:rsid w:val="0061406C"/>
    <w:rsid w:val="00614103"/>
    <w:rsid w:val="00614224"/>
    <w:rsid w:val="006142B2"/>
    <w:rsid w:val="0061434E"/>
    <w:rsid w:val="0061437F"/>
    <w:rsid w:val="006143B8"/>
    <w:rsid w:val="00614431"/>
    <w:rsid w:val="006144F5"/>
    <w:rsid w:val="0061465E"/>
    <w:rsid w:val="006147BA"/>
    <w:rsid w:val="00614824"/>
    <w:rsid w:val="00614889"/>
    <w:rsid w:val="006149F3"/>
    <w:rsid w:val="00614AD3"/>
    <w:rsid w:val="00614AD5"/>
    <w:rsid w:val="00614C8E"/>
    <w:rsid w:val="00614D1E"/>
    <w:rsid w:val="00614D35"/>
    <w:rsid w:val="00614D96"/>
    <w:rsid w:val="00614E7F"/>
    <w:rsid w:val="00614E86"/>
    <w:rsid w:val="00614F37"/>
    <w:rsid w:val="006150ED"/>
    <w:rsid w:val="00615251"/>
    <w:rsid w:val="0061530A"/>
    <w:rsid w:val="00615545"/>
    <w:rsid w:val="006156BD"/>
    <w:rsid w:val="0061573A"/>
    <w:rsid w:val="00615755"/>
    <w:rsid w:val="006157F7"/>
    <w:rsid w:val="006157FC"/>
    <w:rsid w:val="0061583B"/>
    <w:rsid w:val="0061583F"/>
    <w:rsid w:val="006159B4"/>
    <w:rsid w:val="00615A49"/>
    <w:rsid w:val="00615D01"/>
    <w:rsid w:val="00615DE3"/>
    <w:rsid w:val="00615E9E"/>
    <w:rsid w:val="00616119"/>
    <w:rsid w:val="00616176"/>
    <w:rsid w:val="006161CC"/>
    <w:rsid w:val="00616232"/>
    <w:rsid w:val="006162F7"/>
    <w:rsid w:val="006163A8"/>
    <w:rsid w:val="00616474"/>
    <w:rsid w:val="006166CB"/>
    <w:rsid w:val="006166E5"/>
    <w:rsid w:val="0061670D"/>
    <w:rsid w:val="0061676F"/>
    <w:rsid w:val="0061682C"/>
    <w:rsid w:val="006168A6"/>
    <w:rsid w:val="006168D2"/>
    <w:rsid w:val="0061697F"/>
    <w:rsid w:val="00616A4E"/>
    <w:rsid w:val="00616A71"/>
    <w:rsid w:val="00616ABD"/>
    <w:rsid w:val="00616B0E"/>
    <w:rsid w:val="00616B4D"/>
    <w:rsid w:val="00616BB3"/>
    <w:rsid w:val="00616C52"/>
    <w:rsid w:val="00616C54"/>
    <w:rsid w:val="00616FF9"/>
    <w:rsid w:val="006171B3"/>
    <w:rsid w:val="00617278"/>
    <w:rsid w:val="00617299"/>
    <w:rsid w:val="006173F6"/>
    <w:rsid w:val="006174A6"/>
    <w:rsid w:val="006174B5"/>
    <w:rsid w:val="00617583"/>
    <w:rsid w:val="0061761A"/>
    <w:rsid w:val="006176BB"/>
    <w:rsid w:val="006176D5"/>
    <w:rsid w:val="0061770A"/>
    <w:rsid w:val="0061785C"/>
    <w:rsid w:val="006179BF"/>
    <w:rsid w:val="006179ED"/>
    <w:rsid w:val="00617B42"/>
    <w:rsid w:val="00617C4B"/>
    <w:rsid w:val="00617F28"/>
    <w:rsid w:val="0062001D"/>
    <w:rsid w:val="00620035"/>
    <w:rsid w:val="00620285"/>
    <w:rsid w:val="00620295"/>
    <w:rsid w:val="006202A0"/>
    <w:rsid w:val="006202AA"/>
    <w:rsid w:val="00620310"/>
    <w:rsid w:val="0062032A"/>
    <w:rsid w:val="0062034B"/>
    <w:rsid w:val="00620400"/>
    <w:rsid w:val="006204B3"/>
    <w:rsid w:val="006204DE"/>
    <w:rsid w:val="006206CF"/>
    <w:rsid w:val="00620727"/>
    <w:rsid w:val="0062079C"/>
    <w:rsid w:val="0062086B"/>
    <w:rsid w:val="006208F0"/>
    <w:rsid w:val="00620900"/>
    <w:rsid w:val="00620B8F"/>
    <w:rsid w:val="00620BCF"/>
    <w:rsid w:val="00620BE0"/>
    <w:rsid w:val="00620C59"/>
    <w:rsid w:val="00620CF3"/>
    <w:rsid w:val="00620D08"/>
    <w:rsid w:val="00620D2E"/>
    <w:rsid w:val="00620DEF"/>
    <w:rsid w:val="0062118A"/>
    <w:rsid w:val="0062119E"/>
    <w:rsid w:val="006211AA"/>
    <w:rsid w:val="0062122C"/>
    <w:rsid w:val="00621325"/>
    <w:rsid w:val="0062138E"/>
    <w:rsid w:val="0062139F"/>
    <w:rsid w:val="006214B0"/>
    <w:rsid w:val="006214E4"/>
    <w:rsid w:val="0062161E"/>
    <w:rsid w:val="0062167D"/>
    <w:rsid w:val="00621841"/>
    <w:rsid w:val="006219DB"/>
    <w:rsid w:val="00621B93"/>
    <w:rsid w:val="00621B9F"/>
    <w:rsid w:val="00621C96"/>
    <w:rsid w:val="00621CEE"/>
    <w:rsid w:val="00621D60"/>
    <w:rsid w:val="00622015"/>
    <w:rsid w:val="00622189"/>
    <w:rsid w:val="0062218B"/>
    <w:rsid w:val="006221EF"/>
    <w:rsid w:val="006222BC"/>
    <w:rsid w:val="006222CB"/>
    <w:rsid w:val="00622393"/>
    <w:rsid w:val="006223A1"/>
    <w:rsid w:val="00622578"/>
    <w:rsid w:val="0062272C"/>
    <w:rsid w:val="00622793"/>
    <w:rsid w:val="00622820"/>
    <w:rsid w:val="00622829"/>
    <w:rsid w:val="006228AE"/>
    <w:rsid w:val="00622ACA"/>
    <w:rsid w:val="00622B5D"/>
    <w:rsid w:val="00622BEF"/>
    <w:rsid w:val="00622BF7"/>
    <w:rsid w:val="00622C5A"/>
    <w:rsid w:val="00622CDE"/>
    <w:rsid w:val="00622CE8"/>
    <w:rsid w:val="00622D34"/>
    <w:rsid w:val="00622D58"/>
    <w:rsid w:val="00622EE1"/>
    <w:rsid w:val="00622FA5"/>
    <w:rsid w:val="0062305B"/>
    <w:rsid w:val="0062307A"/>
    <w:rsid w:val="006230E8"/>
    <w:rsid w:val="00623176"/>
    <w:rsid w:val="006231DD"/>
    <w:rsid w:val="006232D9"/>
    <w:rsid w:val="00623371"/>
    <w:rsid w:val="00623580"/>
    <w:rsid w:val="00623671"/>
    <w:rsid w:val="006237EA"/>
    <w:rsid w:val="00623868"/>
    <w:rsid w:val="006239BE"/>
    <w:rsid w:val="006239FD"/>
    <w:rsid w:val="00623ADE"/>
    <w:rsid w:val="00623C69"/>
    <w:rsid w:val="00623CC1"/>
    <w:rsid w:val="00623D27"/>
    <w:rsid w:val="00623D8F"/>
    <w:rsid w:val="00623DFF"/>
    <w:rsid w:val="00623E0F"/>
    <w:rsid w:val="00623E60"/>
    <w:rsid w:val="00623E80"/>
    <w:rsid w:val="00623E97"/>
    <w:rsid w:val="00623FF6"/>
    <w:rsid w:val="0062420D"/>
    <w:rsid w:val="00624232"/>
    <w:rsid w:val="00624242"/>
    <w:rsid w:val="00624363"/>
    <w:rsid w:val="006243A3"/>
    <w:rsid w:val="0062445A"/>
    <w:rsid w:val="006244CE"/>
    <w:rsid w:val="00624704"/>
    <w:rsid w:val="0062471A"/>
    <w:rsid w:val="0062481C"/>
    <w:rsid w:val="00624993"/>
    <w:rsid w:val="0062499D"/>
    <w:rsid w:val="00624ACE"/>
    <w:rsid w:val="00624B09"/>
    <w:rsid w:val="00624B52"/>
    <w:rsid w:val="00624B83"/>
    <w:rsid w:val="00624DC4"/>
    <w:rsid w:val="0062508F"/>
    <w:rsid w:val="006250EC"/>
    <w:rsid w:val="0062519B"/>
    <w:rsid w:val="0062524C"/>
    <w:rsid w:val="00625350"/>
    <w:rsid w:val="00625447"/>
    <w:rsid w:val="0062564B"/>
    <w:rsid w:val="0062574E"/>
    <w:rsid w:val="00625905"/>
    <w:rsid w:val="0062591F"/>
    <w:rsid w:val="00625A94"/>
    <w:rsid w:val="00625B28"/>
    <w:rsid w:val="00625B70"/>
    <w:rsid w:val="00625BC8"/>
    <w:rsid w:val="00625CF0"/>
    <w:rsid w:val="00625D25"/>
    <w:rsid w:val="00625E49"/>
    <w:rsid w:val="00625F6A"/>
    <w:rsid w:val="00625F6B"/>
    <w:rsid w:val="0062611B"/>
    <w:rsid w:val="0062613D"/>
    <w:rsid w:val="006261D9"/>
    <w:rsid w:val="00626288"/>
    <w:rsid w:val="00626392"/>
    <w:rsid w:val="006263D8"/>
    <w:rsid w:val="00626462"/>
    <w:rsid w:val="0062655E"/>
    <w:rsid w:val="006265CA"/>
    <w:rsid w:val="00626661"/>
    <w:rsid w:val="006267E1"/>
    <w:rsid w:val="006267E7"/>
    <w:rsid w:val="00626883"/>
    <w:rsid w:val="00626887"/>
    <w:rsid w:val="0062690B"/>
    <w:rsid w:val="00626919"/>
    <w:rsid w:val="00626B18"/>
    <w:rsid w:val="00626B48"/>
    <w:rsid w:val="00626BC7"/>
    <w:rsid w:val="00626CA8"/>
    <w:rsid w:val="00626CE7"/>
    <w:rsid w:val="00626E2E"/>
    <w:rsid w:val="006271DA"/>
    <w:rsid w:val="0062732F"/>
    <w:rsid w:val="00627448"/>
    <w:rsid w:val="0062748A"/>
    <w:rsid w:val="0062748E"/>
    <w:rsid w:val="00627490"/>
    <w:rsid w:val="0062767E"/>
    <w:rsid w:val="006276D7"/>
    <w:rsid w:val="00627702"/>
    <w:rsid w:val="006277D7"/>
    <w:rsid w:val="0062791E"/>
    <w:rsid w:val="0062799E"/>
    <w:rsid w:val="00627A48"/>
    <w:rsid w:val="00627C38"/>
    <w:rsid w:val="00627C5D"/>
    <w:rsid w:val="00627DAF"/>
    <w:rsid w:val="00627DB4"/>
    <w:rsid w:val="00627E4D"/>
    <w:rsid w:val="00630056"/>
    <w:rsid w:val="0063009E"/>
    <w:rsid w:val="006300C2"/>
    <w:rsid w:val="0063019F"/>
    <w:rsid w:val="006301DC"/>
    <w:rsid w:val="006302F7"/>
    <w:rsid w:val="006303C8"/>
    <w:rsid w:val="0063052A"/>
    <w:rsid w:val="006305B6"/>
    <w:rsid w:val="006305D5"/>
    <w:rsid w:val="006306D3"/>
    <w:rsid w:val="00630779"/>
    <w:rsid w:val="00630794"/>
    <w:rsid w:val="0063082A"/>
    <w:rsid w:val="0063092D"/>
    <w:rsid w:val="00630932"/>
    <w:rsid w:val="00630A39"/>
    <w:rsid w:val="00630A87"/>
    <w:rsid w:val="00630AB1"/>
    <w:rsid w:val="00630B35"/>
    <w:rsid w:val="00630BBE"/>
    <w:rsid w:val="00630DCD"/>
    <w:rsid w:val="00630DF1"/>
    <w:rsid w:val="00630E0A"/>
    <w:rsid w:val="00630F8F"/>
    <w:rsid w:val="0063122C"/>
    <w:rsid w:val="00631284"/>
    <w:rsid w:val="00631298"/>
    <w:rsid w:val="00631410"/>
    <w:rsid w:val="006314D9"/>
    <w:rsid w:val="00631578"/>
    <w:rsid w:val="00631763"/>
    <w:rsid w:val="0063180D"/>
    <w:rsid w:val="006319A8"/>
    <w:rsid w:val="00631A4C"/>
    <w:rsid w:val="00631A7E"/>
    <w:rsid w:val="00631B0F"/>
    <w:rsid w:val="00631B7E"/>
    <w:rsid w:val="00631BC0"/>
    <w:rsid w:val="00631C0B"/>
    <w:rsid w:val="00631CAD"/>
    <w:rsid w:val="00631D68"/>
    <w:rsid w:val="00631DAC"/>
    <w:rsid w:val="00631DF4"/>
    <w:rsid w:val="00631E65"/>
    <w:rsid w:val="00631F94"/>
    <w:rsid w:val="00632003"/>
    <w:rsid w:val="006320AB"/>
    <w:rsid w:val="006321F6"/>
    <w:rsid w:val="00632483"/>
    <w:rsid w:val="006325E9"/>
    <w:rsid w:val="0063275D"/>
    <w:rsid w:val="006327CC"/>
    <w:rsid w:val="006327CD"/>
    <w:rsid w:val="006328EC"/>
    <w:rsid w:val="006328F8"/>
    <w:rsid w:val="00632A05"/>
    <w:rsid w:val="00632A93"/>
    <w:rsid w:val="00632AA9"/>
    <w:rsid w:val="00632CAB"/>
    <w:rsid w:val="00632CAC"/>
    <w:rsid w:val="00632D56"/>
    <w:rsid w:val="00632E7A"/>
    <w:rsid w:val="00632F08"/>
    <w:rsid w:val="00632F79"/>
    <w:rsid w:val="00632FBA"/>
    <w:rsid w:val="00633010"/>
    <w:rsid w:val="006330CE"/>
    <w:rsid w:val="006330DE"/>
    <w:rsid w:val="0063321C"/>
    <w:rsid w:val="0063358E"/>
    <w:rsid w:val="00633593"/>
    <w:rsid w:val="00633759"/>
    <w:rsid w:val="006337C1"/>
    <w:rsid w:val="006337E4"/>
    <w:rsid w:val="00633804"/>
    <w:rsid w:val="0063383D"/>
    <w:rsid w:val="0063389A"/>
    <w:rsid w:val="0063392E"/>
    <w:rsid w:val="00633B98"/>
    <w:rsid w:val="00633E52"/>
    <w:rsid w:val="00633E61"/>
    <w:rsid w:val="00633E7A"/>
    <w:rsid w:val="00633FE6"/>
    <w:rsid w:val="006340FB"/>
    <w:rsid w:val="00634175"/>
    <w:rsid w:val="006342F6"/>
    <w:rsid w:val="00634482"/>
    <w:rsid w:val="006345C7"/>
    <w:rsid w:val="006346C4"/>
    <w:rsid w:val="00634760"/>
    <w:rsid w:val="006348C2"/>
    <w:rsid w:val="006348D9"/>
    <w:rsid w:val="006349D6"/>
    <w:rsid w:val="00634BA4"/>
    <w:rsid w:val="00634BE5"/>
    <w:rsid w:val="00634C4F"/>
    <w:rsid w:val="00634D48"/>
    <w:rsid w:val="00634DEA"/>
    <w:rsid w:val="00634E32"/>
    <w:rsid w:val="00634E8A"/>
    <w:rsid w:val="006351B1"/>
    <w:rsid w:val="006351DC"/>
    <w:rsid w:val="006354DC"/>
    <w:rsid w:val="006354E8"/>
    <w:rsid w:val="006354EF"/>
    <w:rsid w:val="006354F1"/>
    <w:rsid w:val="00635582"/>
    <w:rsid w:val="006355E0"/>
    <w:rsid w:val="006355E2"/>
    <w:rsid w:val="006355FF"/>
    <w:rsid w:val="00635665"/>
    <w:rsid w:val="00635720"/>
    <w:rsid w:val="006358C9"/>
    <w:rsid w:val="006358E1"/>
    <w:rsid w:val="0063596B"/>
    <w:rsid w:val="0063597C"/>
    <w:rsid w:val="00635A90"/>
    <w:rsid w:val="00635BBE"/>
    <w:rsid w:val="00635BF5"/>
    <w:rsid w:val="00635C55"/>
    <w:rsid w:val="00635C7F"/>
    <w:rsid w:val="00635C9F"/>
    <w:rsid w:val="00635DBA"/>
    <w:rsid w:val="00635FFA"/>
    <w:rsid w:val="006360D3"/>
    <w:rsid w:val="0063629B"/>
    <w:rsid w:val="006362C2"/>
    <w:rsid w:val="006363F1"/>
    <w:rsid w:val="006364AA"/>
    <w:rsid w:val="00636610"/>
    <w:rsid w:val="00636678"/>
    <w:rsid w:val="006366FE"/>
    <w:rsid w:val="006366FF"/>
    <w:rsid w:val="0063671D"/>
    <w:rsid w:val="00636754"/>
    <w:rsid w:val="0063679B"/>
    <w:rsid w:val="006367B5"/>
    <w:rsid w:val="0063683F"/>
    <w:rsid w:val="0063688A"/>
    <w:rsid w:val="006368E8"/>
    <w:rsid w:val="00636C27"/>
    <w:rsid w:val="00636EF2"/>
    <w:rsid w:val="00636F1B"/>
    <w:rsid w:val="0063703E"/>
    <w:rsid w:val="00637059"/>
    <w:rsid w:val="00637086"/>
    <w:rsid w:val="006371C7"/>
    <w:rsid w:val="006371E3"/>
    <w:rsid w:val="00637330"/>
    <w:rsid w:val="00637375"/>
    <w:rsid w:val="0063745A"/>
    <w:rsid w:val="00637494"/>
    <w:rsid w:val="00637826"/>
    <w:rsid w:val="00637AEF"/>
    <w:rsid w:val="00637C57"/>
    <w:rsid w:val="00637E23"/>
    <w:rsid w:val="00637E7C"/>
    <w:rsid w:val="00637E84"/>
    <w:rsid w:val="00637F49"/>
    <w:rsid w:val="00640094"/>
    <w:rsid w:val="006400E0"/>
    <w:rsid w:val="006401F0"/>
    <w:rsid w:val="0064020B"/>
    <w:rsid w:val="006402A8"/>
    <w:rsid w:val="006402B9"/>
    <w:rsid w:val="00640339"/>
    <w:rsid w:val="0064039A"/>
    <w:rsid w:val="00640506"/>
    <w:rsid w:val="006405F0"/>
    <w:rsid w:val="006406B5"/>
    <w:rsid w:val="00640877"/>
    <w:rsid w:val="006408AC"/>
    <w:rsid w:val="006408BA"/>
    <w:rsid w:val="006408F1"/>
    <w:rsid w:val="00640924"/>
    <w:rsid w:val="00640B3F"/>
    <w:rsid w:val="00640BE1"/>
    <w:rsid w:val="00640C4D"/>
    <w:rsid w:val="00640C88"/>
    <w:rsid w:val="00640D0C"/>
    <w:rsid w:val="00640DC4"/>
    <w:rsid w:val="00640DC6"/>
    <w:rsid w:val="0064101A"/>
    <w:rsid w:val="00641108"/>
    <w:rsid w:val="006415E0"/>
    <w:rsid w:val="006418A2"/>
    <w:rsid w:val="00641935"/>
    <w:rsid w:val="00641A26"/>
    <w:rsid w:val="00641A46"/>
    <w:rsid w:val="00641B22"/>
    <w:rsid w:val="00641C08"/>
    <w:rsid w:val="00641C18"/>
    <w:rsid w:val="00641D70"/>
    <w:rsid w:val="00641EA3"/>
    <w:rsid w:val="00641FD4"/>
    <w:rsid w:val="00641FDF"/>
    <w:rsid w:val="0064205B"/>
    <w:rsid w:val="0064211F"/>
    <w:rsid w:val="00642172"/>
    <w:rsid w:val="006421CA"/>
    <w:rsid w:val="00642236"/>
    <w:rsid w:val="006422FD"/>
    <w:rsid w:val="006424B3"/>
    <w:rsid w:val="00642592"/>
    <w:rsid w:val="00642635"/>
    <w:rsid w:val="006426C7"/>
    <w:rsid w:val="00642847"/>
    <w:rsid w:val="0064287A"/>
    <w:rsid w:val="00642902"/>
    <w:rsid w:val="00642933"/>
    <w:rsid w:val="00642A48"/>
    <w:rsid w:val="00642BAD"/>
    <w:rsid w:val="00642D69"/>
    <w:rsid w:val="00642F63"/>
    <w:rsid w:val="0064301D"/>
    <w:rsid w:val="00643289"/>
    <w:rsid w:val="006432EF"/>
    <w:rsid w:val="0064331E"/>
    <w:rsid w:val="00643363"/>
    <w:rsid w:val="0064339C"/>
    <w:rsid w:val="006433FC"/>
    <w:rsid w:val="00643559"/>
    <w:rsid w:val="006435C1"/>
    <w:rsid w:val="00643611"/>
    <w:rsid w:val="00643678"/>
    <w:rsid w:val="006436CD"/>
    <w:rsid w:val="006437CD"/>
    <w:rsid w:val="006438B0"/>
    <w:rsid w:val="00643982"/>
    <w:rsid w:val="00643D92"/>
    <w:rsid w:val="0064403E"/>
    <w:rsid w:val="0064428B"/>
    <w:rsid w:val="006442CD"/>
    <w:rsid w:val="006442CE"/>
    <w:rsid w:val="0064438F"/>
    <w:rsid w:val="0064443D"/>
    <w:rsid w:val="006444BA"/>
    <w:rsid w:val="0064456C"/>
    <w:rsid w:val="0064481B"/>
    <w:rsid w:val="006448A5"/>
    <w:rsid w:val="006448DF"/>
    <w:rsid w:val="006449AE"/>
    <w:rsid w:val="00644A7B"/>
    <w:rsid w:val="00644C00"/>
    <w:rsid w:val="00644D35"/>
    <w:rsid w:val="00644DAF"/>
    <w:rsid w:val="00644F3A"/>
    <w:rsid w:val="00644F41"/>
    <w:rsid w:val="00645165"/>
    <w:rsid w:val="006451B7"/>
    <w:rsid w:val="006451D0"/>
    <w:rsid w:val="00645208"/>
    <w:rsid w:val="0064520E"/>
    <w:rsid w:val="006453BE"/>
    <w:rsid w:val="006453CF"/>
    <w:rsid w:val="00645445"/>
    <w:rsid w:val="00645535"/>
    <w:rsid w:val="0064558E"/>
    <w:rsid w:val="0064570F"/>
    <w:rsid w:val="0064579D"/>
    <w:rsid w:val="00645817"/>
    <w:rsid w:val="00645908"/>
    <w:rsid w:val="006459AE"/>
    <w:rsid w:val="006459C4"/>
    <w:rsid w:val="00645A20"/>
    <w:rsid w:val="00645A66"/>
    <w:rsid w:val="00645A71"/>
    <w:rsid w:val="00645BE0"/>
    <w:rsid w:val="00645D83"/>
    <w:rsid w:val="00645FCE"/>
    <w:rsid w:val="00645FE8"/>
    <w:rsid w:val="00646010"/>
    <w:rsid w:val="006461CE"/>
    <w:rsid w:val="006463C7"/>
    <w:rsid w:val="00646504"/>
    <w:rsid w:val="00646608"/>
    <w:rsid w:val="0064668B"/>
    <w:rsid w:val="006466C3"/>
    <w:rsid w:val="006466E0"/>
    <w:rsid w:val="006466E1"/>
    <w:rsid w:val="006466E9"/>
    <w:rsid w:val="00646787"/>
    <w:rsid w:val="006468B3"/>
    <w:rsid w:val="006468FB"/>
    <w:rsid w:val="00646906"/>
    <w:rsid w:val="00646945"/>
    <w:rsid w:val="00646B27"/>
    <w:rsid w:val="00646B4B"/>
    <w:rsid w:val="00646CC5"/>
    <w:rsid w:val="00646D36"/>
    <w:rsid w:val="00646DE3"/>
    <w:rsid w:val="00646E36"/>
    <w:rsid w:val="00646E43"/>
    <w:rsid w:val="00646F10"/>
    <w:rsid w:val="00646FDD"/>
    <w:rsid w:val="00647094"/>
    <w:rsid w:val="00647253"/>
    <w:rsid w:val="0064745C"/>
    <w:rsid w:val="00647540"/>
    <w:rsid w:val="0064764A"/>
    <w:rsid w:val="006476E4"/>
    <w:rsid w:val="0064771B"/>
    <w:rsid w:val="0064774F"/>
    <w:rsid w:val="00647753"/>
    <w:rsid w:val="006477B8"/>
    <w:rsid w:val="00647904"/>
    <w:rsid w:val="0064790F"/>
    <w:rsid w:val="00647962"/>
    <w:rsid w:val="00647967"/>
    <w:rsid w:val="00647C2B"/>
    <w:rsid w:val="00647D19"/>
    <w:rsid w:val="00647D47"/>
    <w:rsid w:val="00647D59"/>
    <w:rsid w:val="00647DD6"/>
    <w:rsid w:val="00647DE5"/>
    <w:rsid w:val="00647FC9"/>
    <w:rsid w:val="00647FDD"/>
    <w:rsid w:val="00650361"/>
    <w:rsid w:val="006504F1"/>
    <w:rsid w:val="00650580"/>
    <w:rsid w:val="0065063B"/>
    <w:rsid w:val="00650973"/>
    <w:rsid w:val="006509C9"/>
    <w:rsid w:val="00650A08"/>
    <w:rsid w:val="00650AFB"/>
    <w:rsid w:val="00650BDB"/>
    <w:rsid w:val="00650D80"/>
    <w:rsid w:val="00650D8E"/>
    <w:rsid w:val="00650D9F"/>
    <w:rsid w:val="00650E2E"/>
    <w:rsid w:val="00650F10"/>
    <w:rsid w:val="00651179"/>
    <w:rsid w:val="006511B6"/>
    <w:rsid w:val="0065120C"/>
    <w:rsid w:val="0065129C"/>
    <w:rsid w:val="006512BC"/>
    <w:rsid w:val="0065130D"/>
    <w:rsid w:val="00651384"/>
    <w:rsid w:val="0065150F"/>
    <w:rsid w:val="0065152E"/>
    <w:rsid w:val="00651543"/>
    <w:rsid w:val="006515F6"/>
    <w:rsid w:val="006516E6"/>
    <w:rsid w:val="00651810"/>
    <w:rsid w:val="006518D9"/>
    <w:rsid w:val="0065192F"/>
    <w:rsid w:val="00651B60"/>
    <w:rsid w:val="00651C98"/>
    <w:rsid w:val="00651CEE"/>
    <w:rsid w:val="00651E8B"/>
    <w:rsid w:val="00651EE1"/>
    <w:rsid w:val="00651F27"/>
    <w:rsid w:val="00652126"/>
    <w:rsid w:val="00652198"/>
    <w:rsid w:val="00652273"/>
    <w:rsid w:val="006522BF"/>
    <w:rsid w:val="00652351"/>
    <w:rsid w:val="00652360"/>
    <w:rsid w:val="0065239C"/>
    <w:rsid w:val="006523CB"/>
    <w:rsid w:val="00652537"/>
    <w:rsid w:val="00652561"/>
    <w:rsid w:val="00652575"/>
    <w:rsid w:val="006526BB"/>
    <w:rsid w:val="00652767"/>
    <w:rsid w:val="00652841"/>
    <w:rsid w:val="006528B5"/>
    <w:rsid w:val="00652A3C"/>
    <w:rsid w:val="00652B0A"/>
    <w:rsid w:val="00652B3E"/>
    <w:rsid w:val="00652B4F"/>
    <w:rsid w:val="00652CAD"/>
    <w:rsid w:val="00652D11"/>
    <w:rsid w:val="00652EEC"/>
    <w:rsid w:val="00652F8C"/>
    <w:rsid w:val="00653084"/>
    <w:rsid w:val="0065308E"/>
    <w:rsid w:val="006530A9"/>
    <w:rsid w:val="0065316F"/>
    <w:rsid w:val="0065321C"/>
    <w:rsid w:val="00653277"/>
    <w:rsid w:val="00653299"/>
    <w:rsid w:val="006532A8"/>
    <w:rsid w:val="00653339"/>
    <w:rsid w:val="00653546"/>
    <w:rsid w:val="00653614"/>
    <w:rsid w:val="0065362C"/>
    <w:rsid w:val="00653724"/>
    <w:rsid w:val="0065374D"/>
    <w:rsid w:val="006538BE"/>
    <w:rsid w:val="00653A31"/>
    <w:rsid w:val="00653AB0"/>
    <w:rsid w:val="00653C2E"/>
    <w:rsid w:val="00653CE3"/>
    <w:rsid w:val="00653E39"/>
    <w:rsid w:val="00654087"/>
    <w:rsid w:val="0065411E"/>
    <w:rsid w:val="0065423E"/>
    <w:rsid w:val="0065427A"/>
    <w:rsid w:val="0065430B"/>
    <w:rsid w:val="00654389"/>
    <w:rsid w:val="006543AE"/>
    <w:rsid w:val="006543F2"/>
    <w:rsid w:val="00654438"/>
    <w:rsid w:val="00654482"/>
    <w:rsid w:val="00654588"/>
    <w:rsid w:val="0065473F"/>
    <w:rsid w:val="00654937"/>
    <w:rsid w:val="00654A10"/>
    <w:rsid w:val="00654AAC"/>
    <w:rsid w:val="00654B00"/>
    <w:rsid w:val="00654B62"/>
    <w:rsid w:val="00654B95"/>
    <w:rsid w:val="00654BAC"/>
    <w:rsid w:val="00654BFE"/>
    <w:rsid w:val="00654CF9"/>
    <w:rsid w:val="00654DBB"/>
    <w:rsid w:val="00654E5D"/>
    <w:rsid w:val="00654FA9"/>
    <w:rsid w:val="00655226"/>
    <w:rsid w:val="0065547C"/>
    <w:rsid w:val="006554AE"/>
    <w:rsid w:val="006554D3"/>
    <w:rsid w:val="006555E6"/>
    <w:rsid w:val="006556B4"/>
    <w:rsid w:val="006556ED"/>
    <w:rsid w:val="00655731"/>
    <w:rsid w:val="00655910"/>
    <w:rsid w:val="00655A14"/>
    <w:rsid w:val="00655A44"/>
    <w:rsid w:val="00655B23"/>
    <w:rsid w:val="00655C1D"/>
    <w:rsid w:val="00655C63"/>
    <w:rsid w:val="00655D0A"/>
    <w:rsid w:val="00655D2E"/>
    <w:rsid w:val="00655D76"/>
    <w:rsid w:val="00655E12"/>
    <w:rsid w:val="00655E31"/>
    <w:rsid w:val="00655F20"/>
    <w:rsid w:val="0065604B"/>
    <w:rsid w:val="00656076"/>
    <w:rsid w:val="006560FD"/>
    <w:rsid w:val="0065621B"/>
    <w:rsid w:val="006562AC"/>
    <w:rsid w:val="006563A7"/>
    <w:rsid w:val="00656402"/>
    <w:rsid w:val="0065642D"/>
    <w:rsid w:val="00656433"/>
    <w:rsid w:val="006565A3"/>
    <w:rsid w:val="006565D7"/>
    <w:rsid w:val="0065661B"/>
    <w:rsid w:val="0065663B"/>
    <w:rsid w:val="0065691B"/>
    <w:rsid w:val="00656923"/>
    <w:rsid w:val="0065694E"/>
    <w:rsid w:val="00656999"/>
    <w:rsid w:val="00656C47"/>
    <w:rsid w:val="00656CF8"/>
    <w:rsid w:val="00656E39"/>
    <w:rsid w:val="006570E1"/>
    <w:rsid w:val="0065725B"/>
    <w:rsid w:val="0065732E"/>
    <w:rsid w:val="006573D4"/>
    <w:rsid w:val="006573E0"/>
    <w:rsid w:val="006573EA"/>
    <w:rsid w:val="00657653"/>
    <w:rsid w:val="006576E1"/>
    <w:rsid w:val="00657742"/>
    <w:rsid w:val="0065786C"/>
    <w:rsid w:val="00657905"/>
    <w:rsid w:val="0065792E"/>
    <w:rsid w:val="00657954"/>
    <w:rsid w:val="00657A11"/>
    <w:rsid w:val="00657AA2"/>
    <w:rsid w:val="00657DBB"/>
    <w:rsid w:val="00657E16"/>
    <w:rsid w:val="00657F0D"/>
    <w:rsid w:val="00657FF8"/>
    <w:rsid w:val="006600DE"/>
    <w:rsid w:val="00660204"/>
    <w:rsid w:val="00660222"/>
    <w:rsid w:val="0066022E"/>
    <w:rsid w:val="00660239"/>
    <w:rsid w:val="00660277"/>
    <w:rsid w:val="006602DD"/>
    <w:rsid w:val="00660322"/>
    <w:rsid w:val="006605BC"/>
    <w:rsid w:val="0066075E"/>
    <w:rsid w:val="0066087F"/>
    <w:rsid w:val="00660928"/>
    <w:rsid w:val="00660AF4"/>
    <w:rsid w:val="00660AFF"/>
    <w:rsid w:val="00660C14"/>
    <w:rsid w:val="00660D32"/>
    <w:rsid w:val="00660D87"/>
    <w:rsid w:val="00660E2F"/>
    <w:rsid w:val="00660EAD"/>
    <w:rsid w:val="00660F63"/>
    <w:rsid w:val="00660FE8"/>
    <w:rsid w:val="00661054"/>
    <w:rsid w:val="00661226"/>
    <w:rsid w:val="00661279"/>
    <w:rsid w:val="0066145A"/>
    <w:rsid w:val="0066153F"/>
    <w:rsid w:val="006615C3"/>
    <w:rsid w:val="00661887"/>
    <w:rsid w:val="006618EE"/>
    <w:rsid w:val="006619EB"/>
    <w:rsid w:val="00661AEB"/>
    <w:rsid w:val="00661B2F"/>
    <w:rsid w:val="00661B78"/>
    <w:rsid w:val="00661BE0"/>
    <w:rsid w:val="00661BF0"/>
    <w:rsid w:val="00661C08"/>
    <w:rsid w:val="00661D51"/>
    <w:rsid w:val="00661E5F"/>
    <w:rsid w:val="00661E67"/>
    <w:rsid w:val="00661E9C"/>
    <w:rsid w:val="00661F99"/>
    <w:rsid w:val="0066202A"/>
    <w:rsid w:val="00662121"/>
    <w:rsid w:val="00662122"/>
    <w:rsid w:val="00662252"/>
    <w:rsid w:val="00662307"/>
    <w:rsid w:val="00662636"/>
    <w:rsid w:val="0066265E"/>
    <w:rsid w:val="006627CC"/>
    <w:rsid w:val="006628C1"/>
    <w:rsid w:val="00662908"/>
    <w:rsid w:val="0066294D"/>
    <w:rsid w:val="00662BFB"/>
    <w:rsid w:val="00663032"/>
    <w:rsid w:val="006630AA"/>
    <w:rsid w:val="0066328B"/>
    <w:rsid w:val="006632A9"/>
    <w:rsid w:val="006632D0"/>
    <w:rsid w:val="00663373"/>
    <w:rsid w:val="00663374"/>
    <w:rsid w:val="00663453"/>
    <w:rsid w:val="006634BA"/>
    <w:rsid w:val="006634E9"/>
    <w:rsid w:val="00663562"/>
    <w:rsid w:val="00663585"/>
    <w:rsid w:val="0066359E"/>
    <w:rsid w:val="00663603"/>
    <w:rsid w:val="006638F6"/>
    <w:rsid w:val="00663912"/>
    <w:rsid w:val="00663921"/>
    <w:rsid w:val="00663928"/>
    <w:rsid w:val="00663A00"/>
    <w:rsid w:val="00663A4C"/>
    <w:rsid w:val="00663B71"/>
    <w:rsid w:val="00663BD1"/>
    <w:rsid w:val="00663C0B"/>
    <w:rsid w:val="00663DAD"/>
    <w:rsid w:val="00663DCC"/>
    <w:rsid w:val="00663DFB"/>
    <w:rsid w:val="00663FBB"/>
    <w:rsid w:val="00663FD0"/>
    <w:rsid w:val="0066421D"/>
    <w:rsid w:val="00664293"/>
    <w:rsid w:val="006642DA"/>
    <w:rsid w:val="006645C7"/>
    <w:rsid w:val="0066460B"/>
    <w:rsid w:val="006647F7"/>
    <w:rsid w:val="00664875"/>
    <w:rsid w:val="0066495F"/>
    <w:rsid w:val="00664A98"/>
    <w:rsid w:val="00664BD9"/>
    <w:rsid w:val="00664CD6"/>
    <w:rsid w:val="00664D6B"/>
    <w:rsid w:val="00664D93"/>
    <w:rsid w:val="00664E81"/>
    <w:rsid w:val="00665096"/>
    <w:rsid w:val="006651E1"/>
    <w:rsid w:val="0066523F"/>
    <w:rsid w:val="00665286"/>
    <w:rsid w:val="0066528E"/>
    <w:rsid w:val="00665394"/>
    <w:rsid w:val="00665476"/>
    <w:rsid w:val="0066555B"/>
    <w:rsid w:val="00665620"/>
    <w:rsid w:val="006657D5"/>
    <w:rsid w:val="006657FF"/>
    <w:rsid w:val="00665892"/>
    <w:rsid w:val="0066596C"/>
    <w:rsid w:val="00665A02"/>
    <w:rsid w:val="00665B9B"/>
    <w:rsid w:val="00665D4E"/>
    <w:rsid w:val="00665DEE"/>
    <w:rsid w:val="00665E20"/>
    <w:rsid w:val="00665FA0"/>
    <w:rsid w:val="00665FC2"/>
    <w:rsid w:val="00666146"/>
    <w:rsid w:val="00666263"/>
    <w:rsid w:val="006662B2"/>
    <w:rsid w:val="00666521"/>
    <w:rsid w:val="00666574"/>
    <w:rsid w:val="0066663F"/>
    <w:rsid w:val="0066667E"/>
    <w:rsid w:val="006666D9"/>
    <w:rsid w:val="0066679E"/>
    <w:rsid w:val="0066685B"/>
    <w:rsid w:val="00666900"/>
    <w:rsid w:val="0066691E"/>
    <w:rsid w:val="00666969"/>
    <w:rsid w:val="006669CF"/>
    <w:rsid w:val="00666BAE"/>
    <w:rsid w:val="00666C11"/>
    <w:rsid w:val="00666CD1"/>
    <w:rsid w:val="00666FF6"/>
    <w:rsid w:val="0066703D"/>
    <w:rsid w:val="00667042"/>
    <w:rsid w:val="00667139"/>
    <w:rsid w:val="00667148"/>
    <w:rsid w:val="00667225"/>
    <w:rsid w:val="00667286"/>
    <w:rsid w:val="006672F4"/>
    <w:rsid w:val="006675C5"/>
    <w:rsid w:val="00667632"/>
    <w:rsid w:val="00667644"/>
    <w:rsid w:val="00667715"/>
    <w:rsid w:val="0066772E"/>
    <w:rsid w:val="00667792"/>
    <w:rsid w:val="00667859"/>
    <w:rsid w:val="00667A11"/>
    <w:rsid w:val="00667AD5"/>
    <w:rsid w:val="00667AE4"/>
    <w:rsid w:val="00667B75"/>
    <w:rsid w:val="00667BC0"/>
    <w:rsid w:val="00667C91"/>
    <w:rsid w:val="00667CD9"/>
    <w:rsid w:val="00667DBF"/>
    <w:rsid w:val="00667E6F"/>
    <w:rsid w:val="00667ECA"/>
    <w:rsid w:val="00667F4C"/>
    <w:rsid w:val="00667FA3"/>
    <w:rsid w:val="0067013F"/>
    <w:rsid w:val="0067016E"/>
    <w:rsid w:val="006702E4"/>
    <w:rsid w:val="00670393"/>
    <w:rsid w:val="0067045D"/>
    <w:rsid w:val="00670692"/>
    <w:rsid w:val="006709C6"/>
    <w:rsid w:val="00670D99"/>
    <w:rsid w:val="00670DBE"/>
    <w:rsid w:val="00670DDB"/>
    <w:rsid w:val="00670DF1"/>
    <w:rsid w:val="00670E2B"/>
    <w:rsid w:val="006710F1"/>
    <w:rsid w:val="0067113A"/>
    <w:rsid w:val="006711A3"/>
    <w:rsid w:val="0067124F"/>
    <w:rsid w:val="006712AC"/>
    <w:rsid w:val="006713B0"/>
    <w:rsid w:val="006713D5"/>
    <w:rsid w:val="00671450"/>
    <w:rsid w:val="00671807"/>
    <w:rsid w:val="0067180F"/>
    <w:rsid w:val="006718D8"/>
    <w:rsid w:val="00671986"/>
    <w:rsid w:val="00671A77"/>
    <w:rsid w:val="00671D3B"/>
    <w:rsid w:val="00671DAE"/>
    <w:rsid w:val="00671DCA"/>
    <w:rsid w:val="00671E3A"/>
    <w:rsid w:val="00671E3C"/>
    <w:rsid w:val="00671EE3"/>
    <w:rsid w:val="00671F30"/>
    <w:rsid w:val="00671F91"/>
    <w:rsid w:val="0067201A"/>
    <w:rsid w:val="006721FD"/>
    <w:rsid w:val="006722A6"/>
    <w:rsid w:val="0067234C"/>
    <w:rsid w:val="006725F9"/>
    <w:rsid w:val="006728B3"/>
    <w:rsid w:val="00672951"/>
    <w:rsid w:val="0067299F"/>
    <w:rsid w:val="00672C20"/>
    <w:rsid w:val="00672CDF"/>
    <w:rsid w:val="00672D57"/>
    <w:rsid w:val="00672DB9"/>
    <w:rsid w:val="00672DDD"/>
    <w:rsid w:val="00672E12"/>
    <w:rsid w:val="00672FF6"/>
    <w:rsid w:val="006730C4"/>
    <w:rsid w:val="006730D5"/>
    <w:rsid w:val="0067339F"/>
    <w:rsid w:val="00673408"/>
    <w:rsid w:val="0067343C"/>
    <w:rsid w:val="006734BB"/>
    <w:rsid w:val="0067357E"/>
    <w:rsid w:val="00673650"/>
    <w:rsid w:val="00673783"/>
    <w:rsid w:val="006737C4"/>
    <w:rsid w:val="006738B6"/>
    <w:rsid w:val="0067390E"/>
    <w:rsid w:val="00673ABB"/>
    <w:rsid w:val="00673B6E"/>
    <w:rsid w:val="00673C8F"/>
    <w:rsid w:val="00673C94"/>
    <w:rsid w:val="00673ECA"/>
    <w:rsid w:val="00673F67"/>
    <w:rsid w:val="00673F73"/>
    <w:rsid w:val="006740B7"/>
    <w:rsid w:val="00674184"/>
    <w:rsid w:val="0067419E"/>
    <w:rsid w:val="006741BF"/>
    <w:rsid w:val="006742AD"/>
    <w:rsid w:val="006742D7"/>
    <w:rsid w:val="006743ED"/>
    <w:rsid w:val="006744AA"/>
    <w:rsid w:val="006744DC"/>
    <w:rsid w:val="00674528"/>
    <w:rsid w:val="006747A5"/>
    <w:rsid w:val="006747B2"/>
    <w:rsid w:val="006749C1"/>
    <w:rsid w:val="00674C19"/>
    <w:rsid w:val="00674C99"/>
    <w:rsid w:val="00674CDB"/>
    <w:rsid w:val="00674EAE"/>
    <w:rsid w:val="0067505D"/>
    <w:rsid w:val="0067507B"/>
    <w:rsid w:val="006750A5"/>
    <w:rsid w:val="006752C1"/>
    <w:rsid w:val="00675450"/>
    <w:rsid w:val="00675620"/>
    <w:rsid w:val="00675906"/>
    <w:rsid w:val="00675A87"/>
    <w:rsid w:val="00675AA6"/>
    <w:rsid w:val="00675B98"/>
    <w:rsid w:val="00675BD6"/>
    <w:rsid w:val="00675D18"/>
    <w:rsid w:val="00675F22"/>
    <w:rsid w:val="00675FEC"/>
    <w:rsid w:val="006761F0"/>
    <w:rsid w:val="00676278"/>
    <w:rsid w:val="00676291"/>
    <w:rsid w:val="006763AA"/>
    <w:rsid w:val="00676613"/>
    <w:rsid w:val="006766F1"/>
    <w:rsid w:val="006766FE"/>
    <w:rsid w:val="00676817"/>
    <w:rsid w:val="006768B8"/>
    <w:rsid w:val="006768CC"/>
    <w:rsid w:val="0067697A"/>
    <w:rsid w:val="0067697D"/>
    <w:rsid w:val="00676983"/>
    <w:rsid w:val="00676991"/>
    <w:rsid w:val="00676B1B"/>
    <w:rsid w:val="00676B5B"/>
    <w:rsid w:val="00676C24"/>
    <w:rsid w:val="00676C9E"/>
    <w:rsid w:val="00676D0E"/>
    <w:rsid w:val="00676E8E"/>
    <w:rsid w:val="00676F71"/>
    <w:rsid w:val="006771AD"/>
    <w:rsid w:val="00677274"/>
    <w:rsid w:val="0067742B"/>
    <w:rsid w:val="00677496"/>
    <w:rsid w:val="00677524"/>
    <w:rsid w:val="00677555"/>
    <w:rsid w:val="00677779"/>
    <w:rsid w:val="006777CA"/>
    <w:rsid w:val="006779ED"/>
    <w:rsid w:val="00677A42"/>
    <w:rsid w:val="00677B26"/>
    <w:rsid w:val="00677B46"/>
    <w:rsid w:val="00677B94"/>
    <w:rsid w:val="00677BD2"/>
    <w:rsid w:val="00677C98"/>
    <w:rsid w:val="00677D54"/>
    <w:rsid w:val="00677D73"/>
    <w:rsid w:val="00677E78"/>
    <w:rsid w:val="00677E92"/>
    <w:rsid w:val="0067FE9A"/>
    <w:rsid w:val="0068005E"/>
    <w:rsid w:val="00680189"/>
    <w:rsid w:val="00680240"/>
    <w:rsid w:val="00680286"/>
    <w:rsid w:val="006802A2"/>
    <w:rsid w:val="0068039B"/>
    <w:rsid w:val="00680410"/>
    <w:rsid w:val="006805D5"/>
    <w:rsid w:val="006805ED"/>
    <w:rsid w:val="00680646"/>
    <w:rsid w:val="006806A8"/>
    <w:rsid w:val="00680790"/>
    <w:rsid w:val="0068083C"/>
    <w:rsid w:val="0068087D"/>
    <w:rsid w:val="006808E7"/>
    <w:rsid w:val="006809B8"/>
    <w:rsid w:val="00680C64"/>
    <w:rsid w:val="00680E04"/>
    <w:rsid w:val="00680E78"/>
    <w:rsid w:val="00680F26"/>
    <w:rsid w:val="00681072"/>
    <w:rsid w:val="006810CB"/>
    <w:rsid w:val="006810F7"/>
    <w:rsid w:val="0068119C"/>
    <w:rsid w:val="0068130C"/>
    <w:rsid w:val="00681421"/>
    <w:rsid w:val="0068152F"/>
    <w:rsid w:val="00681542"/>
    <w:rsid w:val="0068161F"/>
    <w:rsid w:val="0068165E"/>
    <w:rsid w:val="00681745"/>
    <w:rsid w:val="00681779"/>
    <w:rsid w:val="00681816"/>
    <w:rsid w:val="006818E7"/>
    <w:rsid w:val="0068193C"/>
    <w:rsid w:val="00681958"/>
    <w:rsid w:val="00681976"/>
    <w:rsid w:val="00681A33"/>
    <w:rsid w:val="00681AC8"/>
    <w:rsid w:val="00681BA8"/>
    <w:rsid w:val="00681C04"/>
    <w:rsid w:val="00681C60"/>
    <w:rsid w:val="00681CBF"/>
    <w:rsid w:val="00681D2E"/>
    <w:rsid w:val="00681D39"/>
    <w:rsid w:val="00681E88"/>
    <w:rsid w:val="00681FA1"/>
    <w:rsid w:val="00682074"/>
    <w:rsid w:val="0068216F"/>
    <w:rsid w:val="006821EB"/>
    <w:rsid w:val="00682255"/>
    <w:rsid w:val="006822FB"/>
    <w:rsid w:val="00682306"/>
    <w:rsid w:val="006823CB"/>
    <w:rsid w:val="00682436"/>
    <w:rsid w:val="00682475"/>
    <w:rsid w:val="006824B6"/>
    <w:rsid w:val="006824D8"/>
    <w:rsid w:val="00682526"/>
    <w:rsid w:val="00682779"/>
    <w:rsid w:val="006827AE"/>
    <w:rsid w:val="006827E4"/>
    <w:rsid w:val="006829A0"/>
    <w:rsid w:val="00682AB8"/>
    <w:rsid w:val="00682D42"/>
    <w:rsid w:val="00682D48"/>
    <w:rsid w:val="00682D7B"/>
    <w:rsid w:val="00682DA0"/>
    <w:rsid w:val="00682FD5"/>
    <w:rsid w:val="00683030"/>
    <w:rsid w:val="0068317D"/>
    <w:rsid w:val="00683279"/>
    <w:rsid w:val="00683296"/>
    <w:rsid w:val="006832F2"/>
    <w:rsid w:val="006832F8"/>
    <w:rsid w:val="0068336B"/>
    <w:rsid w:val="00683373"/>
    <w:rsid w:val="00683603"/>
    <w:rsid w:val="006836CC"/>
    <w:rsid w:val="006836D3"/>
    <w:rsid w:val="006837A7"/>
    <w:rsid w:val="006837E0"/>
    <w:rsid w:val="00683A14"/>
    <w:rsid w:val="00683A33"/>
    <w:rsid w:val="00683BC0"/>
    <w:rsid w:val="00683C26"/>
    <w:rsid w:val="00683CB9"/>
    <w:rsid w:val="00683CD0"/>
    <w:rsid w:val="00683D87"/>
    <w:rsid w:val="00683DCA"/>
    <w:rsid w:val="00683DEE"/>
    <w:rsid w:val="00683DFD"/>
    <w:rsid w:val="00683F74"/>
    <w:rsid w:val="00683FBB"/>
    <w:rsid w:val="00683FFB"/>
    <w:rsid w:val="0068402C"/>
    <w:rsid w:val="0068405E"/>
    <w:rsid w:val="006840ED"/>
    <w:rsid w:val="0068417E"/>
    <w:rsid w:val="0068445D"/>
    <w:rsid w:val="0068457E"/>
    <w:rsid w:val="006845F1"/>
    <w:rsid w:val="00684643"/>
    <w:rsid w:val="006847FE"/>
    <w:rsid w:val="00684AF3"/>
    <w:rsid w:val="00684B2C"/>
    <w:rsid w:val="00684BCF"/>
    <w:rsid w:val="00684CD6"/>
    <w:rsid w:val="00684D0C"/>
    <w:rsid w:val="00684E00"/>
    <w:rsid w:val="00685081"/>
    <w:rsid w:val="00685194"/>
    <w:rsid w:val="006854C2"/>
    <w:rsid w:val="00685599"/>
    <w:rsid w:val="006855F1"/>
    <w:rsid w:val="006856CE"/>
    <w:rsid w:val="006856D5"/>
    <w:rsid w:val="006856DA"/>
    <w:rsid w:val="0068578E"/>
    <w:rsid w:val="00685817"/>
    <w:rsid w:val="00685938"/>
    <w:rsid w:val="006859B2"/>
    <w:rsid w:val="00685AAE"/>
    <w:rsid w:val="00685AD0"/>
    <w:rsid w:val="00685B5D"/>
    <w:rsid w:val="00685B78"/>
    <w:rsid w:val="00685BEA"/>
    <w:rsid w:val="00685CEB"/>
    <w:rsid w:val="00685DA5"/>
    <w:rsid w:val="00685DEB"/>
    <w:rsid w:val="00685EF7"/>
    <w:rsid w:val="0068627F"/>
    <w:rsid w:val="006862E2"/>
    <w:rsid w:val="00686371"/>
    <w:rsid w:val="00686380"/>
    <w:rsid w:val="006863FF"/>
    <w:rsid w:val="0068641A"/>
    <w:rsid w:val="00686433"/>
    <w:rsid w:val="0068645C"/>
    <w:rsid w:val="00686466"/>
    <w:rsid w:val="00686478"/>
    <w:rsid w:val="006864B8"/>
    <w:rsid w:val="0068685C"/>
    <w:rsid w:val="00686891"/>
    <w:rsid w:val="006868D7"/>
    <w:rsid w:val="0068696B"/>
    <w:rsid w:val="0068697E"/>
    <w:rsid w:val="00686A12"/>
    <w:rsid w:val="00686AA8"/>
    <w:rsid w:val="00686AD0"/>
    <w:rsid w:val="00686AE5"/>
    <w:rsid w:val="00686B85"/>
    <w:rsid w:val="00686DA8"/>
    <w:rsid w:val="00686DCA"/>
    <w:rsid w:val="00686FD5"/>
    <w:rsid w:val="0068725B"/>
    <w:rsid w:val="00687560"/>
    <w:rsid w:val="00687575"/>
    <w:rsid w:val="006876D2"/>
    <w:rsid w:val="0068773E"/>
    <w:rsid w:val="006877B1"/>
    <w:rsid w:val="0068792F"/>
    <w:rsid w:val="006879A1"/>
    <w:rsid w:val="00687A3B"/>
    <w:rsid w:val="00687A46"/>
    <w:rsid w:val="00687A54"/>
    <w:rsid w:val="00687A69"/>
    <w:rsid w:val="00687A9F"/>
    <w:rsid w:val="00687B8B"/>
    <w:rsid w:val="00687C67"/>
    <w:rsid w:val="00687CCC"/>
    <w:rsid w:val="00687E49"/>
    <w:rsid w:val="00687E85"/>
    <w:rsid w:val="00687F40"/>
    <w:rsid w:val="0069004E"/>
    <w:rsid w:val="00690147"/>
    <w:rsid w:val="00690197"/>
    <w:rsid w:val="00690205"/>
    <w:rsid w:val="006902AD"/>
    <w:rsid w:val="00690483"/>
    <w:rsid w:val="00690534"/>
    <w:rsid w:val="006905AA"/>
    <w:rsid w:val="00690693"/>
    <w:rsid w:val="00690949"/>
    <w:rsid w:val="006909B5"/>
    <w:rsid w:val="00690A64"/>
    <w:rsid w:val="00690AD2"/>
    <w:rsid w:val="00690B16"/>
    <w:rsid w:val="00690BBC"/>
    <w:rsid w:val="00690C58"/>
    <w:rsid w:val="00690CD3"/>
    <w:rsid w:val="00690D71"/>
    <w:rsid w:val="00690DB3"/>
    <w:rsid w:val="00690E6D"/>
    <w:rsid w:val="0069103A"/>
    <w:rsid w:val="00691040"/>
    <w:rsid w:val="006911BA"/>
    <w:rsid w:val="006911E4"/>
    <w:rsid w:val="00691264"/>
    <w:rsid w:val="00691532"/>
    <w:rsid w:val="006915D2"/>
    <w:rsid w:val="0069175D"/>
    <w:rsid w:val="00691893"/>
    <w:rsid w:val="00691A4B"/>
    <w:rsid w:val="00691AC0"/>
    <w:rsid w:val="00691AF4"/>
    <w:rsid w:val="00691BD4"/>
    <w:rsid w:val="00691C39"/>
    <w:rsid w:val="00691C82"/>
    <w:rsid w:val="00691CBC"/>
    <w:rsid w:val="00691D24"/>
    <w:rsid w:val="00691DF6"/>
    <w:rsid w:val="00691E6F"/>
    <w:rsid w:val="00691F8E"/>
    <w:rsid w:val="00691FC8"/>
    <w:rsid w:val="00692013"/>
    <w:rsid w:val="006920F6"/>
    <w:rsid w:val="00692116"/>
    <w:rsid w:val="00692273"/>
    <w:rsid w:val="006922DA"/>
    <w:rsid w:val="0069230B"/>
    <w:rsid w:val="006927EA"/>
    <w:rsid w:val="00692819"/>
    <w:rsid w:val="00692830"/>
    <w:rsid w:val="0069289C"/>
    <w:rsid w:val="00692A3A"/>
    <w:rsid w:val="00692B21"/>
    <w:rsid w:val="00692C93"/>
    <w:rsid w:val="00692CC7"/>
    <w:rsid w:val="00692D8A"/>
    <w:rsid w:val="00692F8C"/>
    <w:rsid w:val="00692FBF"/>
    <w:rsid w:val="006930A7"/>
    <w:rsid w:val="00693117"/>
    <w:rsid w:val="00693252"/>
    <w:rsid w:val="0069327B"/>
    <w:rsid w:val="00693287"/>
    <w:rsid w:val="006932E7"/>
    <w:rsid w:val="00693311"/>
    <w:rsid w:val="00693364"/>
    <w:rsid w:val="00693464"/>
    <w:rsid w:val="006934EF"/>
    <w:rsid w:val="006936E9"/>
    <w:rsid w:val="00693771"/>
    <w:rsid w:val="006937B2"/>
    <w:rsid w:val="00693B77"/>
    <w:rsid w:val="00693C61"/>
    <w:rsid w:val="00693CB9"/>
    <w:rsid w:val="00693E7B"/>
    <w:rsid w:val="00693F44"/>
    <w:rsid w:val="0069405E"/>
    <w:rsid w:val="006940E0"/>
    <w:rsid w:val="006940F7"/>
    <w:rsid w:val="00694251"/>
    <w:rsid w:val="0069439F"/>
    <w:rsid w:val="006943B2"/>
    <w:rsid w:val="006943F6"/>
    <w:rsid w:val="00694491"/>
    <w:rsid w:val="00694629"/>
    <w:rsid w:val="0069462B"/>
    <w:rsid w:val="00694675"/>
    <w:rsid w:val="0069475D"/>
    <w:rsid w:val="0069481A"/>
    <w:rsid w:val="00694897"/>
    <w:rsid w:val="00694B41"/>
    <w:rsid w:val="00694DD6"/>
    <w:rsid w:val="00694E6A"/>
    <w:rsid w:val="00694ED7"/>
    <w:rsid w:val="00694FB4"/>
    <w:rsid w:val="00694FE0"/>
    <w:rsid w:val="006952BF"/>
    <w:rsid w:val="006952DC"/>
    <w:rsid w:val="00695336"/>
    <w:rsid w:val="0069547F"/>
    <w:rsid w:val="006955E7"/>
    <w:rsid w:val="00695A67"/>
    <w:rsid w:val="00695A9A"/>
    <w:rsid w:val="00695AF4"/>
    <w:rsid w:val="00695D1F"/>
    <w:rsid w:val="00695DBB"/>
    <w:rsid w:val="0069605B"/>
    <w:rsid w:val="0069611A"/>
    <w:rsid w:val="006961B8"/>
    <w:rsid w:val="00696204"/>
    <w:rsid w:val="006962AE"/>
    <w:rsid w:val="006962FD"/>
    <w:rsid w:val="00696323"/>
    <w:rsid w:val="00696419"/>
    <w:rsid w:val="006964B7"/>
    <w:rsid w:val="00696527"/>
    <w:rsid w:val="00696541"/>
    <w:rsid w:val="006965F9"/>
    <w:rsid w:val="0069662E"/>
    <w:rsid w:val="0069668E"/>
    <w:rsid w:val="0069672E"/>
    <w:rsid w:val="00696787"/>
    <w:rsid w:val="006967DF"/>
    <w:rsid w:val="006967EE"/>
    <w:rsid w:val="0069696F"/>
    <w:rsid w:val="00696A32"/>
    <w:rsid w:val="00696BBA"/>
    <w:rsid w:val="00696C30"/>
    <w:rsid w:val="00696C71"/>
    <w:rsid w:val="00696D76"/>
    <w:rsid w:val="00696F2A"/>
    <w:rsid w:val="00697042"/>
    <w:rsid w:val="006970B4"/>
    <w:rsid w:val="006971B6"/>
    <w:rsid w:val="006971BA"/>
    <w:rsid w:val="006971CB"/>
    <w:rsid w:val="006971F3"/>
    <w:rsid w:val="00697271"/>
    <w:rsid w:val="0069731A"/>
    <w:rsid w:val="00697358"/>
    <w:rsid w:val="006974EF"/>
    <w:rsid w:val="006975B9"/>
    <w:rsid w:val="0069765E"/>
    <w:rsid w:val="00697862"/>
    <w:rsid w:val="0069793E"/>
    <w:rsid w:val="00697A08"/>
    <w:rsid w:val="00697AA5"/>
    <w:rsid w:val="00697C10"/>
    <w:rsid w:val="00697C8A"/>
    <w:rsid w:val="00697D1F"/>
    <w:rsid w:val="00697E53"/>
    <w:rsid w:val="0069E09F"/>
    <w:rsid w:val="006A0096"/>
    <w:rsid w:val="006A00BF"/>
    <w:rsid w:val="006A0141"/>
    <w:rsid w:val="006A0195"/>
    <w:rsid w:val="006A01C3"/>
    <w:rsid w:val="006A01D2"/>
    <w:rsid w:val="006A022D"/>
    <w:rsid w:val="006A0272"/>
    <w:rsid w:val="006A03CE"/>
    <w:rsid w:val="006A060E"/>
    <w:rsid w:val="006A0719"/>
    <w:rsid w:val="006A0C60"/>
    <w:rsid w:val="006A0CB9"/>
    <w:rsid w:val="006A0CC7"/>
    <w:rsid w:val="006A0D74"/>
    <w:rsid w:val="006A0D87"/>
    <w:rsid w:val="006A0D8C"/>
    <w:rsid w:val="006A0E23"/>
    <w:rsid w:val="006A102A"/>
    <w:rsid w:val="006A1045"/>
    <w:rsid w:val="006A1207"/>
    <w:rsid w:val="006A12DF"/>
    <w:rsid w:val="006A1336"/>
    <w:rsid w:val="006A134C"/>
    <w:rsid w:val="006A1355"/>
    <w:rsid w:val="006A1567"/>
    <w:rsid w:val="006A196F"/>
    <w:rsid w:val="006A19F7"/>
    <w:rsid w:val="006A1B23"/>
    <w:rsid w:val="006A1B33"/>
    <w:rsid w:val="006A1B6B"/>
    <w:rsid w:val="006A1BFD"/>
    <w:rsid w:val="006A1D0A"/>
    <w:rsid w:val="006A1E57"/>
    <w:rsid w:val="006A1F5C"/>
    <w:rsid w:val="006A1F87"/>
    <w:rsid w:val="006A1FAD"/>
    <w:rsid w:val="006A2045"/>
    <w:rsid w:val="006A212E"/>
    <w:rsid w:val="006A218E"/>
    <w:rsid w:val="006A2278"/>
    <w:rsid w:val="006A242C"/>
    <w:rsid w:val="006A249E"/>
    <w:rsid w:val="006A24AF"/>
    <w:rsid w:val="006A2605"/>
    <w:rsid w:val="006A2629"/>
    <w:rsid w:val="006A2709"/>
    <w:rsid w:val="006A27E1"/>
    <w:rsid w:val="006A27E7"/>
    <w:rsid w:val="006A27F5"/>
    <w:rsid w:val="006A2977"/>
    <w:rsid w:val="006A299D"/>
    <w:rsid w:val="006A2AAF"/>
    <w:rsid w:val="006A2ACB"/>
    <w:rsid w:val="006A2B1F"/>
    <w:rsid w:val="006A2C3D"/>
    <w:rsid w:val="006A2C61"/>
    <w:rsid w:val="006A2CEE"/>
    <w:rsid w:val="006A2D8F"/>
    <w:rsid w:val="006A2F8B"/>
    <w:rsid w:val="006A2FEE"/>
    <w:rsid w:val="006A30B3"/>
    <w:rsid w:val="006A31B7"/>
    <w:rsid w:val="006A32A1"/>
    <w:rsid w:val="006A32E6"/>
    <w:rsid w:val="006A3317"/>
    <w:rsid w:val="006A34A2"/>
    <w:rsid w:val="006A3566"/>
    <w:rsid w:val="006A3569"/>
    <w:rsid w:val="006A37B4"/>
    <w:rsid w:val="006A38AA"/>
    <w:rsid w:val="006A39C8"/>
    <w:rsid w:val="006A3C3D"/>
    <w:rsid w:val="006A3CA5"/>
    <w:rsid w:val="006A40E8"/>
    <w:rsid w:val="006A4137"/>
    <w:rsid w:val="006A4223"/>
    <w:rsid w:val="006A4233"/>
    <w:rsid w:val="006A425B"/>
    <w:rsid w:val="006A43E9"/>
    <w:rsid w:val="006A4417"/>
    <w:rsid w:val="006A4566"/>
    <w:rsid w:val="006A46C1"/>
    <w:rsid w:val="006A46D1"/>
    <w:rsid w:val="006A4782"/>
    <w:rsid w:val="006A47AB"/>
    <w:rsid w:val="006A4A14"/>
    <w:rsid w:val="006A4A58"/>
    <w:rsid w:val="006A4A9F"/>
    <w:rsid w:val="006A4AE2"/>
    <w:rsid w:val="006A4AE6"/>
    <w:rsid w:val="006A4AFD"/>
    <w:rsid w:val="006A4D21"/>
    <w:rsid w:val="006A4D51"/>
    <w:rsid w:val="006A4DDD"/>
    <w:rsid w:val="006A4E4A"/>
    <w:rsid w:val="006A4E6B"/>
    <w:rsid w:val="006A500B"/>
    <w:rsid w:val="006A5046"/>
    <w:rsid w:val="006A51C6"/>
    <w:rsid w:val="006A5323"/>
    <w:rsid w:val="006A5340"/>
    <w:rsid w:val="006A5394"/>
    <w:rsid w:val="006A5409"/>
    <w:rsid w:val="006A5577"/>
    <w:rsid w:val="006A5599"/>
    <w:rsid w:val="006A55A3"/>
    <w:rsid w:val="006A55E1"/>
    <w:rsid w:val="006A5698"/>
    <w:rsid w:val="006A56AD"/>
    <w:rsid w:val="006A57CD"/>
    <w:rsid w:val="006A58DA"/>
    <w:rsid w:val="006A5B27"/>
    <w:rsid w:val="006A5C91"/>
    <w:rsid w:val="006A5E54"/>
    <w:rsid w:val="006A5E91"/>
    <w:rsid w:val="006A5F7A"/>
    <w:rsid w:val="006A6070"/>
    <w:rsid w:val="006A61BA"/>
    <w:rsid w:val="006A6237"/>
    <w:rsid w:val="006A6294"/>
    <w:rsid w:val="006A639D"/>
    <w:rsid w:val="006A648D"/>
    <w:rsid w:val="006A6494"/>
    <w:rsid w:val="006A663E"/>
    <w:rsid w:val="006A66A8"/>
    <w:rsid w:val="006A677D"/>
    <w:rsid w:val="006A6793"/>
    <w:rsid w:val="006A67E3"/>
    <w:rsid w:val="006A688D"/>
    <w:rsid w:val="006A68CD"/>
    <w:rsid w:val="006A6967"/>
    <w:rsid w:val="006A6AC1"/>
    <w:rsid w:val="006A6BA2"/>
    <w:rsid w:val="006A6CEE"/>
    <w:rsid w:val="006A6FEB"/>
    <w:rsid w:val="006A723C"/>
    <w:rsid w:val="006A7271"/>
    <w:rsid w:val="006A75FF"/>
    <w:rsid w:val="006A7774"/>
    <w:rsid w:val="006A7811"/>
    <w:rsid w:val="006A783A"/>
    <w:rsid w:val="006A7870"/>
    <w:rsid w:val="006A7A95"/>
    <w:rsid w:val="006A7B1C"/>
    <w:rsid w:val="006A7C68"/>
    <w:rsid w:val="006A7D6C"/>
    <w:rsid w:val="006A7DCE"/>
    <w:rsid w:val="006A7E0D"/>
    <w:rsid w:val="006A7EA7"/>
    <w:rsid w:val="006A7EFD"/>
    <w:rsid w:val="006A7F57"/>
    <w:rsid w:val="006A7FC8"/>
    <w:rsid w:val="006A7FCA"/>
    <w:rsid w:val="006B0140"/>
    <w:rsid w:val="006B0168"/>
    <w:rsid w:val="006B01E1"/>
    <w:rsid w:val="006B02F0"/>
    <w:rsid w:val="006B02F3"/>
    <w:rsid w:val="006B0432"/>
    <w:rsid w:val="006B0439"/>
    <w:rsid w:val="006B0555"/>
    <w:rsid w:val="006B0672"/>
    <w:rsid w:val="006B06B5"/>
    <w:rsid w:val="006B06D6"/>
    <w:rsid w:val="006B06FC"/>
    <w:rsid w:val="006B0724"/>
    <w:rsid w:val="006B0982"/>
    <w:rsid w:val="006B0D2E"/>
    <w:rsid w:val="006B0EB8"/>
    <w:rsid w:val="006B0ED2"/>
    <w:rsid w:val="006B0FA2"/>
    <w:rsid w:val="006B0FEC"/>
    <w:rsid w:val="006B106D"/>
    <w:rsid w:val="006B107E"/>
    <w:rsid w:val="006B10E4"/>
    <w:rsid w:val="006B1114"/>
    <w:rsid w:val="006B113E"/>
    <w:rsid w:val="006B11EF"/>
    <w:rsid w:val="006B1226"/>
    <w:rsid w:val="006B1276"/>
    <w:rsid w:val="006B143B"/>
    <w:rsid w:val="006B16AF"/>
    <w:rsid w:val="006B173B"/>
    <w:rsid w:val="006B187C"/>
    <w:rsid w:val="006B1888"/>
    <w:rsid w:val="006B18C5"/>
    <w:rsid w:val="006B1A48"/>
    <w:rsid w:val="006B1A86"/>
    <w:rsid w:val="006B1AFD"/>
    <w:rsid w:val="006B1C8E"/>
    <w:rsid w:val="006B1D11"/>
    <w:rsid w:val="006B1D26"/>
    <w:rsid w:val="006B1DF1"/>
    <w:rsid w:val="006B2063"/>
    <w:rsid w:val="006B2286"/>
    <w:rsid w:val="006B23F9"/>
    <w:rsid w:val="006B2422"/>
    <w:rsid w:val="006B242E"/>
    <w:rsid w:val="006B2480"/>
    <w:rsid w:val="006B24CB"/>
    <w:rsid w:val="006B25AA"/>
    <w:rsid w:val="006B25B4"/>
    <w:rsid w:val="006B2698"/>
    <w:rsid w:val="006B282C"/>
    <w:rsid w:val="006B2903"/>
    <w:rsid w:val="006B296C"/>
    <w:rsid w:val="006B2A30"/>
    <w:rsid w:val="006B2CD9"/>
    <w:rsid w:val="006B2D40"/>
    <w:rsid w:val="006B2D63"/>
    <w:rsid w:val="006B2F92"/>
    <w:rsid w:val="006B30D3"/>
    <w:rsid w:val="006B3178"/>
    <w:rsid w:val="006B3251"/>
    <w:rsid w:val="006B3252"/>
    <w:rsid w:val="006B33D4"/>
    <w:rsid w:val="006B3619"/>
    <w:rsid w:val="006B3661"/>
    <w:rsid w:val="006B36E1"/>
    <w:rsid w:val="006B383A"/>
    <w:rsid w:val="006B38F8"/>
    <w:rsid w:val="006B394A"/>
    <w:rsid w:val="006B3A18"/>
    <w:rsid w:val="006B3A41"/>
    <w:rsid w:val="006B3A7B"/>
    <w:rsid w:val="006B3A8C"/>
    <w:rsid w:val="006B3B00"/>
    <w:rsid w:val="006B3B1A"/>
    <w:rsid w:val="006B3B9F"/>
    <w:rsid w:val="006B3C4E"/>
    <w:rsid w:val="006B3D1E"/>
    <w:rsid w:val="006B3E35"/>
    <w:rsid w:val="006B3E4D"/>
    <w:rsid w:val="006B3E84"/>
    <w:rsid w:val="006B3F8D"/>
    <w:rsid w:val="006B3FDD"/>
    <w:rsid w:val="006B4322"/>
    <w:rsid w:val="006B437E"/>
    <w:rsid w:val="006B43FB"/>
    <w:rsid w:val="006B4504"/>
    <w:rsid w:val="006B4555"/>
    <w:rsid w:val="006B46DC"/>
    <w:rsid w:val="006B47BF"/>
    <w:rsid w:val="006B499F"/>
    <w:rsid w:val="006B4AED"/>
    <w:rsid w:val="006B4B10"/>
    <w:rsid w:val="006B4B8E"/>
    <w:rsid w:val="006B4CE3"/>
    <w:rsid w:val="006B4D00"/>
    <w:rsid w:val="006B4E6C"/>
    <w:rsid w:val="006B4F5D"/>
    <w:rsid w:val="006B4FCB"/>
    <w:rsid w:val="006B5166"/>
    <w:rsid w:val="006B51D7"/>
    <w:rsid w:val="006B5239"/>
    <w:rsid w:val="006B5270"/>
    <w:rsid w:val="006B537A"/>
    <w:rsid w:val="006B539E"/>
    <w:rsid w:val="006B53B0"/>
    <w:rsid w:val="006B5422"/>
    <w:rsid w:val="006B55CA"/>
    <w:rsid w:val="006B569C"/>
    <w:rsid w:val="006B56BB"/>
    <w:rsid w:val="006B5790"/>
    <w:rsid w:val="006B593F"/>
    <w:rsid w:val="006B59A6"/>
    <w:rsid w:val="006B59C2"/>
    <w:rsid w:val="006B59D3"/>
    <w:rsid w:val="006B5A18"/>
    <w:rsid w:val="006B5BB8"/>
    <w:rsid w:val="006B5D84"/>
    <w:rsid w:val="006B5DDE"/>
    <w:rsid w:val="006B5E2D"/>
    <w:rsid w:val="006B5EF2"/>
    <w:rsid w:val="006B5F8B"/>
    <w:rsid w:val="006B60CE"/>
    <w:rsid w:val="006B6159"/>
    <w:rsid w:val="006B61CE"/>
    <w:rsid w:val="006B6221"/>
    <w:rsid w:val="006B6367"/>
    <w:rsid w:val="006B638A"/>
    <w:rsid w:val="006B63BC"/>
    <w:rsid w:val="006B63F1"/>
    <w:rsid w:val="006B665F"/>
    <w:rsid w:val="006B688C"/>
    <w:rsid w:val="006B6981"/>
    <w:rsid w:val="006B6A80"/>
    <w:rsid w:val="006B6B4D"/>
    <w:rsid w:val="006B6BC7"/>
    <w:rsid w:val="006B6C5D"/>
    <w:rsid w:val="006B6D82"/>
    <w:rsid w:val="006B6E29"/>
    <w:rsid w:val="006B6ECB"/>
    <w:rsid w:val="006B6EFD"/>
    <w:rsid w:val="006B6F5F"/>
    <w:rsid w:val="006B6F7E"/>
    <w:rsid w:val="006B7013"/>
    <w:rsid w:val="006B72CA"/>
    <w:rsid w:val="006B74CB"/>
    <w:rsid w:val="006B7506"/>
    <w:rsid w:val="006B762C"/>
    <w:rsid w:val="006B76E3"/>
    <w:rsid w:val="006B7875"/>
    <w:rsid w:val="006B78D7"/>
    <w:rsid w:val="006B790D"/>
    <w:rsid w:val="006B793A"/>
    <w:rsid w:val="006B7B29"/>
    <w:rsid w:val="006B7B43"/>
    <w:rsid w:val="006B7CB5"/>
    <w:rsid w:val="006B7D0F"/>
    <w:rsid w:val="006B7D48"/>
    <w:rsid w:val="006B7D4F"/>
    <w:rsid w:val="006B7DBC"/>
    <w:rsid w:val="006B7DDD"/>
    <w:rsid w:val="006B7E73"/>
    <w:rsid w:val="006B7FD1"/>
    <w:rsid w:val="006C0152"/>
    <w:rsid w:val="006C0288"/>
    <w:rsid w:val="006C0293"/>
    <w:rsid w:val="006C02ED"/>
    <w:rsid w:val="006C046A"/>
    <w:rsid w:val="006C053A"/>
    <w:rsid w:val="006C0555"/>
    <w:rsid w:val="006C07A0"/>
    <w:rsid w:val="006C087B"/>
    <w:rsid w:val="006C0A03"/>
    <w:rsid w:val="006C0A30"/>
    <w:rsid w:val="006C0C4F"/>
    <w:rsid w:val="006C0CD8"/>
    <w:rsid w:val="006C0CE8"/>
    <w:rsid w:val="006C0D75"/>
    <w:rsid w:val="006C0D9F"/>
    <w:rsid w:val="006C0E45"/>
    <w:rsid w:val="006C1086"/>
    <w:rsid w:val="006C10ED"/>
    <w:rsid w:val="006C1167"/>
    <w:rsid w:val="006C1291"/>
    <w:rsid w:val="006C12EB"/>
    <w:rsid w:val="006C132F"/>
    <w:rsid w:val="006C1344"/>
    <w:rsid w:val="006C13F9"/>
    <w:rsid w:val="006C154D"/>
    <w:rsid w:val="006C1A69"/>
    <w:rsid w:val="006C1AD8"/>
    <w:rsid w:val="006C1BB3"/>
    <w:rsid w:val="006C1CF0"/>
    <w:rsid w:val="006C1D32"/>
    <w:rsid w:val="006C1EF2"/>
    <w:rsid w:val="006C203B"/>
    <w:rsid w:val="006C21E9"/>
    <w:rsid w:val="006C2294"/>
    <w:rsid w:val="006C25AE"/>
    <w:rsid w:val="006C26A6"/>
    <w:rsid w:val="006C272B"/>
    <w:rsid w:val="006C2766"/>
    <w:rsid w:val="006C27C0"/>
    <w:rsid w:val="006C298A"/>
    <w:rsid w:val="006C29F1"/>
    <w:rsid w:val="006C2A73"/>
    <w:rsid w:val="006C2A91"/>
    <w:rsid w:val="006C2BF3"/>
    <w:rsid w:val="006C2C0F"/>
    <w:rsid w:val="006C2C49"/>
    <w:rsid w:val="006C2D78"/>
    <w:rsid w:val="006C2DFD"/>
    <w:rsid w:val="006C2F59"/>
    <w:rsid w:val="006C2F7A"/>
    <w:rsid w:val="006C34D5"/>
    <w:rsid w:val="006C34DB"/>
    <w:rsid w:val="006C351B"/>
    <w:rsid w:val="006C3538"/>
    <w:rsid w:val="006C353A"/>
    <w:rsid w:val="006C35BE"/>
    <w:rsid w:val="006C371D"/>
    <w:rsid w:val="006C37A2"/>
    <w:rsid w:val="006C38A7"/>
    <w:rsid w:val="006C38CA"/>
    <w:rsid w:val="006C3917"/>
    <w:rsid w:val="006C3B40"/>
    <w:rsid w:val="006C3BDF"/>
    <w:rsid w:val="006C3BF2"/>
    <w:rsid w:val="006C3C69"/>
    <w:rsid w:val="006C3CA6"/>
    <w:rsid w:val="006C3E42"/>
    <w:rsid w:val="006C3F08"/>
    <w:rsid w:val="006C4079"/>
    <w:rsid w:val="006C419D"/>
    <w:rsid w:val="006C41AF"/>
    <w:rsid w:val="006C4203"/>
    <w:rsid w:val="006C4664"/>
    <w:rsid w:val="006C48D0"/>
    <w:rsid w:val="006C493B"/>
    <w:rsid w:val="006C4948"/>
    <w:rsid w:val="006C49B9"/>
    <w:rsid w:val="006C4A6E"/>
    <w:rsid w:val="006C4A84"/>
    <w:rsid w:val="006C4C0F"/>
    <w:rsid w:val="006C4C88"/>
    <w:rsid w:val="006C4CCD"/>
    <w:rsid w:val="006C4D90"/>
    <w:rsid w:val="006C4E3C"/>
    <w:rsid w:val="006C4FC8"/>
    <w:rsid w:val="006C502E"/>
    <w:rsid w:val="006C505B"/>
    <w:rsid w:val="006C5099"/>
    <w:rsid w:val="006C517F"/>
    <w:rsid w:val="006C518F"/>
    <w:rsid w:val="006C5204"/>
    <w:rsid w:val="006C521C"/>
    <w:rsid w:val="006C5332"/>
    <w:rsid w:val="006C53AA"/>
    <w:rsid w:val="006C543C"/>
    <w:rsid w:val="006C54C0"/>
    <w:rsid w:val="006C5857"/>
    <w:rsid w:val="006C5863"/>
    <w:rsid w:val="006C58A9"/>
    <w:rsid w:val="006C596F"/>
    <w:rsid w:val="006C5A2E"/>
    <w:rsid w:val="006C5A3E"/>
    <w:rsid w:val="006C5B5A"/>
    <w:rsid w:val="006C5C98"/>
    <w:rsid w:val="006C5CD7"/>
    <w:rsid w:val="006C5DBA"/>
    <w:rsid w:val="006C5E60"/>
    <w:rsid w:val="006C5F09"/>
    <w:rsid w:val="006C6089"/>
    <w:rsid w:val="006C60BE"/>
    <w:rsid w:val="006C6100"/>
    <w:rsid w:val="006C6203"/>
    <w:rsid w:val="006C623B"/>
    <w:rsid w:val="006C633D"/>
    <w:rsid w:val="006C63FA"/>
    <w:rsid w:val="006C64F6"/>
    <w:rsid w:val="006C656B"/>
    <w:rsid w:val="006C6624"/>
    <w:rsid w:val="006C6625"/>
    <w:rsid w:val="006C6653"/>
    <w:rsid w:val="006C6675"/>
    <w:rsid w:val="006C66A7"/>
    <w:rsid w:val="006C66DE"/>
    <w:rsid w:val="006C66F2"/>
    <w:rsid w:val="006C6782"/>
    <w:rsid w:val="006C68C3"/>
    <w:rsid w:val="006C6925"/>
    <w:rsid w:val="006C692B"/>
    <w:rsid w:val="006C697E"/>
    <w:rsid w:val="006C6A3A"/>
    <w:rsid w:val="006C6BA4"/>
    <w:rsid w:val="006C6BEE"/>
    <w:rsid w:val="006C6C7D"/>
    <w:rsid w:val="006C6D1C"/>
    <w:rsid w:val="006C6EDA"/>
    <w:rsid w:val="006C6EF7"/>
    <w:rsid w:val="006C6F47"/>
    <w:rsid w:val="006C7027"/>
    <w:rsid w:val="006C7057"/>
    <w:rsid w:val="006C706B"/>
    <w:rsid w:val="006C71C7"/>
    <w:rsid w:val="006C71E8"/>
    <w:rsid w:val="006C73AC"/>
    <w:rsid w:val="006C7403"/>
    <w:rsid w:val="006C74C4"/>
    <w:rsid w:val="006C7648"/>
    <w:rsid w:val="006C772F"/>
    <w:rsid w:val="006C77A8"/>
    <w:rsid w:val="006C77E2"/>
    <w:rsid w:val="006C7906"/>
    <w:rsid w:val="006C7B3B"/>
    <w:rsid w:val="006C7BBC"/>
    <w:rsid w:val="006C7BC7"/>
    <w:rsid w:val="006C7C23"/>
    <w:rsid w:val="006C7C61"/>
    <w:rsid w:val="006C7EE2"/>
    <w:rsid w:val="006D00B9"/>
    <w:rsid w:val="006D036C"/>
    <w:rsid w:val="006D04A0"/>
    <w:rsid w:val="006D0650"/>
    <w:rsid w:val="006D06C2"/>
    <w:rsid w:val="006D0855"/>
    <w:rsid w:val="006D0933"/>
    <w:rsid w:val="006D0960"/>
    <w:rsid w:val="006D0A5D"/>
    <w:rsid w:val="006D0B01"/>
    <w:rsid w:val="006D0B0E"/>
    <w:rsid w:val="006D0CAD"/>
    <w:rsid w:val="006D0D26"/>
    <w:rsid w:val="006D0D56"/>
    <w:rsid w:val="006D0D7C"/>
    <w:rsid w:val="006D0E18"/>
    <w:rsid w:val="006D0F7C"/>
    <w:rsid w:val="006D0F82"/>
    <w:rsid w:val="006D1008"/>
    <w:rsid w:val="006D10F1"/>
    <w:rsid w:val="006D10FC"/>
    <w:rsid w:val="006D12E7"/>
    <w:rsid w:val="006D142A"/>
    <w:rsid w:val="006D1441"/>
    <w:rsid w:val="006D1479"/>
    <w:rsid w:val="006D15C9"/>
    <w:rsid w:val="006D15ED"/>
    <w:rsid w:val="006D1727"/>
    <w:rsid w:val="006D1800"/>
    <w:rsid w:val="006D1927"/>
    <w:rsid w:val="006D192D"/>
    <w:rsid w:val="006D199E"/>
    <w:rsid w:val="006D1A2E"/>
    <w:rsid w:val="006D1A3D"/>
    <w:rsid w:val="006D1AFE"/>
    <w:rsid w:val="006D1B62"/>
    <w:rsid w:val="006D1BA7"/>
    <w:rsid w:val="006D1DBB"/>
    <w:rsid w:val="006D1F89"/>
    <w:rsid w:val="006D1FEA"/>
    <w:rsid w:val="006D206C"/>
    <w:rsid w:val="006D21FB"/>
    <w:rsid w:val="006D220B"/>
    <w:rsid w:val="006D2298"/>
    <w:rsid w:val="006D229B"/>
    <w:rsid w:val="006D22E8"/>
    <w:rsid w:val="006D2385"/>
    <w:rsid w:val="006D24C5"/>
    <w:rsid w:val="006D256F"/>
    <w:rsid w:val="006D25E7"/>
    <w:rsid w:val="006D2656"/>
    <w:rsid w:val="006D2679"/>
    <w:rsid w:val="006D2721"/>
    <w:rsid w:val="006D286C"/>
    <w:rsid w:val="006D28D9"/>
    <w:rsid w:val="006D2A44"/>
    <w:rsid w:val="006D2B64"/>
    <w:rsid w:val="006D2C5B"/>
    <w:rsid w:val="006D2DC2"/>
    <w:rsid w:val="006D2DD7"/>
    <w:rsid w:val="006D2DE9"/>
    <w:rsid w:val="006D2EB5"/>
    <w:rsid w:val="006D2EE0"/>
    <w:rsid w:val="006D31EA"/>
    <w:rsid w:val="006D32AB"/>
    <w:rsid w:val="006D3308"/>
    <w:rsid w:val="006D33C4"/>
    <w:rsid w:val="006D3446"/>
    <w:rsid w:val="006D351C"/>
    <w:rsid w:val="006D365D"/>
    <w:rsid w:val="006D36F7"/>
    <w:rsid w:val="006D3715"/>
    <w:rsid w:val="006D378C"/>
    <w:rsid w:val="006D3850"/>
    <w:rsid w:val="006D391A"/>
    <w:rsid w:val="006D3989"/>
    <w:rsid w:val="006D3AAD"/>
    <w:rsid w:val="006D3AE7"/>
    <w:rsid w:val="006D3B1A"/>
    <w:rsid w:val="006D3C21"/>
    <w:rsid w:val="006D3CC7"/>
    <w:rsid w:val="006D3D18"/>
    <w:rsid w:val="006D3D39"/>
    <w:rsid w:val="006D3FA8"/>
    <w:rsid w:val="006D4030"/>
    <w:rsid w:val="006D4098"/>
    <w:rsid w:val="006D410B"/>
    <w:rsid w:val="006D42D9"/>
    <w:rsid w:val="006D4345"/>
    <w:rsid w:val="006D4393"/>
    <w:rsid w:val="006D43AB"/>
    <w:rsid w:val="006D4442"/>
    <w:rsid w:val="006D450C"/>
    <w:rsid w:val="006D4522"/>
    <w:rsid w:val="006D4556"/>
    <w:rsid w:val="006D4561"/>
    <w:rsid w:val="006D4596"/>
    <w:rsid w:val="006D46FF"/>
    <w:rsid w:val="006D47CC"/>
    <w:rsid w:val="006D48CB"/>
    <w:rsid w:val="006D4927"/>
    <w:rsid w:val="006D49D7"/>
    <w:rsid w:val="006D4A6A"/>
    <w:rsid w:val="006D4AFB"/>
    <w:rsid w:val="006D4B22"/>
    <w:rsid w:val="006D4B42"/>
    <w:rsid w:val="006D4BC3"/>
    <w:rsid w:val="006D4C29"/>
    <w:rsid w:val="006D4D00"/>
    <w:rsid w:val="006D4D49"/>
    <w:rsid w:val="006D4DDE"/>
    <w:rsid w:val="006D4E0A"/>
    <w:rsid w:val="006D4F15"/>
    <w:rsid w:val="006D5009"/>
    <w:rsid w:val="006D505B"/>
    <w:rsid w:val="006D513B"/>
    <w:rsid w:val="006D51DD"/>
    <w:rsid w:val="006D524A"/>
    <w:rsid w:val="006D5274"/>
    <w:rsid w:val="006D5329"/>
    <w:rsid w:val="006D555F"/>
    <w:rsid w:val="006D55AA"/>
    <w:rsid w:val="006D58B8"/>
    <w:rsid w:val="006D58EA"/>
    <w:rsid w:val="006D5BD6"/>
    <w:rsid w:val="006D5C65"/>
    <w:rsid w:val="006D5CE8"/>
    <w:rsid w:val="006D5D74"/>
    <w:rsid w:val="006D5DD1"/>
    <w:rsid w:val="006D5DDF"/>
    <w:rsid w:val="006D6020"/>
    <w:rsid w:val="006D6067"/>
    <w:rsid w:val="006D6079"/>
    <w:rsid w:val="006D60C1"/>
    <w:rsid w:val="006D614E"/>
    <w:rsid w:val="006D63AA"/>
    <w:rsid w:val="006D63B3"/>
    <w:rsid w:val="006D6588"/>
    <w:rsid w:val="006D67B9"/>
    <w:rsid w:val="006D68F8"/>
    <w:rsid w:val="006D6A32"/>
    <w:rsid w:val="006D6B7F"/>
    <w:rsid w:val="006D6C01"/>
    <w:rsid w:val="006D6C08"/>
    <w:rsid w:val="006D6D6D"/>
    <w:rsid w:val="006D6E0D"/>
    <w:rsid w:val="006D6E81"/>
    <w:rsid w:val="006D6E93"/>
    <w:rsid w:val="006D6EC8"/>
    <w:rsid w:val="006D6F0E"/>
    <w:rsid w:val="006D706E"/>
    <w:rsid w:val="006D71F4"/>
    <w:rsid w:val="006D7408"/>
    <w:rsid w:val="006D756D"/>
    <w:rsid w:val="006D7681"/>
    <w:rsid w:val="006D7731"/>
    <w:rsid w:val="006D77BC"/>
    <w:rsid w:val="006D7826"/>
    <w:rsid w:val="006D783C"/>
    <w:rsid w:val="006D7890"/>
    <w:rsid w:val="006D7B06"/>
    <w:rsid w:val="006D7B15"/>
    <w:rsid w:val="006D7B2E"/>
    <w:rsid w:val="006D7BD4"/>
    <w:rsid w:val="006D7CCC"/>
    <w:rsid w:val="006D7DFB"/>
    <w:rsid w:val="006D7E89"/>
    <w:rsid w:val="006D7F84"/>
    <w:rsid w:val="006D7F9C"/>
    <w:rsid w:val="006D7FA4"/>
    <w:rsid w:val="006D7FC6"/>
    <w:rsid w:val="006E004A"/>
    <w:rsid w:val="006E009B"/>
    <w:rsid w:val="006E0149"/>
    <w:rsid w:val="006E01A7"/>
    <w:rsid w:val="006E01B8"/>
    <w:rsid w:val="006E0288"/>
    <w:rsid w:val="006E02EA"/>
    <w:rsid w:val="006E03F2"/>
    <w:rsid w:val="006E042E"/>
    <w:rsid w:val="006E0482"/>
    <w:rsid w:val="006E0623"/>
    <w:rsid w:val="006E067E"/>
    <w:rsid w:val="006E0709"/>
    <w:rsid w:val="006E07A1"/>
    <w:rsid w:val="006E07E6"/>
    <w:rsid w:val="006E089B"/>
    <w:rsid w:val="006E0968"/>
    <w:rsid w:val="006E09A7"/>
    <w:rsid w:val="006E0AE4"/>
    <w:rsid w:val="006E0C1E"/>
    <w:rsid w:val="006E0D48"/>
    <w:rsid w:val="006E0D93"/>
    <w:rsid w:val="006E0EBB"/>
    <w:rsid w:val="006E0F51"/>
    <w:rsid w:val="006E0FAC"/>
    <w:rsid w:val="006E1422"/>
    <w:rsid w:val="006E1562"/>
    <w:rsid w:val="006E1572"/>
    <w:rsid w:val="006E15CE"/>
    <w:rsid w:val="006E1849"/>
    <w:rsid w:val="006E1861"/>
    <w:rsid w:val="006E1940"/>
    <w:rsid w:val="006E1A90"/>
    <w:rsid w:val="006E1BF8"/>
    <w:rsid w:val="006E1C2D"/>
    <w:rsid w:val="006E1C68"/>
    <w:rsid w:val="006E1C7C"/>
    <w:rsid w:val="006E1C9C"/>
    <w:rsid w:val="006E1DBE"/>
    <w:rsid w:val="006E1E88"/>
    <w:rsid w:val="006E1FA9"/>
    <w:rsid w:val="006E205C"/>
    <w:rsid w:val="006E211A"/>
    <w:rsid w:val="006E2125"/>
    <w:rsid w:val="006E2264"/>
    <w:rsid w:val="006E22ED"/>
    <w:rsid w:val="006E2312"/>
    <w:rsid w:val="006E239F"/>
    <w:rsid w:val="006E25C5"/>
    <w:rsid w:val="006E2617"/>
    <w:rsid w:val="006E2629"/>
    <w:rsid w:val="006E267C"/>
    <w:rsid w:val="006E268A"/>
    <w:rsid w:val="006E2691"/>
    <w:rsid w:val="006E2768"/>
    <w:rsid w:val="006E27CF"/>
    <w:rsid w:val="006E2874"/>
    <w:rsid w:val="006E2AEF"/>
    <w:rsid w:val="006E2AF6"/>
    <w:rsid w:val="006E2B6F"/>
    <w:rsid w:val="006E2B7B"/>
    <w:rsid w:val="006E2BB7"/>
    <w:rsid w:val="006E2BCA"/>
    <w:rsid w:val="006E2CC0"/>
    <w:rsid w:val="006E2CC2"/>
    <w:rsid w:val="006E2D16"/>
    <w:rsid w:val="006E2E92"/>
    <w:rsid w:val="006E2F8E"/>
    <w:rsid w:val="006E3251"/>
    <w:rsid w:val="006E3268"/>
    <w:rsid w:val="006E3314"/>
    <w:rsid w:val="006E3332"/>
    <w:rsid w:val="006E3390"/>
    <w:rsid w:val="006E33CA"/>
    <w:rsid w:val="006E3418"/>
    <w:rsid w:val="006E34E0"/>
    <w:rsid w:val="006E3518"/>
    <w:rsid w:val="006E3553"/>
    <w:rsid w:val="006E355C"/>
    <w:rsid w:val="006E3664"/>
    <w:rsid w:val="006E3926"/>
    <w:rsid w:val="006E3A16"/>
    <w:rsid w:val="006E3A59"/>
    <w:rsid w:val="006E3C90"/>
    <w:rsid w:val="006E3DE3"/>
    <w:rsid w:val="006E3E1B"/>
    <w:rsid w:val="006E3E5E"/>
    <w:rsid w:val="006E4181"/>
    <w:rsid w:val="006E4309"/>
    <w:rsid w:val="006E4347"/>
    <w:rsid w:val="006E4464"/>
    <w:rsid w:val="006E446B"/>
    <w:rsid w:val="006E4624"/>
    <w:rsid w:val="006E4628"/>
    <w:rsid w:val="006E46D4"/>
    <w:rsid w:val="006E484F"/>
    <w:rsid w:val="006E4BF0"/>
    <w:rsid w:val="006E4C7E"/>
    <w:rsid w:val="006E4DFA"/>
    <w:rsid w:val="006E4E99"/>
    <w:rsid w:val="006E4F7E"/>
    <w:rsid w:val="006E4FA3"/>
    <w:rsid w:val="006E5049"/>
    <w:rsid w:val="006E51BA"/>
    <w:rsid w:val="006E53C9"/>
    <w:rsid w:val="006E53D3"/>
    <w:rsid w:val="006E57FA"/>
    <w:rsid w:val="006E5802"/>
    <w:rsid w:val="006E5817"/>
    <w:rsid w:val="006E592F"/>
    <w:rsid w:val="006E5A98"/>
    <w:rsid w:val="006E5BD7"/>
    <w:rsid w:val="006E5D23"/>
    <w:rsid w:val="006E5D28"/>
    <w:rsid w:val="006E5E47"/>
    <w:rsid w:val="006E5E98"/>
    <w:rsid w:val="006E5F7A"/>
    <w:rsid w:val="006E5F97"/>
    <w:rsid w:val="006E60BF"/>
    <w:rsid w:val="006E60F2"/>
    <w:rsid w:val="006E6138"/>
    <w:rsid w:val="006E61AE"/>
    <w:rsid w:val="006E6341"/>
    <w:rsid w:val="006E6437"/>
    <w:rsid w:val="006E64D4"/>
    <w:rsid w:val="006E6564"/>
    <w:rsid w:val="006E6598"/>
    <w:rsid w:val="006E662C"/>
    <w:rsid w:val="006E670F"/>
    <w:rsid w:val="006E67F4"/>
    <w:rsid w:val="006E68A5"/>
    <w:rsid w:val="006E68DD"/>
    <w:rsid w:val="006E6986"/>
    <w:rsid w:val="006E699A"/>
    <w:rsid w:val="006E6A36"/>
    <w:rsid w:val="006E6D7E"/>
    <w:rsid w:val="006E6DBA"/>
    <w:rsid w:val="006E6E74"/>
    <w:rsid w:val="006E6F5B"/>
    <w:rsid w:val="006E7089"/>
    <w:rsid w:val="006E70B5"/>
    <w:rsid w:val="006E71FF"/>
    <w:rsid w:val="006E7241"/>
    <w:rsid w:val="006E72C0"/>
    <w:rsid w:val="006E7445"/>
    <w:rsid w:val="006E74A3"/>
    <w:rsid w:val="006E7695"/>
    <w:rsid w:val="006E76C5"/>
    <w:rsid w:val="006E775D"/>
    <w:rsid w:val="006E7768"/>
    <w:rsid w:val="006E796A"/>
    <w:rsid w:val="006E79DA"/>
    <w:rsid w:val="006E7A3E"/>
    <w:rsid w:val="006E7D53"/>
    <w:rsid w:val="006E7E09"/>
    <w:rsid w:val="006F021D"/>
    <w:rsid w:val="006F0240"/>
    <w:rsid w:val="006F02AD"/>
    <w:rsid w:val="006F03BF"/>
    <w:rsid w:val="006F0537"/>
    <w:rsid w:val="006F07C0"/>
    <w:rsid w:val="006F07CF"/>
    <w:rsid w:val="006F09CF"/>
    <w:rsid w:val="006F09F6"/>
    <w:rsid w:val="006F0A45"/>
    <w:rsid w:val="006F0A46"/>
    <w:rsid w:val="006F0A47"/>
    <w:rsid w:val="006F0A95"/>
    <w:rsid w:val="006F0B1E"/>
    <w:rsid w:val="006F0B38"/>
    <w:rsid w:val="006F0BAE"/>
    <w:rsid w:val="006F0BED"/>
    <w:rsid w:val="006F0C14"/>
    <w:rsid w:val="006F0C3C"/>
    <w:rsid w:val="006F0D81"/>
    <w:rsid w:val="006F0D9C"/>
    <w:rsid w:val="006F0E53"/>
    <w:rsid w:val="006F0EFA"/>
    <w:rsid w:val="006F0F0C"/>
    <w:rsid w:val="006F0F5C"/>
    <w:rsid w:val="006F1201"/>
    <w:rsid w:val="006F1279"/>
    <w:rsid w:val="006F1287"/>
    <w:rsid w:val="006F1368"/>
    <w:rsid w:val="006F1500"/>
    <w:rsid w:val="006F15C6"/>
    <w:rsid w:val="006F15D0"/>
    <w:rsid w:val="006F171A"/>
    <w:rsid w:val="006F1777"/>
    <w:rsid w:val="006F177B"/>
    <w:rsid w:val="006F1795"/>
    <w:rsid w:val="006F1797"/>
    <w:rsid w:val="006F17BE"/>
    <w:rsid w:val="006F17E5"/>
    <w:rsid w:val="006F1973"/>
    <w:rsid w:val="006F1AED"/>
    <w:rsid w:val="006F1AFA"/>
    <w:rsid w:val="006F1BA6"/>
    <w:rsid w:val="006F1E78"/>
    <w:rsid w:val="006F1ED9"/>
    <w:rsid w:val="006F1FB0"/>
    <w:rsid w:val="006F2068"/>
    <w:rsid w:val="006F209B"/>
    <w:rsid w:val="006F2160"/>
    <w:rsid w:val="006F21BB"/>
    <w:rsid w:val="006F21D4"/>
    <w:rsid w:val="006F248E"/>
    <w:rsid w:val="006F256E"/>
    <w:rsid w:val="006F272A"/>
    <w:rsid w:val="006F28F7"/>
    <w:rsid w:val="006F2949"/>
    <w:rsid w:val="006F298C"/>
    <w:rsid w:val="006F2996"/>
    <w:rsid w:val="006F2A1C"/>
    <w:rsid w:val="006F2C09"/>
    <w:rsid w:val="006F2C3A"/>
    <w:rsid w:val="006F2CA7"/>
    <w:rsid w:val="006F2CD8"/>
    <w:rsid w:val="006F2D35"/>
    <w:rsid w:val="006F2D4D"/>
    <w:rsid w:val="006F2D98"/>
    <w:rsid w:val="006F2DC4"/>
    <w:rsid w:val="006F2E19"/>
    <w:rsid w:val="006F2E3E"/>
    <w:rsid w:val="006F2E87"/>
    <w:rsid w:val="006F2E8D"/>
    <w:rsid w:val="006F2FE9"/>
    <w:rsid w:val="006F309B"/>
    <w:rsid w:val="006F3184"/>
    <w:rsid w:val="006F3198"/>
    <w:rsid w:val="006F31D1"/>
    <w:rsid w:val="006F3283"/>
    <w:rsid w:val="006F3557"/>
    <w:rsid w:val="006F37B6"/>
    <w:rsid w:val="006F3859"/>
    <w:rsid w:val="006F388A"/>
    <w:rsid w:val="006F38EB"/>
    <w:rsid w:val="006F3971"/>
    <w:rsid w:val="006F39BB"/>
    <w:rsid w:val="006F3A58"/>
    <w:rsid w:val="006F3AC9"/>
    <w:rsid w:val="006F3B3B"/>
    <w:rsid w:val="006F3B53"/>
    <w:rsid w:val="006F3D3B"/>
    <w:rsid w:val="006F3DCF"/>
    <w:rsid w:val="006F3DF9"/>
    <w:rsid w:val="006F3E0F"/>
    <w:rsid w:val="006F4057"/>
    <w:rsid w:val="006F411A"/>
    <w:rsid w:val="006F422F"/>
    <w:rsid w:val="006F4291"/>
    <w:rsid w:val="006F431D"/>
    <w:rsid w:val="006F4377"/>
    <w:rsid w:val="006F449C"/>
    <w:rsid w:val="006F454B"/>
    <w:rsid w:val="006F455C"/>
    <w:rsid w:val="006F45AF"/>
    <w:rsid w:val="006F4613"/>
    <w:rsid w:val="006F468B"/>
    <w:rsid w:val="006F46BD"/>
    <w:rsid w:val="006F4785"/>
    <w:rsid w:val="006F47BF"/>
    <w:rsid w:val="006F4892"/>
    <w:rsid w:val="006F49BA"/>
    <w:rsid w:val="006F49DA"/>
    <w:rsid w:val="006F4AAF"/>
    <w:rsid w:val="006F4CEC"/>
    <w:rsid w:val="006F4CFF"/>
    <w:rsid w:val="006F4D53"/>
    <w:rsid w:val="006F4DC3"/>
    <w:rsid w:val="006F4E2F"/>
    <w:rsid w:val="006F4E3A"/>
    <w:rsid w:val="006F4EE0"/>
    <w:rsid w:val="006F4EF3"/>
    <w:rsid w:val="006F5047"/>
    <w:rsid w:val="006F50B7"/>
    <w:rsid w:val="006F5208"/>
    <w:rsid w:val="006F529B"/>
    <w:rsid w:val="006F5443"/>
    <w:rsid w:val="006F5461"/>
    <w:rsid w:val="006F54AF"/>
    <w:rsid w:val="006F568B"/>
    <w:rsid w:val="006F5714"/>
    <w:rsid w:val="006F5767"/>
    <w:rsid w:val="006F57F1"/>
    <w:rsid w:val="006F5907"/>
    <w:rsid w:val="006F5A7D"/>
    <w:rsid w:val="006F5AD2"/>
    <w:rsid w:val="006F5AE9"/>
    <w:rsid w:val="006F5C03"/>
    <w:rsid w:val="006F5C43"/>
    <w:rsid w:val="006F5C6E"/>
    <w:rsid w:val="006F5CE4"/>
    <w:rsid w:val="006F5D40"/>
    <w:rsid w:val="006F5DEA"/>
    <w:rsid w:val="006F5EBE"/>
    <w:rsid w:val="006F5F66"/>
    <w:rsid w:val="006F5FD9"/>
    <w:rsid w:val="006F654F"/>
    <w:rsid w:val="006F6688"/>
    <w:rsid w:val="006F673F"/>
    <w:rsid w:val="006F67B3"/>
    <w:rsid w:val="006F67F9"/>
    <w:rsid w:val="006F68B2"/>
    <w:rsid w:val="006F6959"/>
    <w:rsid w:val="006F6B7F"/>
    <w:rsid w:val="006F6C2E"/>
    <w:rsid w:val="006F6D5D"/>
    <w:rsid w:val="006F6E39"/>
    <w:rsid w:val="006F6EF7"/>
    <w:rsid w:val="006F7143"/>
    <w:rsid w:val="006F7154"/>
    <w:rsid w:val="006F715A"/>
    <w:rsid w:val="006F7228"/>
    <w:rsid w:val="006F7428"/>
    <w:rsid w:val="006F7590"/>
    <w:rsid w:val="006F7643"/>
    <w:rsid w:val="006F768D"/>
    <w:rsid w:val="006F76E1"/>
    <w:rsid w:val="006F7711"/>
    <w:rsid w:val="006F78E3"/>
    <w:rsid w:val="006F7916"/>
    <w:rsid w:val="006F7937"/>
    <w:rsid w:val="006F79B3"/>
    <w:rsid w:val="006F79E4"/>
    <w:rsid w:val="006F7A29"/>
    <w:rsid w:val="006F7A4A"/>
    <w:rsid w:val="006F7A8C"/>
    <w:rsid w:val="006F7AEB"/>
    <w:rsid w:val="006F7B26"/>
    <w:rsid w:val="006F7BC4"/>
    <w:rsid w:val="006F7C85"/>
    <w:rsid w:val="006F7CA8"/>
    <w:rsid w:val="006F7DC8"/>
    <w:rsid w:val="006F7EFC"/>
    <w:rsid w:val="006F7F27"/>
    <w:rsid w:val="006F7F41"/>
    <w:rsid w:val="0070003F"/>
    <w:rsid w:val="00700124"/>
    <w:rsid w:val="00700187"/>
    <w:rsid w:val="0070043C"/>
    <w:rsid w:val="007004A4"/>
    <w:rsid w:val="00700603"/>
    <w:rsid w:val="00700672"/>
    <w:rsid w:val="00700845"/>
    <w:rsid w:val="007008C2"/>
    <w:rsid w:val="00700C3A"/>
    <w:rsid w:val="00700D8B"/>
    <w:rsid w:val="00700E27"/>
    <w:rsid w:val="00700F96"/>
    <w:rsid w:val="007011A6"/>
    <w:rsid w:val="00701275"/>
    <w:rsid w:val="007015E1"/>
    <w:rsid w:val="007016B5"/>
    <w:rsid w:val="007016EC"/>
    <w:rsid w:val="007017EE"/>
    <w:rsid w:val="00701815"/>
    <w:rsid w:val="0070181A"/>
    <w:rsid w:val="007018E2"/>
    <w:rsid w:val="0070196E"/>
    <w:rsid w:val="007019E1"/>
    <w:rsid w:val="007019E3"/>
    <w:rsid w:val="00701AB5"/>
    <w:rsid w:val="00701C68"/>
    <w:rsid w:val="00701CCF"/>
    <w:rsid w:val="00701DF6"/>
    <w:rsid w:val="00701E6D"/>
    <w:rsid w:val="00701FD2"/>
    <w:rsid w:val="00702159"/>
    <w:rsid w:val="0070217E"/>
    <w:rsid w:val="0070220B"/>
    <w:rsid w:val="00702216"/>
    <w:rsid w:val="0070221C"/>
    <w:rsid w:val="00702237"/>
    <w:rsid w:val="00702317"/>
    <w:rsid w:val="0070236E"/>
    <w:rsid w:val="00702399"/>
    <w:rsid w:val="007023F4"/>
    <w:rsid w:val="007023FB"/>
    <w:rsid w:val="007025D6"/>
    <w:rsid w:val="0070267A"/>
    <w:rsid w:val="007026BA"/>
    <w:rsid w:val="0070273E"/>
    <w:rsid w:val="007027DF"/>
    <w:rsid w:val="0070280A"/>
    <w:rsid w:val="007029FB"/>
    <w:rsid w:val="00702AAE"/>
    <w:rsid w:val="00702B40"/>
    <w:rsid w:val="00702BFF"/>
    <w:rsid w:val="00702CBC"/>
    <w:rsid w:val="00702D30"/>
    <w:rsid w:val="00702D45"/>
    <w:rsid w:val="00702EBE"/>
    <w:rsid w:val="00702EFE"/>
    <w:rsid w:val="00702F57"/>
    <w:rsid w:val="00702F5A"/>
    <w:rsid w:val="00702F9F"/>
    <w:rsid w:val="007030A1"/>
    <w:rsid w:val="00703288"/>
    <w:rsid w:val="007032CE"/>
    <w:rsid w:val="00703327"/>
    <w:rsid w:val="00703423"/>
    <w:rsid w:val="0070343A"/>
    <w:rsid w:val="007034A2"/>
    <w:rsid w:val="007034F2"/>
    <w:rsid w:val="00703644"/>
    <w:rsid w:val="00703796"/>
    <w:rsid w:val="0070382C"/>
    <w:rsid w:val="007038AC"/>
    <w:rsid w:val="007038F4"/>
    <w:rsid w:val="0070390A"/>
    <w:rsid w:val="0070392A"/>
    <w:rsid w:val="00703AE3"/>
    <w:rsid w:val="00703B1E"/>
    <w:rsid w:val="00703C0C"/>
    <w:rsid w:val="00703C0E"/>
    <w:rsid w:val="00703CFD"/>
    <w:rsid w:val="00703E73"/>
    <w:rsid w:val="00703E95"/>
    <w:rsid w:val="0070401D"/>
    <w:rsid w:val="00704025"/>
    <w:rsid w:val="00704152"/>
    <w:rsid w:val="007042B9"/>
    <w:rsid w:val="007042F5"/>
    <w:rsid w:val="007043A4"/>
    <w:rsid w:val="00704590"/>
    <w:rsid w:val="00704656"/>
    <w:rsid w:val="007048E7"/>
    <w:rsid w:val="00704947"/>
    <w:rsid w:val="00704971"/>
    <w:rsid w:val="00704AA7"/>
    <w:rsid w:val="00704C70"/>
    <w:rsid w:val="00704C79"/>
    <w:rsid w:val="00704CC6"/>
    <w:rsid w:val="00704EC0"/>
    <w:rsid w:val="00704F5A"/>
    <w:rsid w:val="007050CD"/>
    <w:rsid w:val="007052A0"/>
    <w:rsid w:val="00705375"/>
    <w:rsid w:val="00705437"/>
    <w:rsid w:val="00705442"/>
    <w:rsid w:val="00705444"/>
    <w:rsid w:val="00705584"/>
    <w:rsid w:val="0070569A"/>
    <w:rsid w:val="00705707"/>
    <w:rsid w:val="00705709"/>
    <w:rsid w:val="007057D4"/>
    <w:rsid w:val="007057E1"/>
    <w:rsid w:val="00705822"/>
    <w:rsid w:val="00705A3E"/>
    <w:rsid w:val="00705BF7"/>
    <w:rsid w:val="00705C15"/>
    <w:rsid w:val="00705CD7"/>
    <w:rsid w:val="00705D92"/>
    <w:rsid w:val="00705E50"/>
    <w:rsid w:val="00705EB4"/>
    <w:rsid w:val="00705F2B"/>
    <w:rsid w:val="00706101"/>
    <w:rsid w:val="00706395"/>
    <w:rsid w:val="0070656A"/>
    <w:rsid w:val="007065B7"/>
    <w:rsid w:val="007065DE"/>
    <w:rsid w:val="007066F2"/>
    <w:rsid w:val="00706724"/>
    <w:rsid w:val="00706AC8"/>
    <w:rsid w:val="00706BC9"/>
    <w:rsid w:val="00706C68"/>
    <w:rsid w:val="00706D2C"/>
    <w:rsid w:val="00706D41"/>
    <w:rsid w:val="00706E1D"/>
    <w:rsid w:val="00706EDE"/>
    <w:rsid w:val="00706FED"/>
    <w:rsid w:val="00707010"/>
    <w:rsid w:val="0070711D"/>
    <w:rsid w:val="0070715E"/>
    <w:rsid w:val="0070718F"/>
    <w:rsid w:val="00707311"/>
    <w:rsid w:val="00707313"/>
    <w:rsid w:val="0070736D"/>
    <w:rsid w:val="0070740A"/>
    <w:rsid w:val="00707423"/>
    <w:rsid w:val="007074DD"/>
    <w:rsid w:val="007076B8"/>
    <w:rsid w:val="0070789A"/>
    <w:rsid w:val="007079B9"/>
    <w:rsid w:val="00707A81"/>
    <w:rsid w:val="00707C1A"/>
    <w:rsid w:val="00707C1E"/>
    <w:rsid w:val="00707D89"/>
    <w:rsid w:val="00707D9E"/>
    <w:rsid w:val="00707F56"/>
    <w:rsid w:val="0071004D"/>
    <w:rsid w:val="007100B6"/>
    <w:rsid w:val="00710213"/>
    <w:rsid w:val="0071028F"/>
    <w:rsid w:val="00710295"/>
    <w:rsid w:val="007102D0"/>
    <w:rsid w:val="0071030D"/>
    <w:rsid w:val="007104AB"/>
    <w:rsid w:val="007105B3"/>
    <w:rsid w:val="007105F9"/>
    <w:rsid w:val="0071066D"/>
    <w:rsid w:val="007106CF"/>
    <w:rsid w:val="0071092E"/>
    <w:rsid w:val="00710A92"/>
    <w:rsid w:val="00710AE7"/>
    <w:rsid w:val="00710B20"/>
    <w:rsid w:val="00710B3F"/>
    <w:rsid w:val="00710BB9"/>
    <w:rsid w:val="00710CD1"/>
    <w:rsid w:val="00710D0F"/>
    <w:rsid w:val="00710D2E"/>
    <w:rsid w:val="00710E61"/>
    <w:rsid w:val="00711034"/>
    <w:rsid w:val="00711285"/>
    <w:rsid w:val="007112BC"/>
    <w:rsid w:val="007112C5"/>
    <w:rsid w:val="007113B5"/>
    <w:rsid w:val="007113D7"/>
    <w:rsid w:val="0071165E"/>
    <w:rsid w:val="007119DF"/>
    <w:rsid w:val="00711A14"/>
    <w:rsid w:val="00711AB9"/>
    <w:rsid w:val="00711B5A"/>
    <w:rsid w:val="00711B92"/>
    <w:rsid w:val="00711F05"/>
    <w:rsid w:val="00712036"/>
    <w:rsid w:val="007121AB"/>
    <w:rsid w:val="00712290"/>
    <w:rsid w:val="007123D9"/>
    <w:rsid w:val="00712778"/>
    <w:rsid w:val="0071282E"/>
    <w:rsid w:val="007128EB"/>
    <w:rsid w:val="00712A11"/>
    <w:rsid w:val="00712A95"/>
    <w:rsid w:val="00712AD6"/>
    <w:rsid w:val="00712B0F"/>
    <w:rsid w:val="00712B92"/>
    <w:rsid w:val="00712C31"/>
    <w:rsid w:val="00712EB2"/>
    <w:rsid w:val="00712EF4"/>
    <w:rsid w:val="00713038"/>
    <w:rsid w:val="00713290"/>
    <w:rsid w:val="0071336C"/>
    <w:rsid w:val="007134A9"/>
    <w:rsid w:val="00713503"/>
    <w:rsid w:val="00713558"/>
    <w:rsid w:val="007135B2"/>
    <w:rsid w:val="007135CE"/>
    <w:rsid w:val="0071370B"/>
    <w:rsid w:val="0071389C"/>
    <w:rsid w:val="007138F1"/>
    <w:rsid w:val="00713904"/>
    <w:rsid w:val="00713A1F"/>
    <w:rsid w:val="00713AEA"/>
    <w:rsid w:val="00713D00"/>
    <w:rsid w:val="00713DFF"/>
    <w:rsid w:val="00713EA1"/>
    <w:rsid w:val="00713ED4"/>
    <w:rsid w:val="00713FE9"/>
    <w:rsid w:val="00714013"/>
    <w:rsid w:val="0071401D"/>
    <w:rsid w:val="007140AC"/>
    <w:rsid w:val="007141A2"/>
    <w:rsid w:val="0071428D"/>
    <w:rsid w:val="007142C1"/>
    <w:rsid w:val="00714377"/>
    <w:rsid w:val="00714460"/>
    <w:rsid w:val="007144B5"/>
    <w:rsid w:val="00714660"/>
    <w:rsid w:val="007146E3"/>
    <w:rsid w:val="0071494E"/>
    <w:rsid w:val="00714995"/>
    <w:rsid w:val="00714AB9"/>
    <w:rsid w:val="00714AE1"/>
    <w:rsid w:val="00714C4E"/>
    <w:rsid w:val="00714E33"/>
    <w:rsid w:val="00714F05"/>
    <w:rsid w:val="00714F7D"/>
    <w:rsid w:val="0071501D"/>
    <w:rsid w:val="007150A2"/>
    <w:rsid w:val="00715170"/>
    <w:rsid w:val="00715184"/>
    <w:rsid w:val="007151F6"/>
    <w:rsid w:val="0071529A"/>
    <w:rsid w:val="007152B8"/>
    <w:rsid w:val="00715352"/>
    <w:rsid w:val="0071540C"/>
    <w:rsid w:val="007154AF"/>
    <w:rsid w:val="007154B7"/>
    <w:rsid w:val="0071551D"/>
    <w:rsid w:val="007155B3"/>
    <w:rsid w:val="00715716"/>
    <w:rsid w:val="00715790"/>
    <w:rsid w:val="007158C4"/>
    <w:rsid w:val="00715950"/>
    <w:rsid w:val="00715B1C"/>
    <w:rsid w:val="00715D04"/>
    <w:rsid w:val="00715DCF"/>
    <w:rsid w:val="00715E12"/>
    <w:rsid w:val="00716046"/>
    <w:rsid w:val="00716160"/>
    <w:rsid w:val="007161FB"/>
    <w:rsid w:val="0071620D"/>
    <w:rsid w:val="007162FD"/>
    <w:rsid w:val="00716328"/>
    <w:rsid w:val="00716360"/>
    <w:rsid w:val="00716367"/>
    <w:rsid w:val="007163A8"/>
    <w:rsid w:val="007163B0"/>
    <w:rsid w:val="007166F0"/>
    <w:rsid w:val="007166F6"/>
    <w:rsid w:val="00716731"/>
    <w:rsid w:val="007167E7"/>
    <w:rsid w:val="0071686A"/>
    <w:rsid w:val="007169A9"/>
    <w:rsid w:val="00716A17"/>
    <w:rsid w:val="00716A2D"/>
    <w:rsid w:val="00716A58"/>
    <w:rsid w:val="00716CA5"/>
    <w:rsid w:val="00716DF7"/>
    <w:rsid w:val="00716E87"/>
    <w:rsid w:val="00716EEE"/>
    <w:rsid w:val="0071706A"/>
    <w:rsid w:val="00717070"/>
    <w:rsid w:val="007170E0"/>
    <w:rsid w:val="0071722F"/>
    <w:rsid w:val="007172E3"/>
    <w:rsid w:val="007174B1"/>
    <w:rsid w:val="007174BE"/>
    <w:rsid w:val="007174EF"/>
    <w:rsid w:val="0071750E"/>
    <w:rsid w:val="00717694"/>
    <w:rsid w:val="007177B5"/>
    <w:rsid w:val="00717830"/>
    <w:rsid w:val="007178A6"/>
    <w:rsid w:val="00717973"/>
    <w:rsid w:val="00717993"/>
    <w:rsid w:val="007179DD"/>
    <w:rsid w:val="00717A4F"/>
    <w:rsid w:val="00717BC0"/>
    <w:rsid w:val="00717C2C"/>
    <w:rsid w:val="00717D0D"/>
    <w:rsid w:val="00720144"/>
    <w:rsid w:val="007201D3"/>
    <w:rsid w:val="0072023B"/>
    <w:rsid w:val="00720474"/>
    <w:rsid w:val="0072056C"/>
    <w:rsid w:val="00720628"/>
    <w:rsid w:val="0072094C"/>
    <w:rsid w:val="00720BA1"/>
    <w:rsid w:val="00720C05"/>
    <w:rsid w:val="00720D08"/>
    <w:rsid w:val="00720DB6"/>
    <w:rsid w:val="00720DDA"/>
    <w:rsid w:val="00720F99"/>
    <w:rsid w:val="00720FC9"/>
    <w:rsid w:val="00720FCE"/>
    <w:rsid w:val="00720FFA"/>
    <w:rsid w:val="0072102C"/>
    <w:rsid w:val="00721092"/>
    <w:rsid w:val="007211A1"/>
    <w:rsid w:val="00721246"/>
    <w:rsid w:val="00721250"/>
    <w:rsid w:val="0072125C"/>
    <w:rsid w:val="00721265"/>
    <w:rsid w:val="007212C2"/>
    <w:rsid w:val="00721355"/>
    <w:rsid w:val="00721484"/>
    <w:rsid w:val="007215D3"/>
    <w:rsid w:val="00721692"/>
    <w:rsid w:val="0072175B"/>
    <w:rsid w:val="007217D5"/>
    <w:rsid w:val="007218B7"/>
    <w:rsid w:val="00721959"/>
    <w:rsid w:val="00721978"/>
    <w:rsid w:val="00721BB0"/>
    <w:rsid w:val="00721C18"/>
    <w:rsid w:val="00721CD0"/>
    <w:rsid w:val="00721D6E"/>
    <w:rsid w:val="00721DBF"/>
    <w:rsid w:val="00721DD9"/>
    <w:rsid w:val="00721FD8"/>
    <w:rsid w:val="00722114"/>
    <w:rsid w:val="007221EF"/>
    <w:rsid w:val="0072226B"/>
    <w:rsid w:val="007224C4"/>
    <w:rsid w:val="00722641"/>
    <w:rsid w:val="00722745"/>
    <w:rsid w:val="00722771"/>
    <w:rsid w:val="00722838"/>
    <w:rsid w:val="00722909"/>
    <w:rsid w:val="007229CD"/>
    <w:rsid w:val="007229DF"/>
    <w:rsid w:val="00722BA8"/>
    <w:rsid w:val="00722BF1"/>
    <w:rsid w:val="00722ECE"/>
    <w:rsid w:val="00722FB6"/>
    <w:rsid w:val="00723037"/>
    <w:rsid w:val="007232C0"/>
    <w:rsid w:val="00723319"/>
    <w:rsid w:val="007233AD"/>
    <w:rsid w:val="00723466"/>
    <w:rsid w:val="007234A7"/>
    <w:rsid w:val="00723564"/>
    <w:rsid w:val="0072367E"/>
    <w:rsid w:val="007237E5"/>
    <w:rsid w:val="00723887"/>
    <w:rsid w:val="0072394D"/>
    <w:rsid w:val="00723AEC"/>
    <w:rsid w:val="00723AEF"/>
    <w:rsid w:val="00723BA2"/>
    <w:rsid w:val="00723C72"/>
    <w:rsid w:val="00723C93"/>
    <w:rsid w:val="00723CD3"/>
    <w:rsid w:val="00723DF9"/>
    <w:rsid w:val="00723E00"/>
    <w:rsid w:val="00723E40"/>
    <w:rsid w:val="00723EC8"/>
    <w:rsid w:val="00723F09"/>
    <w:rsid w:val="00723F0C"/>
    <w:rsid w:val="00723FA2"/>
    <w:rsid w:val="00724037"/>
    <w:rsid w:val="0072417A"/>
    <w:rsid w:val="00724297"/>
    <w:rsid w:val="007244E1"/>
    <w:rsid w:val="0072455E"/>
    <w:rsid w:val="00724656"/>
    <w:rsid w:val="007246B2"/>
    <w:rsid w:val="00724707"/>
    <w:rsid w:val="0072473C"/>
    <w:rsid w:val="00724888"/>
    <w:rsid w:val="00724A2A"/>
    <w:rsid w:val="00724A59"/>
    <w:rsid w:val="00724AAB"/>
    <w:rsid w:val="00724B1E"/>
    <w:rsid w:val="00724B90"/>
    <w:rsid w:val="00724C0D"/>
    <w:rsid w:val="00724C33"/>
    <w:rsid w:val="00724E08"/>
    <w:rsid w:val="00724E21"/>
    <w:rsid w:val="00724E4F"/>
    <w:rsid w:val="00724E6F"/>
    <w:rsid w:val="00724F93"/>
    <w:rsid w:val="0072503B"/>
    <w:rsid w:val="007250C1"/>
    <w:rsid w:val="0072511E"/>
    <w:rsid w:val="007251A3"/>
    <w:rsid w:val="00725299"/>
    <w:rsid w:val="00725323"/>
    <w:rsid w:val="007253FB"/>
    <w:rsid w:val="007254BE"/>
    <w:rsid w:val="00725562"/>
    <w:rsid w:val="0072559C"/>
    <w:rsid w:val="007255A2"/>
    <w:rsid w:val="0072567E"/>
    <w:rsid w:val="0072574F"/>
    <w:rsid w:val="007257F4"/>
    <w:rsid w:val="00725978"/>
    <w:rsid w:val="007259A4"/>
    <w:rsid w:val="00725A35"/>
    <w:rsid w:val="00725AD6"/>
    <w:rsid w:val="00725C48"/>
    <w:rsid w:val="00725D52"/>
    <w:rsid w:val="00725DA5"/>
    <w:rsid w:val="00725DCD"/>
    <w:rsid w:val="0072611D"/>
    <w:rsid w:val="0072613C"/>
    <w:rsid w:val="00726196"/>
    <w:rsid w:val="007261A2"/>
    <w:rsid w:val="007261BA"/>
    <w:rsid w:val="00726256"/>
    <w:rsid w:val="00726327"/>
    <w:rsid w:val="007263A4"/>
    <w:rsid w:val="007263B9"/>
    <w:rsid w:val="00726533"/>
    <w:rsid w:val="00726579"/>
    <w:rsid w:val="0072658B"/>
    <w:rsid w:val="007265EA"/>
    <w:rsid w:val="0072672A"/>
    <w:rsid w:val="00726885"/>
    <w:rsid w:val="0072689A"/>
    <w:rsid w:val="007268B6"/>
    <w:rsid w:val="00726954"/>
    <w:rsid w:val="00726A0B"/>
    <w:rsid w:val="00726A9A"/>
    <w:rsid w:val="00726B33"/>
    <w:rsid w:val="00726BC2"/>
    <w:rsid w:val="00726C18"/>
    <w:rsid w:val="00726C44"/>
    <w:rsid w:val="00726CE8"/>
    <w:rsid w:val="00726D76"/>
    <w:rsid w:val="00726EBF"/>
    <w:rsid w:val="00726F3B"/>
    <w:rsid w:val="00726FD5"/>
    <w:rsid w:val="0072713F"/>
    <w:rsid w:val="00727400"/>
    <w:rsid w:val="00727419"/>
    <w:rsid w:val="00727452"/>
    <w:rsid w:val="007274A7"/>
    <w:rsid w:val="007274DA"/>
    <w:rsid w:val="00727881"/>
    <w:rsid w:val="007279B8"/>
    <w:rsid w:val="00727C32"/>
    <w:rsid w:val="00727C4C"/>
    <w:rsid w:val="00727CA8"/>
    <w:rsid w:val="00727D10"/>
    <w:rsid w:val="00727DA7"/>
    <w:rsid w:val="00727DF0"/>
    <w:rsid w:val="00727DF8"/>
    <w:rsid w:val="007292DF"/>
    <w:rsid w:val="00730066"/>
    <w:rsid w:val="0073014E"/>
    <w:rsid w:val="007301FA"/>
    <w:rsid w:val="007302B3"/>
    <w:rsid w:val="007302DD"/>
    <w:rsid w:val="00730466"/>
    <w:rsid w:val="007304B9"/>
    <w:rsid w:val="0073063D"/>
    <w:rsid w:val="00730650"/>
    <w:rsid w:val="0073071A"/>
    <w:rsid w:val="007308E7"/>
    <w:rsid w:val="00730A7C"/>
    <w:rsid w:val="00730C2A"/>
    <w:rsid w:val="00730C2D"/>
    <w:rsid w:val="00730D02"/>
    <w:rsid w:val="00730D9C"/>
    <w:rsid w:val="00730F29"/>
    <w:rsid w:val="00731046"/>
    <w:rsid w:val="00731067"/>
    <w:rsid w:val="0073122A"/>
    <w:rsid w:val="00731367"/>
    <w:rsid w:val="007313A4"/>
    <w:rsid w:val="007313CF"/>
    <w:rsid w:val="00731471"/>
    <w:rsid w:val="007314A6"/>
    <w:rsid w:val="007314D3"/>
    <w:rsid w:val="00731514"/>
    <w:rsid w:val="0073157F"/>
    <w:rsid w:val="00731959"/>
    <w:rsid w:val="0073197C"/>
    <w:rsid w:val="007319FD"/>
    <w:rsid w:val="00731AA9"/>
    <w:rsid w:val="00731BA0"/>
    <w:rsid w:val="00731C98"/>
    <w:rsid w:val="00731E8A"/>
    <w:rsid w:val="00731FA1"/>
    <w:rsid w:val="007320E3"/>
    <w:rsid w:val="0073210F"/>
    <w:rsid w:val="00732174"/>
    <w:rsid w:val="0073217D"/>
    <w:rsid w:val="00732271"/>
    <w:rsid w:val="007322C7"/>
    <w:rsid w:val="007323E9"/>
    <w:rsid w:val="00732429"/>
    <w:rsid w:val="007326C8"/>
    <w:rsid w:val="007328FA"/>
    <w:rsid w:val="0073290E"/>
    <w:rsid w:val="00732A2C"/>
    <w:rsid w:val="00732BCD"/>
    <w:rsid w:val="00732BE2"/>
    <w:rsid w:val="00732C64"/>
    <w:rsid w:val="00732E11"/>
    <w:rsid w:val="00732E19"/>
    <w:rsid w:val="00732F81"/>
    <w:rsid w:val="00732FC7"/>
    <w:rsid w:val="00732FFA"/>
    <w:rsid w:val="0073300A"/>
    <w:rsid w:val="00733024"/>
    <w:rsid w:val="0073305D"/>
    <w:rsid w:val="00733115"/>
    <w:rsid w:val="007331BE"/>
    <w:rsid w:val="00733307"/>
    <w:rsid w:val="00733313"/>
    <w:rsid w:val="00733413"/>
    <w:rsid w:val="00733430"/>
    <w:rsid w:val="00733445"/>
    <w:rsid w:val="007334F8"/>
    <w:rsid w:val="007335DC"/>
    <w:rsid w:val="0073363B"/>
    <w:rsid w:val="007336D0"/>
    <w:rsid w:val="0073372C"/>
    <w:rsid w:val="00733762"/>
    <w:rsid w:val="007338CA"/>
    <w:rsid w:val="007338FD"/>
    <w:rsid w:val="007339CD"/>
    <w:rsid w:val="00733A11"/>
    <w:rsid w:val="00733A96"/>
    <w:rsid w:val="00733B25"/>
    <w:rsid w:val="00733B5D"/>
    <w:rsid w:val="00733C98"/>
    <w:rsid w:val="00733D39"/>
    <w:rsid w:val="00733D8A"/>
    <w:rsid w:val="00733F9E"/>
    <w:rsid w:val="00733FAA"/>
    <w:rsid w:val="00733FD9"/>
    <w:rsid w:val="00734015"/>
    <w:rsid w:val="0073404B"/>
    <w:rsid w:val="00734194"/>
    <w:rsid w:val="007341E4"/>
    <w:rsid w:val="00734266"/>
    <w:rsid w:val="007342D9"/>
    <w:rsid w:val="00734325"/>
    <w:rsid w:val="00734495"/>
    <w:rsid w:val="00734496"/>
    <w:rsid w:val="00734554"/>
    <w:rsid w:val="00734575"/>
    <w:rsid w:val="007345D9"/>
    <w:rsid w:val="00734765"/>
    <w:rsid w:val="007348B3"/>
    <w:rsid w:val="007348D7"/>
    <w:rsid w:val="00734C3C"/>
    <w:rsid w:val="00734CBA"/>
    <w:rsid w:val="00734E91"/>
    <w:rsid w:val="00734F40"/>
    <w:rsid w:val="0073505D"/>
    <w:rsid w:val="0073517E"/>
    <w:rsid w:val="00735228"/>
    <w:rsid w:val="00735560"/>
    <w:rsid w:val="007355B2"/>
    <w:rsid w:val="0073577E"/>
    <w:rsid w:val="007357C5"/>
    <w:rsid w:val="00735891"/>
    <w:rsid w:val="007358F4"/>
    <w:rsid w:val="007359D8"/>
    <w:rsid w:val="00735A47"/>
    <w:rsid w:val="00735C24"/>
    <w:rsid w:val="00735C8C"/>
    <w:rsid w:val="00735EB8"/>
    <w:rsid w:val="00735FE9"/>
    <w:rsid w:val="007360B9"/>
    <w:rsid w:val="007360C7"/>
    <w:rsid w:val="007360F4"/>
    <w:rsid w:val="00736112"/>
    <w:rsid w:val="00736197"/>
    <w:rsid w:val="007361BA"/>
    <w:rsid w:val="0073626B"/>
    <w:rsid w:val="007362D4"/>
    <w:rsid w:val="007364D4"/>
    <w:rsid w:val="00736587"/>
    <w:rsid w:val="007365F9"/>
    <w:rsid w:val="00736624"/>
    <w:rsid w:val="007368B4"/>
    <w:rsid w:val="00736A13"/>
    <w:rsid w:val="00736AAA"/>
    <w:rsid w:val="00736D2F"/>
    <w:rsid w:val="00736D7F"/>
    <w:rsid w:val="00736E87"/>
    <w:rsid w:val="00736EA6"/>
    <w:rsid w:val="00736F1C"/>
    <w:rsid w:val="00736F45"/>
    <w:rsid w:val="00736FB7"/>
    <w:rsid w:val="0073700F"/>
    <w:rsid w:val="0073714A"/>
    <w:rsid w:val="0073717E"/>
    <w:rsid w:val="00737214"/>
    <w:rsid w:val="00737233"/>
    <w:rsid w:val="0073743F"/>
    <w:rsid w:val="00737579"/>
    <w:rsid w:val="0073762E"/>
    <w:rsid w:val="00737860"/>
    <w:rsid w:val="00737959"/>
    <w:rsid w:val="007379D1"/>
    <w:rsid w:val="00737A10"/>
    <w:rsid w:val="00737A8C"/>
    <w:rsid w:val="00737B18"/>
    <w:rsid w:val="00737B36"/>
    <w:rsid w:val="00737B3B"/>
    <w:rsid w:val="00737BB1"/>
    <w:rsid w:val="00737C24"/>
    <w:rsid w:val="00737CB2"/>
    <w:rsid w:val="00737CE4"/>
    <w:rsid w:val="00737D67"/>
    <w:rsid w:val="00737EF1"/>
    <w:rsid w:val="007401CE"/>
    <w:rsid w:val="007401D9"/>
    <w:rsid w:val="0074025D"/>
    <w:rsid w:val="00740320"/>
    <w:rsid w:val="0074036B"/>
    <w:rsid w:val="007404A6"/>
    <w:rsid w:val="00740607"/>
    <w:rsid w:val="007406F8"/>
    <w:rsid w:val="007406FA"/>
    <w:rsid w:val="0074072E"/>
    <w:rsid w:val="00740760"/>
    <w:rsid w:val="0074078B"/>
    <w:rsid w:val="007408EC"/>
    <w:rsid w:val="00740AF1"/>
    <w:rsid w:val="00740E6B"/>
    <w:rsid w:val="00741034"/>
    <w:rsid w:val="00741086"/>
    <w:rsid w:val="007410D3"/>
    <w:rsid w:val="0074120C"/>
    <w:rsid w:val="00741297"/>
    <w:rsid w:val="007412C1"/>
    <w:rsid w:val="007413C9"/>
    <w:rsid w:val="007413E5"/>
    <w:rsid w:val="007413ED"/>
    <w:rsid w:val="00741499"/>
    <w:rsid w:val="007414FB"/>
    <w:rsid w:val="007416A0"/>
    <w:rsid w:val="007417C6"/>
    <w:rsid w:val="0074181E"/>
    <w:rsid w:val="007418AB"/>
    <w:rsid w:val="00741961"/>
    <w:rsid w:val="00741AD2"/>
    <w:rsid w:val="00741B0B"/>
    <w:rsid w:val="00741BE2"/>
    <w:rsid w:val="00741C43"/>
    <w:rsid w:val="00741CB9"/>
    <w:rsid w:val="00741D01"/>
    <w:rsid w:val="00741D78"/>
    <w:rsid w:val="00741DAE"/>
    <w:rsid w:val="00741DB7"/>
    <w:rsid w:val="00741ED7"/>
    <w:rsid w:val="00741FC1"/>
    <w:rsid w:val="00741FF8"/>
    <w:rsid w:val="007420C8"/>
    <w:rsid w:val="0074212E"/>
    <w:rsid w:val="007421E1"/>
    <w:rsid w:val="007421EB"/>
    <w:rsid w:val="007422C3"/>
    <w:rsid w:val="007423DE"/>
    <w:rsid w:val="007424B3"/>
    <w:rsid w:val="007424FD"/>
    <w:rsid w:val="00742662"/>
    <w:rsid w:val="00742699"/>
    <w:rsid w:val="00742781"/>
    <w:rsid w:val="00742821"/>
    <w:rsid w:val="00742939"/>
    <w:rsid w:val="007429BD"/>
    <w:rsid w:val="00742C18"/>
    <w:rsid w:val="00742D41"/>
    <w:rsid w:val="00742D55"/>
    <w:rsid w:val="00742EC7"/>
    <w:rsid w:val="00742F08"/>
    <w:rsid w:val="00742F5A"/>
    <w:rsid w:val="007431F7"/>
    <w:rsid w:val="00743316"/>
    <w:rsid w:val="00743348"/>
    <w:rsid w:val="0074346A"/>
    <w:rsid w:val="00743506"/>
    <w:rsid w:val="0074356C"/>
    <w:rsid w:val="0074358A"/>
    <w:rsid w:val="007435A4"/>
    <w:rsid w:val="007436A9"/>
    <w:rsid w:val="007436CB"/>
    <w:rsid w:val="007436D1"/>
    <w:rsid w:val="007437AC"/>
    <w:rsid w:val="00743812"/>
    <w:rsid w:val="00743818"/>
    <w:rsid w:val="0074382B"/>
    <w:rsid w:val="00743879"/>
    <w:rsid w:val="007438AB"/>
    <w:rsid w:val="0074390B"/>
    <w:rsid w:val="007439B6"/>
    <w:rsid w:val="00743A9B"/>
    <w:rsid w:val="00743B39"/>
    <w:rsid w:val="00743B95"/>
    <w:rsid w:val="00743BE5"/>
    <w:rsid w:val="00743C8F"/>
    <w:rsid w:val="00743D99"/>
    <w:rsid w:val="00743DB3"/>
    <w:rsid w:val="00743E57"/>
    <w:rsid w:val="00743EE2"/>
    <w:rsid w:val="00743EE5"/>
    <w:rsid w:val="00743FF3"/>
    <w:rsid w:val="00744198"/>
    <w:rsid w:val="007441F5"/>
    <w:rsid w:val="00744257"/>
    <w:rsid w:val="007442F6"/>
    <w:rsid w:val="007445DC"/>
    <w:rsid w:val="0074461E"/>
    <w:rsid w:val="00744687"/>
    <w:rsid w:val="00744868"/>
    <w:rsid w:val="00744941"/>
    <w:rsid w:val="007449AA"/>
    <w:rsid w:val="007449CA"/>
    <w:rsid w:val="007449FC"/>
    <w:rsid w:val="00744C51"/>
    <w:rsid w:val="00744C8C"/>
    <w:rsid w:val="00744DBC"/>
    <w:rsid w:val="00744EEC"/>
    <w:rsid w:val="00744FA1"/>
    <w:rsid w:val="00745362"/>
    <w:rsid w:val="00745410"/>
    <w:rsid w:val="00745514"/>
    <w:rsid w:val="00745571"/>
    <w:rsid w:val="007457D8"/>
    <w:rsid w:val="00745A90"/>
    <w:rsid w:val="00745BA9"/>
    <w:rsid w:val="00745BBF"/>
    <w:rsid w:val="00745BE8"/>
    <w:rsid w:val="00745C39"/>
    <w:rsid w:val="00745C66"/>
    <w:rsid w:val="00745C91"/>
    <w:rsid w:val="00745D9D"/>
    <w:rsid w:val="00745E85"/>
    <w:rsid w:val="00745FA3"/>
    <w:rsid w:val="00745FB3"/>
    <w:rsid w:val="00745FC4"/>
    <w:rsid w:val="00746018"/>
    <w:rsid w:val="00746046"/>
    <w:rsid w:val="00746050"/>
    <w:rsid w:val="00746062"/>
    <w:rsid w:val="00746066"/>
    <w:rsid w:val="007460B0"/>
    <w:rsid w:val="00746184"/>
    <w:rsid w:val="007462D6"/>
    <w:rsid w:val="00746353"/>
    <w:rsid w:val="007463C3"/>
    <w:rsid w:val="00746401"/>
    <w:rsid w:val="0074648F"/>
    <w:rsid w:val="007464E6"/>
    <w:rsid w:val="0074655C"/>
    <w:rsid w:val="00746783"/>
    <w:rsid w:val="007467D4"/>
    <w:rsid w:val="007468A6"/>
    <w:rsid w:val="007468D0"/>
    <w:rsid w:val="007469C6"/>
    <w:rsid w:val="00746A6F"/>
    <w:rsid w:val="00746AB9"/>
    <w:rsid w:val="00746BFA"/>
    <w:rsid w:val="00746C98"/>
    <w:rsid w:val="00746CF8"/>
    <w:rsid w:val="00746D04"/>
    <w:rsid w:val="00746D1D"/>
    <w:rsid w:val="00746DE6"/>
    <w:rsid w:val="00746DFF"/>
    <w:rsid w:val="00746F5B"/>
    <w:rsid w:val="00746F6A"/>
    <w:rsid w:val="0074708D"/>
    <w:rsid w:val="0074712E"/>
    <w:rsid w:val="007472A2"/>
    <w:rsid w:val="0074730B"/>
    <w:rsid w:val="007474B3"/>
    <w:rsid w:val="007474E7"/>
    <w:rsid w:val="00747518"/>
    <w:rsid w:val="00747709"/>
    <w:rsid w:val="007478E4"/>
    <w:rsid w:val="007479DB"/>
    <w:rsid w:val="00747AD0"/>
    <w:rsid w:val="00747BE5"/>
    <w:rsid w:val="00747BE6"/>
    <w:rsid w:val="00747C99"/>
    <w:rsid w:val="00747DAA"/>
    <w:rsid w:val="00747F97"/>
    <w:rsid w:val="00747FB4"/>
    <w:rsid w:val="0074D516"/>
    <w:rsid w:val="007500C1"/>
    <w:rsid w:val="007500EC"/>
    <w:rsid w:val="007501CA"/>
    <w:rsid w:val="0075023B"/>
    <w:rsid w:val="0075024A"/>
    <w:rsid w:val="007502EE"/>
    <w:rsid w:val="0075035D"/>
    <w:rsid w:val="007503EE"/>
    <w:rsid w:val="0075045C"/>
    <w:rsid w:val="007506C0"/>
    <w:rsid w:val="007507B3"/>
    <w:rsid w:val="00750833"/>
    <w:rsid w:val="007508D4"/>
    <w:rsid w:val="007509A4"/>
    <w:rsid w:val="00750A99"/>
    <w:rsid w:val="00750B7E"/>
    <w:rsid w:val="00750C0C"/>
    <w:rsid w:val="00750C1C"/>
    <w:rsid w:val="00750D11"/>
    <w:rsid w:val="00750D3B"/>
    <w:rsid w:val="00750EE5"/>
    <w:rsid w:val="00750FDF"/>
    <w:rsid w:val="007510FB"/>
    <w:rsid w:val="0075112C"/>
    <w:rsid w:val="007511B9"/>
    <w:rsid w:val="00751428"/>
    <w:rsid w:val="0075147B"/>
    <w:rsid w:val="007514C9"/>
    <w:rsid w:val="00751676"/>
    <w:rsid w:val="00751793"/>
    <w:rsid w:val="00751847"/>
    <w:rsid w:val="00751A66"/>
    <w:rsid w:val="00751B26"/>
    <w:rsid w:val="00751CD2"/>
    <w:rsid w:val="00751D11"/>
    <w:rsid w:val="00751DED"/>
    <w:rsid w:val="00751E8B"/>
    <w:rsid w:val="00752033"/>
    <w:rsid w:val="007520A8"/>
    <w:rsid w:val="00752201"/>
    <w:rsid w:val="00752242"/>
    <w:rsid w:val="007522B9"/>
    <w:rsid w:val="007522C7"/>
    <w:rsid w:val="007522E5"/>
    <w:rsid w:val="007524D0"/>
    <w:rsid w:val="0075250C"/>
    <w:rsid w:val="007525BA"/>
    <w:rsid w:val="007525C5"/>
    <w:rsid w:val="007525F4"/>
    <w:rsid w:val="00752655"/>
    <w:rsid w:val="00752714"/>
    <w:rsid w:val="00752726"/>
    <w:rsid w:val="007529E3"/>
    <w:rsid w:val="00752A77"/>
    <w:rsid w:val="00752B81"/>
    <w:rsid w:val="00752B9F"/>
    <w:rsid w:val="00752DB9"/>
    <w:rsid w:val="00752EC9"/>
    <w:rsid w:val="00752FC7"/>
    <w:rsid w:val="00752FFB"/>
    <w:rsid w:val="0075304F"/>
    <w:rsid w:val="0075326B"/>
    <w:rsid w:val="00753288"/>
    <w:rsid w:val="00753292"/>
    <w:rsid w:val="00753397"/>
    <w:rsid w:val="007533B5"/>
    <w:rsid w:val="00753421"/>
    <w:rsid w:val="0075347C"/>
    <w:rsid w:val="00753488"/>
    <w:rsid w:val="00753653"/>
    <w:rsid w:val="00753818"/>
    <w:rsid w:val="0075392F"/>
    <w:rsid w:val="00753933"/>
    <w:rsid w:val="0075399A"/>
    <w:rsid w:val="00753AF0"/>
    <w:rsid w:val="00753C13"/>
    <w:rsid w:val="00753C4F"/>
    <w:rsid w:val="00753CDE"/>
    <w:rsid w:val="00753DE1"/>
    <w:rsid w:val="00753E68"/>
    <w:rsid w:val="00753E85"/>
    <w:rsid w:val="00753EE6"/>
    <w:rsid w:val="00753F5D"/>
    <w:rsid w:val="00753FE5"/>
    <w:rsid w:val="0075405A"/>
    <w:rsid w:val="007540ED"/>
    <w:rsid w:val="0075433C"/>
    <w:rsid w:val="007543A0"/>
    <w:rsid w:val="00754512"/>
    <w:rsid w:val="00754525"/>
    <w:rsid w:val="00754569"/>
    <w:rsid w:val="00754573"/>
    <w:rsid w:val="00754686"/>
    <w:rsid w:val="007546F4"/>
    <w:rsid w:val="00754700"/>
    <w:rsid w:val="0075473C"/>
    <w:rsid w:val="007547CA"/>
    <w:rsid w:val="00754811"/>
    <w:rsid w:val="0075489A"/>
    <w:rsid w:val="007548F0"/>
    <w:rsid w:val="00754916"/>
    <w:rsid w:val="0075498E"/>
    <w:rsid w:val="00754A3E"/>
    <w:rsid w:val="00754C0C"/>
    <w:rsid w:val="00754CE3"/>
    <w:rsid w:val="00754DBB"/>
    <w:rsid w:val="00754E54"/>
    <w:rsid w:val="00754FA8"/>
    <w:rsid w:val="0075500F"/>
    <w:rsid w:val="0075510E"/>
    <w:rsid w:val="007553D7"/>
    <w:rsid w:val="007554FE"/>
    <w:rsid w:val="00755534"/>
    <w:rsid w:val="00755890"/>
    <w:rsid w:val="00755A55"/>
    <w:rsid w:val="00755A8B"/>
    <w:rsid w:val="00755AF6"/>
    <w:rsid w:val="00755E36"/>
    <w:rsid w:val="00756031"/>
    <w:rsid w:val="007561BF"/>
    <w:rsid w:val="007561EE"/>
    <w:rsid w:val="00756260"/>
    <w:rsid w:val="007562BD"/>
    <w:rsid w:val="0075630B"/>
    <w:rsid w:val="0075658A"/>
    <w:rsid w:val="007565AA"/>
    <w:rsid w:val="007565B5"/>
    <w:rsid w:val="007565C7"/>
    <w:rsid w:val="0075671E"/>
    <w:rsid w:val="00756797"/>
    <w:rsid w:val="00756938"/>
    <w:rsid w:val="00756995"/>
    <w:rsid w:val="00756ADB"/>
    <w:rsid w:val="00756AFD"/>
    <w:rsid w:val="00756B36"/>
    <w:rsid w:val="00756B40"/>
    <w:rsid w:val="00756BD7"/>
    <w:rsid w:val="00756D2B"/>
    <w:rsid w:val="00756E9B"/>
    <w:rsid w:val="00756F52"/>
    <w:rsid w:val="00756FC5"/>
    <w:rsid w:val="00757034"/>
    <w:rsid w:val="00757082"/>
    <w:rsid w:val="0075708A"/>
    <w:rsid w:val="007570B2"/>
    <w:rsid w:val="007570BF"/>
    <w:rsid w:val="00757208"/>
    <w:rsid w:val="00757212"/>
    <w:rsid w:val="0075742E"/>
    <w:rsid w:val="00757439"/>
    <w:rsid w:val="00757454"/>
    <w:rsid w:val="00757481"/>
    <w:rsid w:val="00757515"/>
    <w:rsid w:val="0075752C"/>
    <w:rsid w:val="00757567"/>
    <w:rsid w:val="007575B5"/>
    <w:rsid w:val="007575CA"/>
    <w:rsid w:val="0075761F"/>
    <w:rsid w:val="007577F5"/>
    <w:rsid w:val="00757842"/>
    <w:rsid w:val="00757860"/>
    <w:rsid w:val="007578F3"/>
    <w:rsid w:val="00757947"/>
    <w:rsid w:val="007579AD"/>
    <w:rsid w:val="007579D5"/>
    <w:rsid w:val="00757BB3"/>
    <w:rsid w:val="00757BB5"/>
    <w:rsid w:val="00757C5E"/>
    <w:rsid w:val="00757E27"/>
    <w:rsid w:val="00757F13"/>
    <w:rsid w:val="007600A3"/>
    <w:rsid w:val="007600B8"/>
    <w:rsid w:val="007600DB"/>
    <w:rsid w:val="00760102"/>
    <w:rsid w:val="007601FF"/>
    <w:rsid w:val="00760322"/>
    <w:rsid w:val="00760376"/>
    <w:rsid w:val="0076038F"/>
    <w:rsid w:val="0076045B"/>
    <w:rsid w:val="0076047A"/>
    <w:rsid w:val="0076052E"/>
    <w:rsid w:val="0076053F"/>
    <w:rsid w:val="00760544"/>
    <w:rsid w:val="007605F9"/>
    <w:rsid w:val="007606C5"/>
    <w:rsid w:val="00760746"/>
    <w:rsid w:val="00760790"/>
    <w:rsid w:val="0076088A"/>
    <w:rsid w:val="0076089C"/>
    <w:rsid w:val="007608B3"/>
    <w:rsid w:val="007608C9"/>
    <w:rsid w:val="007608F5"/>
    <w:rsid w:val="0076090F"/>
    <w:rsid w:val="00760A5C"/>
    <w:rsid w:val="00760AA8"/>
    <w:rsid w:val="00760C07"/>
    <w:rsid w:val="00760C87"/>
    <w:rsid w:val="00760D3F"/>
    <w:rsid w:val="00760D99"/>
    <w:rsid w:val="00760E93"/>
    <w:rsid w:val="00760F9F"/>
    <w:rsid w:val="00760FCC"/>
    <w:rsid w:val="0076114B"/>
    <w:rsid w:val="00761197"/>
    <w:rsid w:val="007611A3"/>
    <w:rsid w:val="00761260"/>
    <w:rsid w:val="007612C3"/>
    <w:rsid w:val="0076135C"/>
    <w:rsid w:val="0076156A"/>
    <w:rsid w:val="00761A0D"/>
    <w:rsid w:val="00761A5B"/>
    <w:rsid w:val="00761BB1"/>
    <w:rsid w:val="00761D27"/>
    <w:rsid w:val="00761D75"/>
    <w:rsid w:val="00761DA4"/>
    <w:rsid w:val="00761E85"/>
    <w:rsid w:val="00761EC8"/>
    <w:rsid w:val="00761EE3"/>
    <w:rsid w:val="00761F43"/>
    <w:rsid w:val="00761F5B"/>
    <w:rsid w:val="00761FB4"/>
    <w:rsid w:val="00761FD2"/>
    <w:rsid w:val="0076208F"/>
    <w:rsid w:val="007620BB"/>
    <w:rsid w:val="00762239"/>
    <w:rsid w:val="0076233D"/>
    <w:rsid w:val="00762472"/>
    <w:rsid w:val="007626F2"/>
    <w:rsid w:val="0076274F"/>
    <w:rsid w:val="0076277B"/>
    <w:rsid w:val="00762953"/>
    <w:rsid w:val="007629C6"/>
    <w:rsid w:val="00762A57"/>
    <w:rsid w:val="00762D9F"/>
    <w:rsid w:val="00762F74"/>
    <w:rsid w:val="00762F78"/>
    <w:rsid w:val="00762F8F"/>
    <w:rsid w:val="00763178"/>
    <w:rsid w:val="007631A8"/>
    <w:rsid w:val="00763280"/>
    <w:rsid w:val="007632BE"/>
    <w:rsid w:val="007632FD"/>
    <w:rsid w:val="00763372"/>
    <w:rsid w:val="007633A6"/>
    <w:rsid w:val="0076351F"/>
    <w:rsid w:val="00763561"/>
    <w:rsid w:val="00763579"/>
    <w:rsid w:val="007635EF"/>
    <w:rsid w:val="0076377A"/>
    <w:rsid w:val="0076390F"/>
    <w:rsid w:val="0076391E"/>
    <w:rsid w:val="00763AB8"/>
    <w:rsid w:val="00763BD4"/>
    <w:rsid w:val="00763CA7"/>
    <w:rsid w:val="00763CDA"/>
    <w:rsid w:val="00763D1C"/>
    <w:rsid w:val="00763D4E"/>
    <w:rsid w:val="00763D5B"/>
    <w:rsid w:val="00763DC7"/>
    <w:rsid w:val="00763DE3"/>
    <w:rsid w:val="00763E3B"/>
    <w:rsid w:val="0076404C"/>
    <w:rsid w:val="00764062"/>
    <w:rsid w:val="00764106"/>
    <w:rsid w:val="00764199"/>
    <w:rsid w:val="00764215"/>
    <w:rsid w:val="00764393"/>
    <w:rsid w:val="00764455"/>
    <w:rsid w:val="00764711"/>
    <w:rsid w:val="00764A64"/>
    <w:rsid w:val="00764ADA"/>
    <w:rsid w:val="00764B18"/>
    <w:rsid w:val="00764B25"/>
    <w:rsid w:val="00764ECD"/>
    <w:rsid w:val="00764EF5"/>
    <w:rsid w:val="00764F09"/>
    <w:rsid w:val="00764F17"/>
    <w:rsid w:val="00764FCF"/>
    <w:rsid w:val="00764FDD"/>
    <w:rsid w:val="007650FE"/>
    <w:rsid w:val="00765173"/>
    <w:rsid w:val="007651F0"/>
    <w:rsid w:val="0076527C"/>
    <w:rsid w:val="007653A2"/>
    <w:rsid w:val="0076543A"/>
    <w:rsid w:val="0076559D"/>
    <w:rsid w:val="007655B7"/>
    <w:rsid w:val="0076567C"/>
    <w:rsid w:val="00765972"/>
    <w:rsid w:val="00765AB8"/>
    <w:rsid w:val="00765B79"/>
    <w:rsid w:val="00765BB2"/>
    <w:rsid w:val="00765CCA"/>
    <w:rsid w:val="00765CDE"/>
    <w:rsid w:val="00765F14"/>
    <w:rsid w:val="00766008"/>
    <w:rsid w:val="0076607E"/>
    <w:rsid w:val="007660E1"/>
    <w:rsid w:val="00766196"/>
    <w:rsid w:val="007662AE"/>
    <w:rsid w:val="007662C6"/>
    <w:rsid w:val="007662F1"/>
    <w:rsid w:val="00766399"/>
    <w:rsid w:val="007663F6"/>
    <w:rsid w:val="007665FC"/>
    <w:rsid w:val="00766616"/>
    <w:rsid w:val="00766675"/>
    <w:rsid w:val="0076671B"/>
    <w:rsid w:val="0076672A"/>
    <w:rsid w:val="0076690C"/>
    <w:rsid w:val="0076694C"/>
    <w:rsid w:val="007669D4"/>
    <w:rsid w:val="00766A6A"/>
    <w:rsid w:val="00766BE2"/>
    <w:rsid w:val="00766CF6"/>
    <w:rsid w:val="00766D5C"/>
    <w:rsid w:val="00766E35"/>
    <w:rsid w:val="00766EAF"/>
    <w:rsid w:val="00766ED9"/>
    <w:rsid w:val="00766F3D"/>
    <w:rsid w:val="00766F43"/>
    <w:rsid w:val="0076707A"/>
    <w:rsid w:val="00767317"/>
    <w:rsid w:val="0076766E"/>
    <w:rsid w:val="00767694"/>
    <w:rsid w:val="007677EA"/>
    <w:rsid w:val="00767883"/>
    <w:rsid w:val="007678CB"/>
    <w:rsid w:val="007679BA"/>
    <w:rsid w:val="00767A70"/>
    <w:rsid w:val="00767C36"/>
    <w:rsid w:val="00767E29"/>
    <w:rsid w:val="00767EFB"/>
    <w:rsid w:val="00767F5D"/>
    <w:rsid w:val="00767F7C"/>
    <w:rsid w:val="0076FC9B"/>
    <w:rsid w:val="00770163"/>
    <w:rsid w:val="00770167"/>
    <w:rsid w:val="00770231"/>
    <w:rsid w:val="00770237"/>
    <w:rsid w:val="00770295"/>
    <w:rsid w:val="00770395"/>
    <w:rsid w:val="007704F7"/>
    <w:rsid w:val="0077055C"/>
    <w:rsid w:val="007705C8"/>
    <w:rsid w:val="007705D4"/>
    <w:rsid w:val="00770685"/>
    <w:rsid w:val="007707F8"/>
    <w:rsid w:val="007708D8"/>
    <w:rsid w:val="007708E6"/>
    <w:rsid w:val="00770AB8"/>
    <w:rsid w:val="00770AB9"/>
    <w:rsid w:val="00770C27"/>
    <w:rsid w:val="00770E55"/>
    <w:rsid w:val="00770E85"/>
    <w:rsid w:val="00770EAB"/>
    <w:rsid w:val="00770F81"/>
    <w:rsid w:val="007710F2"/>
    <w:rsid w:val="00771141"/>
    <w:rsid w:val="007712C2"/>
    <w:rsid w:val="00771319"/>
    <w:rsid w:val="0077133B"/>
    <w:rsid w:val="007713D9"/>
    <w:rsid w:val="00771583"/>
    <w:rsid w:val="007717C6"/>
    <w:rsid w:val="007718BF"/>
    <w:rsid w:val="00771987"/>
    <w:rsid w:val="007719DB"/>
    <w:rsid w:val="00771A65"/>
    <w:rsid w:val="00771C6F"/>
    <w:rsid w:val="00771DFE"/>
    <w:rsid w:val="00771E81"/>
    <w:rsid w:val="00771E88"/>
    <w:rsid w:val="00771EE5"/>
    <w:rsid w:val="00771F27"/>
    <w:rsid w:val="00771F7E"/>
    <w:rsid w:val="00771FA6"/>
    <w:rsid w:val="00771FC1"/>
    <w:rsid w:val="00772028"/>
    <w:rsid w:val="0077202C"/>
    <w:rsid w:val="0077210D"/>
    <w:rsid w:val="0077215A"/>
    <w:rsid w:val="00772253"/>
    <w:rsid w:val="00772278"/>
    <w:rsid w:val="00772290"/>
    <w:rsid w:val="007723D4"/>
    <w:rsid w:val="00772592"/>
    <w:rsid w:val="00772717"/>
    <w:rsid w:val="0077272E"/>
    <w:rsid w:val="00772882"/>
    <w:rsid w:val="0077293F"/>
    <w:rsid w:val="00772B2C"/>
    <w:rsid w:val="00772BAD"/>
    <w:rsid w:val="00772DDA"/>
    <w:rsid w:val="00772E18"/>
    <w:rsid w:val="00772E21"/>
    <w:rsid w:val="00772E3B"/>
    <w:rsid w:val="00772E96"/>
    <w:rsid w:val="00772FE4"/>
    <w:rsid w:val="0077310A"/>
    <w:rsid w:val="00773184"/>
    <w:rsid w:val="0077318C"/>
    <w:rsid w:val="007731ED"/>
    <w:rsid w:val="00773352"/>
    <w:rsid w:val="0077336A"/>
    <w:rsid w:val="00773396"/>
    <w:rsid w:val="007733FF"/>
    <w:rsid w:val="007734E0"/>
    <w:rsid w:val="0077360D"/>
    <w:rsid w:val="0077368A"/>
    <w:rsid w:val="0077370E"/>
    <w:rsid w:val="0077373B"/>
    <w:rsid w:val="007737FE"/>
    <w:rsid w:val="007738A1"/>
    <w:rsid w:val="00773A47"/>
    <w:rsid w:val="00773A7E"/>
    <w:rsid w:val="00773ACF"/>
    <w:rsid w:val="00773ADA"/>
    <w:rsid w:val="00773AEC"/>
    <w:rsid w:val="00773BAA"/>
    <w:rsid w:val="00773C21"/>
    <w:rsid w:val="00773C69"/>
    <w:rsid w:val="00773C78"/>
    <w:rsid w:val="00773E61"/>
    <w:rsid w:val="00773E7B"/>
    <w:rsid w:val="00773F03"/>
    <w:rsid w:val="00773F60"/>
    <w:rsid w:val="0077404D"/>
    <w:rsid w:val="00774097"/>
    <w:rsid w:val="007740A6"/>
    <w:rsid w:val="007740DB"/>
    <w:rsid w:val="0077412E"/>
    <w:rsid w:val="007743EE"/>
    <w:rsid w:val="0077452F"/>
    <w:rsid w:val="00774571"/>
    <w:rsid w:val="007746E8"/>
    <w:rsid w:val="00774737"/>
    <w:rsid w:val="0077474B"/>
    <w:rsid w:val="00774847"/>
    <w:rsid w:val="007748D0"/>
    <w:rsid w:val="00774A64"/>
    <w:rsid w:val="00774C64"/>
    <w:rsid w:val="00774C85"/>
    <w:rsid w:val="00774CDA"/>
    <w:rsid w:val="00774D76"/>
    <w:rsid w:val="00774E15"/>
    <w:rsid w:val="00775100"/>
    <w:rsid w:val="00775179"/>
    <w:rsid w:val="00775230"/>
    <w:rsid w:val="0077528C"/>
    <w:rsid w:val="007752F6"/>
    <w:rsid w:val="0077534B"/>
    <w:rsid w:val="0077543A"/>
    <w:rsid w:val="00775539"/>
    <w:rsid w:val="00775598"/>
    <w:rsid w:val="007755A5"/>
    <w:rsid w:val="0077560C"/>
    <w:rsid w:val="007757F1"/>
    <w:rsid w:val="00775800"/>
    <w:rsid w:val="0077592A"/>
    <w:rsid w:val="00775B4E"/>
    <w:rsid w:val="00775CC8"/>
    <w:rsid w:val="00775D8B"/>
    <w:rsid w:val="00775DD7"/>
    <w:rsid w:val="00775E45"/>
    <w:rsid w:val="00775E9E"/>
    <w:rsid w:val="00775EBB"/>
    <w:rsid w:val="00775F85"/>
    <w:rsid w:val="00775F8E"/>
    <w:rsid w:val="00775FF5"/>
    <w:rsid w:val="00776003"/>
    <w:rsid w:val="007760D0"/>
    <w:rsid w:val="0077611D"/>
    <w:rsid w:val="00776131"/>
    <w:rsid w:val="0077620A"/>
    <w:rsid w:val="0077621B"/>
    <w:rsid w:val="0077633F"/>
    <w:rsid w:val="0077636A"/>
    <w:rsid w:val="007766B6"/>
    <w:rsid w:val="00776863"/>
    <w:rsid w:val="0077693F"/>
    <w:rsid w:val="007769F2"/>
    <w:rsid w:val="00776A5F"/>
    <w:rsid w:val="00776C3B"/>
    <w:rsid w:val="00776C4A"/>
    <w:rsid w:val="00776C9C"/>
    <w:rsid w:val="00776D8A"/>
    <w:rsid w:val="00776DFE"/>
    <w:rsid w:val="00776E74"/>
    <w:rsid w:val="00776E9E"/>
    <w:rsid w:val="00776EDB"/>
    <w:rsid w:val="0077700B"/>
    <w:rsid w:val="007770AB"/>
    <w:rsid w:val="00777142"/>
    <w:rsid w:val="00777228"/>
    <w:rsid w:val="007772B3"/>
    <w:rsid w:val="007773E8"/>
    <w:rsid w:val="00777646"/>
    <w:rsid w:val="00777757"/>
    <w:rsid w:val="00777937"/>
    <w:rsid w:val="0077793D"/>
    <w:rsid w:val="00777AF6"/>
    <w:rsid w:val="00777B17"/>
    <w:rsid w:val="00777B55"/>
    <w:rsid w:val="00777B8D"/>
    <w:rsid w:val="00777C72"/>
    <w:rsid w:val="00777CE9"/>
    <w:rsid w:val="00777D0F"/>
    <w:rsid w:val="00777D39"/>
    <w:rsid w:val="00777DE5"/>
    <w:rsid w:val="00777DE8"/>
    <w:rsid w:val="00777F2B"/>
    <w:rsid w:val="00777F86"/>
    <w:rsid w:val="00780045"/>
    <w:rsid w:val="00780052"/>
    <w:rsid w:val="00780089"/>
    <w:rsid w:val="007801BB"/>
    <w:rsid w:val="007803EE"/>
    <w:rsid w:val="0078048A"/>
    <w:rsid w:val="00780525"/>
    <w:rsid w:val="00780594"/>
    <w:rsid w:val="00780680"/>
    <w:rsid w:val="007806B7"/>
    <w:rsid w:val="007807F5"/>
    <w:rsid w:val="00780837"/>
    <w:rsid w:val="00780838"/>
    <w:rsid w:val="00780899"/>
    <w:rsid w:val="00780923"/>
    <w:rsid w:val="007809B1"/>
    <w:rsid w:val="00780A70"/>
    <w:rsid w:val="00780BEC"/>
    <w:rsid w:val="00780C82"/>
    <w:rsid w:val="00780C89"/>
    <w:rsid w:val="00780D50"/>
    <w:rsid w:val="00780E02"/>
    <w:rsid w:val="00780E42"/>
    <w:rsid w:val="0078107B"/>
    <w:rsid w:val="007810E0"/>
    <w:rsid w:val="007810E7"/>
    <w:rsid w:val="00781150"/>
    <w:rsid w:val="0078129B"/>
    <w:rsid w:val="00781360"/>
    <w:rsid w:val="00781402"/>
    <w:rsid w:val="00781444"/>
    <w:rsid w:val="0078152B"/>
    <w:rsid w:val="007815A7"/>
    <w:rsid w:val="007815E6"/>
    <w:rsid w:val="0078166D"/>
    <w:rsid w:val="0078174A"/>
    <w:rsid w:val="0078191D"/>
    <w:rsid w:val="00781964"/>
    <w:rsid w:val="00781B04"/>
    <w:rsid w:val="00781B38"/>
    <w:rsid w:val="00781C89"/>
    <w:rsid w:val="00781D6C"/>
    <w:rsid w:val="00781DC0"/>
    <w:rsid w:val="00781DD0"/>
    <w:rsid w:val="00781DD1"/>
    <w:rsid w:val="00781DE5"/>
    <w:rsid w:val="00781E13"/>
    <w:rsid w:val="00782352"/>
    <w:rsid w:val="0078237D"/>
    <w:rsid w:val="0078258E"/>
    <w:rsid w:val="007825A3"/>
    <w:rsid w:val="0078263F"/>
    <w:rsid w:val="00782666"/>
    <w:rsid w:val="007826D4"/>
    <w:rsid w:val="00782703"/>
    <w:rsid w:val="007827E6"/>
    <w:rsid w:val="0078286F"/>
    <w:rsid w:val="0078288F"/>
    <w:rsid w:val="007828CC"/>
    <w:rsid w:val="007828E9"/>
    <w:rsid w:val="00782941"/>
    <w:rsid w:val="00782A0C"/>
    <w:rsid w:val="00782AB5"/>
    <w:rsid w:val="00782B11"/>
    <w:rsid w:val="00782B3E"/>
    <w:rsid w:val="00782C2A"/>
    <w:rsid w:val="00782CE6"/>
    <w:rsid w:val="00782DD9"/>
    <w:rsid w:val="00782FA3"/>
    <w:rsid w:val="0078302B"/>
    <w:rsid w:val="0078319E"/>
    <w:rsid w:val="007831A4"/>
    <w:rsid w:val="007835C6"/>
    <w:rsid w:val="007835E3"/>
    <w:rsid w:val="00783669"/>
    <w:rsid w:val="00783720"/>
    <w:rsid w:val="007837DC"/>
    <w:rsid w:val="0078394A"/>
    <w:rsid w:val="007839D0"/>
    <w:rsid w:val="00783AAF"/>
    <w:rsid w:val="00783C87"/>
    <w:rsid w:val="00783CC6"/>
    <w:rsid w:val="00783E91"/>
    <w:rsid w:val="00784023"/>
    <w:rsid w:val="0078414B"/>
    <w:rsid w:val="00784330"/>
    <w:rsid w:val="00784436"/>
    <w:rsid w:val="00784450"/>
    <w:rsid w:val="00784548"/>
    <w:rsid w:val="00784557"/>
    <w:rsid w:val="007845CA"/>
    <w:rsid w:val="007845D9"/>
    <w:rsid w:val="00784629"/>
    <w:rsid w:val="0078462C"/>
    <w:rsid w:val="007847AC"/>
    <w:rsid w:val="0078497C"/>
    <w:rsid w:val="007849D8"/>
    <w:rsid w:val="007849EC"/>
    <w:rsid w:val="00784A0E"/>
    <w:rsid w:val="00784B01"/>
    <w:rsid w:val="00784B25"/>
    <w:rsid w:val="00784B4B"/>
    <w:rsid w:val="00784B9B"/>
    <w:rsid w:val="00784BEC"/>
    <w:rsid w:val="00784C59"/>
    <w:rsid w:val="00784DEA"/>
    <w:rsid w:val="00784F02"/>
    <w:rsid w:val="007850BE"/>
    <w:rsid w:val="0078511E"/>
    <w:rsid w:val="00785169"/>
    <w:rsid w:val="007851E6"/>
    <w:rsid w:val="00785280"/>
    <w:rsid w:val="00785293"/>
    <w:rsid w:val="0078538B"/>
    <w:rsid w:val="00785468"/>
    <w:rsid w:val="0078573D"/>
    <w:rsid w:val="0078591F"/>
    <w:rsid w:val="00785954"/>
    <w:rsid w:val="00785B29"/>
    <w:rsid w:val="00785B63"/>
    <w:rsid w:val="00785BBC"/>
    <w:rsid w:val="00785C17"/>
    <w:rsid w:val="00785C9C"/>
    <w:rsid w:val="00785D24"/>
    <w:rsid w:val="00785D48"/>
    <w:rsid w:val="00785E00"/>
    <w:rsid w:val="00785F77"/>
    <w:rsid w:val="00786040"/>
    <w:rsid w:val="007860A9"/>
    <w:rsid w:val="007861D8"/>
    <w:rsid w:val="0078628E"/>
    <w:rsid w:val="00786366"/>
    <w:rsid w:val="0078658E"/>
    <w:rsid w:val="00786669"/>
    <w:rsid w:val="007866A0"/>
    <w:rsid w:val="007866BC"/>
    <w:rsid w:val="007869B7"/>
    <w:rsid w:val="007869E0"/>
    <w:rsid w:val="00786ADC"/>
    <w:rsid w:val="00786B0C"/>
    <w:rsid w:val="00786C8A"/>
    <w:rsid w:val="00786E94"/>
    <w:rsid w:val="00786F28"/>
    <w:rsid w:val="00787082"/>
    <w:rsid w:val="007872DC"/>
    <w:rsid w:val="00787345"/>
    <w:rsid w:val="0078735C"/>
    <w:rsid w:val="007874B5"/>
    <w:rsid w:val="007876C6"/>
    <w:rsid w:val="0078772D"/>
    <w:rsid w:val="007878C9"/>
    <w:rsid w:val="00787990"/>
    <w:rsid w:val="007879C8"/>
    <w:rsid w:val="00787A10"/>
    <w:rsid w:val="00787AF5"/>
    <w:rsid w:val="00787B5D"/>
    <w:rsid w:val="00787E91"/>
    <w:rsid w:val="00787EC6"/>
    <w:rsid w:val="00787FCF"/>
    <w:rsid w:val="0079003F"/>
    <w:rsid w:val="00790115"/>
    <w:rsid w:val="00790119"/>
    <w:rsid w:val="00790496"/>
    <w:rsid w:val="007904CC"/>
    <w:rsid w:val="00790585"/>
    <w:rsid w:val="0079071C"/>
    <w:rsid w:val="007907AD"/>
    <w:rsid w:val="00790895"/>
    <w:rsid w:val="00790908"/>
    <w:rsid w:val="0079091B"/>
    <w:rsid w:val="0079091C"/>
    <w:rsid w:val="007909F0"/>
    <w:rsid w:val="00790A0F"/>
    <w:rsid w:val="00790AD6"/>
    <w:rsid w:val="00790BC2"/>
    <w:rsid w:val="00790BDC"/>
    <w:rsid w:val="00790D64"/>
    <w:rsid w:val="00790FC7"/>
    <w:rsid w:val="00791056"/>
    <w:rsid w:val="007911BD"/>
    <w:rsid w:val="0079136E"/>
    <w:rsid w:val="00791529"/>
    <w:rsid w:val="0079153B"/>
    <w:rsid w:val="00791613"/>
    <w:rsid w:val="007916A8"/>
    <w:rsid w:val="007917E1"/>
    <w:rsid w:val="00791841"/>
    <w:rsid w:val="00791B35"/>
    <w:rsid w:val="00791BAC"/>
    <w:rsid w:val="00791C48"/>
    <w:rsid w:val="00791CAC"/>
    <w:rsid w:val="00791CEB"/>
    <w:rsid w:val="00791D37"/>
    <w:rsid w:val="00791D9C"/>
    <w:rsid w:val="00791E00"/>
    <w:rsid w:val="00791E85"/>
    <w:rsid w:val="00791EDD"/>
    <w:rsid w:val="00791FE7"/>
    <w:rsid w:val="0079206A"/>
    <w:rsid w:val="00792610"/>
    <w:rsid w:val="0079264B"/>
    <w:rsid w:val="007926B1"/>
    <w:rsid w:val="00792752"/>
    <w:rsid w:val="0079275F"/>
    <w:rsid w:val="007927BB"/>
    <w:rsid w:val="007928F7"/>
    <w:rsid w:val="00792AA5"/>
    <w:rsid w:val="00792BAE"/>
    <w:rsid w:val="00792E67"/>
    <w:rsid w:val="00792E9C"/>
    <w:rsid w:val="0079309A"/>
    <w:rsid w:val="007930E1"/>
    <w:rsid w:val="007930FC"/>
    <w:rsid w:val="00793118"/>
    <w:rsid w:val="0079318F"/>
    <w:rsid w:val="00793273"/>
    <w:rsid w:val="0079335F"/>
    <w:rsid w:val="007933C2"/>
    <w:rsid w:val="0079340D"/>
    <w:rsid w:val="00793448"/>
    <w:rsid w:val="0079350B"/>
    <w:rsid w:val="00793571"/>
    <w:rsid w:val="007935C1"/>
    <w:rsid w:val="007936D8"/>
    <w:rsid w:val="007936F9"/>
    <w:rsid w:val="00793885"/>
    <w:rsid w:val="00793924"/>
    <w:rsid w:val="007939BD"/>
    <w:rsid w:val="00793AC1"/>
    <w:rsid w:val="00793DDF"/>
    <w:rsid w:val="007940D5"/>
    <w:rsid w:val="00794242"/>
    <w:rsid w:val="0079433C"/>
    <w:rsid w:val="007943F8"/>
    <w:rsid w:val="0079449D"/>
    <w:rsid w:val="007944BF"/>
    <w:rsid w:val="007945E6"/>
    <w:rsid w:val="00794620"/>
    <w:rsid w:val="00794660"/>
    <w:rsid w:val="007946C1"/>
    <w:rsid w:val="00794BDE"/>
    <w:rsid w:val="00794C30"/>
    <w:rsid w:val="00794D7C"/>
    <w:rsid w:val="00794DC5"/>
    <w:rsid w:val="00794E0D"/>
    <w:rsid w:val="00794E2B"/>
    <w:rsid w:val="00794E33"/>
    <w:rsid w:val="00794E62"/>
    <w:rsid w:val="00794E8A"/>
    <w:rsid w:val="00794EB9"/>
    <w:rsid w:val="0079508B"/>
    <w:rsid w:val="00795135"/>
    <w:rsid w:val="00795138"/>
    <w:rsid w:val="0079517C"/>
    <w:rsid w:val="00795364"/>
    <w:rsid w:val="007954AB"/>
    <w:rsid w:val="007954D3"/>
    <w:rsid w:val="0079554E"/>
    <w:rsid w:val="0079576D"/>
    <w:rsid w:val="007958BC"/>
    <w:rsid w:val="007958EE"/>
    <w:rsid w:val="00795A62"/>
    <w:rsid w:val="00795B89"/>
    <w:rsid w:val="00795C2D"/>
    <w:rsid w:val="00795C8A"/>
    <w:rsid w:val="00795CC3"/>
    <w:rsid w:val="00795DED"/>
    <w:rsid w:val="00795F7B"/>
    <w:rsid w:val="00795FBE"/>
    <w:rsid w:val="0079601D"/>
    <w:rsid w:val="007961DE"/>
    <w:rsid w:val="007961FD"/>
    <w:rsid w:val="007963C0"/>
    <w:rsid w:val="007965A9"/>
    <w:rsid w:val="007965E1"/>
    <w:rsid w:val="0079661F"/>
    <w:rsid w:val="007968E7"/>
    <w:rsid w:val="00796A7B"/>
    <w:rsid w:val="00796B11"/>
    <w:rsid w:val="00796B58"/>
    <w:rsid w:val="00796D51"/>
    <w:rsid w:val="00796D97"/>
    <w:rsid w:val="00796E45"/>
    <w:rsid w:val="00796F36"/>
    <w:rsid w:val="00796F8F"/>
    <w:rsid w:val="00796FE6"/>
    <w:rsid w:val="00796FFE"/>
    <w:rsid w:val="00797008"/>
    <w:rsid w:val="007970E4"/>
    <w:rsid w:val="00797192"/>
    <w:rsid w:val="007971B6"/>
    <w:rsid w:val="00797307"/>
    <w:rsid w:val="00797323"/>
    <w:rsid w:val="00797434"/>
    <w:rsid w:val="007974BA"/>
    <w:rsid w:val="007974F8"/>
    <w:rsid w:val="00797527"/>
    <w:rsid w:val="00797585"/>
    <w:rsid w:val="007975CF"/>
    <w:rsid w:val="00797605"/>
    <w:rsid w:val="007978EA"/>
    <w:rsid w:val="00797A02"/>
    <w:rsid w:val="00797A57"/>
    <w:rsid w:val="00797BC7"/>
    <w:rsid w:val="00797D06"/>
    <w:rsid w:val="00797D1F"/>
    <w:rsid w:val="00797D63"/>
    <w:rsid w:val="00797DA4"/>
    <w:rsid w:val="00797EC4"/>
    <w:rsid w:val="00797F20"/>
    <w:rsid w:val="00797F3B"/>
    <w:rsid w:val="0079DD0F"/>
    <w:rsid w:val="007A0034"/>
    <w:rsid w:val="007A0072"/>
    <w:rsid w:val="007A032A"/>
    <w:rsid w:val="007A0392"/>
    <w:rsid w:val="007A03DD"/>
    <w:rsid w:val="007A0450"/>
    <w:rsid w:val="007A064E"/>
    <w:rsid w:val="007A07DD"/>
    <w:rsid w:val="007A0979"/>
    <w:rsid w:val="007A0C56"/>
    <w:rsid w:val="007A0DA3"/>
    <w:rsid w:val="007A0DE2"/>
    <w:rsid w:val="007A0E07"/>
    <w:rsid w:val="007A0E74"/>
    <w:rsid w:val="007A0EB9"/>
    <w:rsid w:val="007A0F06"/>
    <w:rsid w:val="007A0FA0"/>
    <w:rsid w:val="007A10E3"/>
    <w:rsid w:val="007A11D2"/>
    <w:rsid w:val="007A1203"/>
    <w:rsid w:val="007A127C"/>
    <w:rsid w:val="007A12AC"/>
    <w:rsid w:val="007A149A"/>
    <w:rsid w:val="007A14C5"/>
    <w:rsid w:val="007A1781"/>
    <w:rsid w:val="007A17EE"/>
    <w:rsid w:val="007A1A0D"/>
    <w:rsid w:val="007A1A3B"/>
    <w:rsid w:val="007A217C"/>
    <w:rsid w:val="007A2339"/>
    <w:rsid w:val="007A2369"/>
    <w:rsid w:val="007A2586"/>
    <w:rsid w:val="007A25BF"/>
    <w:rsid w:val="007A267C"/>
    <w:rsid w:val="007A26F5"/>
    <w:rsid w:val="007A2933"/>
    <w:rsid w:val="007A29CE"/>
    <w:rsid w:val="007A2A43"/>
    <w:rsid w:val="007A2BFB"/>
    <w:rsid w:val="007A2CE6"/>
    <w:rsid w:val="007A2CED"/>
    <w:rsid w:val="007A2D9F"/>
    <w:rsid w:val="007A2DF4"/>
    <w:rsid w:val="007A2E57"/>
    <w:rsid w:val="007A2EB3"/>
    <w:rsid w:val="007A2EBF"/>
    <w:rsid w:val="007A3037"/>
    <w:rsid w:val="007A30B7"/>
    <w:rsid w:val="007A30FB"/>
    <w:rsid w:val="007A31AF"/>
    <w:rsid w:val="007A323F"/>
    <w:rsid w:val="007A326E"/>
    <w:rsid w:val="007A334E"/>
    <w:rsid w:val="007A336D"/>
    <w:rsid w:val="007A338C"/>
    <w:rsid w:val="007A3409"/>
    <w:rsid w:val="007A34F0"/>
    <w:rsid w:val="007A3502"/>
    <w:rsid w:val="007A36A7"/>
    <w:rsid w:val="007A36C6"/>
    <w:rsid w:val="007A3787"/>
    <w:rsid w:val="007A3913"/>
    <w:rsid w:val="007A395C"/>
    <w:rsid w:val="007A396F"/>
    <w:rsid w:val="007A3990"/>
    <w:rsid w:val="007A39E2"/>
    <w:rsid w:val="007A3B42"/>
    <w:rsid w:val="007A3CCC"/>
    <w:rsid w:val="007A3DB7"/>
    <w:rsid w:val="007A3DD8"/>
    <w:rsid w:val="007A3DF0"/>
    <w:rsid w:val="007A3E01"/>
    <w:rsid w:val="007A3E52"/>
    <w:rsid w:val="007A408A"/>
    <w:rsid w:val="007A408B"/>
    <w:rsid w:val="007A408F"/>
    <w:rsid w:val="007A4226"/>
    <w:rsid w:val="007A4257"/>
    <w:rsid w:val="007A4359"/>
    <w:rsid w:val="007A441A"/>
    <w:rsid w:val="007A44BE"/>
    <w:rsid w:val="007A4599"/>
    <w:rsid w:val="007A4619"/>
    <w:rsid w:val="007A47DC"/>
    <w:rsid w:val="007A486F"/>
    <w:rsid w:val="007A49E7"/>
    <w:rsid w:val="007A4A10"/>
    <w:rsid w:val="007A4AB5"/>
    <w:rsid w:val="007A4BFE"/>
    <w:rsid w:val="007A4CB2"/>
    <w:rsid w:val="007A4D90"/>
    <w:rsid w:val="007A4ECA"/>
    <w:rsid w:val="007A566E"/>
    <w:rsid w:val="007A572E"/>
    <w:rsid w:val="007A5818"/>
    <w:rsid w:val="007A5A46"/>
    <w:rsid w:val="007A5A86"/>
    <w:rsid w:val="007A5C93"/>
    <w:rsid w:val="007A5CE5"/>
    <w:rsid w:val="007A5E53"/>
    <w:rsid w:val="007A5E5F"/>
    <w:rsid w:val="007A5E72"/>
    <w:rsid w:val="007A5E9F"/>
    <w:rsid w:val="007A5FA9"/>
    <w:rsid w:val="007A6023"/>
    <w:rsid w:val="007A620D"/>
    <w:rsid w:val="007A64EA"/>
    <w:rsid w:val="007A657C"/>
    <w:rsid w:val="007A6591"/>
    <w:rsid w:val="007A68EB"/>
    <w:rsid w:val="007A691B"/>
    <w:rsid w:val="007A6CEF"/>
    <w:rsid w:val="007A6EEC"/>
    <w:rsid w:val="007A6F29"/>
    <w:rsid w:val="007A7078"/>
    <w:rsid w:val="007A713D"/>
    <w:rsid w:val="007A71C5"/>
    <w:rsid w:val="007A72E2"/>
    <w:rsid w:val="007A763A"/>
    <w:rsid w:val="007A76F3"/>
    <w:rsid w:val="007A7780"/>
    <w:rsid w:val="007A7784"/>
    <w:rsid w:val="007A77FC"/>
    <w:rsid w:val="007A7A73"/>
    <w:rsid w:val="007A7AE6"/>
    <w:rsid w:val="007A7B06"/>
    <w:rsid w:val="007A7EA5"/>
    <w:rsid w:val="007A7FB8"/>
    <w:rsid w:val="007AEAC6"/>
    <w:rsid w:val="007B02B4"/>
    <w:rsid w:val="007B030C"/>
    <w:rsid w:val="007B0436"/>
    <w:rsid w:val="007B054B"/>
    <w:rsid w:val="007B05C8"/>
    <w:rsid w:val="007B075D"/>
    <w:rsid w:val="007B0773"/>
    <w:rsid w:val="007B0789"/>
    <w:rsid w:val="007B0950"/>
    <w:rsid w:val="007B0AC3"/>
    <w:rsid w:val="007B0AE6"/>
    <w:rsid w:val="007B0AEE"/>
    <w:rsid w:val="007B0B49"/>
    <w:rsid w:val="007B0BC7"/>
    <w:rsid w:val="007B0BEA"/>
    <w:rsid w:val="007B0CC1"/>
    <w:rsid w:val="007B0DB8"/>
    <w:rsid w:val="007B0E4A"/>
    <w:rsid w:val="007B0E8B"/>
    <w:rsid w:val="007B0ECA"/>
    <w:rsid w:val="007B0F8F"/>
    <w:rsid w:val="007B10EC"/>
    <w:rsid w:val="007B1485"/>
    <w:rsid w:val="007B14D0"/>
    <w:rsid w:val="007B14E6"/>
    <w:rsid w:val="007B14F9"/>
    <w:rsid w:val="007B1621"/>
    <w:rsid w:val="007B164F"/>
    <w:rsid w:val="007B1683"/>
    <w:rsid w:val="007B16B2"/>
    <w:rsid w:val="007B170F"/>
    <w:rsid w:val="007B1760"/>
    <w:rsid w:val="007B178B"/>
    <w:rsid w:val="007B1822"/>
    <w:rsid w:val="007B182B"/>
    <w:rsid w:val="007B1A83"/>
    <w:rsid w:val="007B1ADC"/>
    <w:rsid w:val="007B1B19"/>
    <w:rsid w:val="007B1B71"/>
    <w:rsid w:val="007B1B8E"/>
    <w:rsid w:val="007B1CBA"/>
    <w:rsid w:val="007B1DD8"/>
    <w:rsid w:val="007B1E38"/>
    <w:rsid w:val="007B1EA7"/>
    <w:rsid w:val="007B1EBB"/>
    <w:rsid w:val="007B1F00"/>
    <w:rsid w:val="007B1FB1"/>
    <w:rsid w:val="007B2063"/>
    <w:rsid w:val="007B2198"/>
    <w:rsid w:val="007B22EA"/>
    <w:rsid w:val="007B23B2"/>
    <w:rsid w:val="007B2427"/>
    <w:rsid w:val="007B247A"/>
    <w:rsid w:val="007B24FC"/>
    <w:rsid w:val="007B26BE"/>
    <w:rsid w:val="007B2758"/>
    <w:rsid w:val="007B2759"/>
    <w:rsid w:val="007B2879"/>
    <w:rsid w:val="007B28BB"/>
    <w:rsid w:val="007B2953"/>
    <w:rsid w:val="007B29AF"/>
    <w:rsid w:val="007B2A11"/>
    <w:rsid w:val="007B2BC9"/>
    <w:rsid w:val="007B2BCE"/>
    <w:rsid w:val="007B2D87"/>
    <w:rsid w:val="007B2DBF"/>
    <w:rsid w:val="007B2EBE"/>
    <w:rsid w:val="007B2F8F"/>
    <w:rsid w:val="007B2FF0"/>
    <w:rsid w:val="007B3082"/>
    <w:rsid w:val="007B31D0"/>
    <w:rsid w:val="007B326B"/>
    <w:rsid w:val="007B328E"/>
    <w:rsid w:val="007B32DE"/>
    <w:rsid w:val="007B3307"/>
    <w:rsid w:val="007B33C2"/>
    <w:rsid w:val="007B343E"/>
    <w:rsid w:val="007B3539"/>
    <w:rsid w:val="007B358E"/>
    <w:rsid w:val="007B35C3"/>
    <w:rsid w:val="007B35CE"/>
    <w:rsid w:val="007B3735"/>
    <w:rsid w:val="007B3765"/>
    <w:rsid w:val="007B3804"/>
    <w:rsid w:val="007B38F1"/>
    <w:rsid w:val="007B3914"/>
    <w:rsid w:val="007B3C28"/>
    <w:rsid w:val="007B3C6D"/>
    <w:rsid w:val="007B3C7D"/>
    <w:rsid w:val="007B3C9C"/>
    <w:rsid w:val="007B3E2C"/>
    <w:rsid w:val="007B3E54"/>
    <w:rsid w:val="007B3E5B"/>
    <w:rsid w:val="007B3EC7"/>
    <w:rsid w:val="007B3F5A"/>
    <w:rsid w:val="007B3FBC"/>
    <w:rsid w:val="007B40AE"/>
    <w:rsid w:val="007B417F"/>
    <w:rsid w:val="007B4184"/>
    <w:rsid w:val="007B4266"/>
    <w:rsid w:val="007B4275"/>
    <w:rsid w:val="007B432F"/>
    <w:rsid w:val="007B44AC"/>
    <w:rsid w:val="007B47A6"/>
    <w:rsid w:val="007B48B8"/>
    <w:rsid w:val="007B48F4"/>
    <w:rsid w:val="007B49DF"/>
    <w:rsid w:val="007B4B06"/>
    <w:rsid w:val="007B4B48"/>
    <w:rsid w:val="007B4B61"/>
    <w:rsid w:val="007B4B9A"/>
    <w:rsid w:val="007B4BC8"/>
    <w:rsid w:val="007B4C9A"/>
    <w:rsid w:val="007B4DCF"/>
    <w:rsid w:val="007B4F17"/>
    <w:rsid w:val="007B4F6A"/>
    <w:rsid w:val="007B4F80"/>
    <w:rsid w:val="007B5073"/>
    <w:rsid w:val="007B5189"/>
    <w:rsid w:val="007B52C6"/>
    <w:rsid w:val="007B5396"/>
    <w:rsid w:val="007B53DC"/>
    <w:rsid w:val="007B53EB"/>
    <w:rsid w:val="007B566A"/>
    <w:rsid w:val="007B591F"/>
    <w:rsid w:val="007B5A24"/>
    <w:rsid w:val="007B5BC7"/>
    <w:rsid w:val="007B5BCA"/>
    <w:rsid w:val="007B5E96"/>
    <w:rsid w:val="007B5E9F"/>
    <w:rsid w:val="007B5EC0"/>
    <w:rsid w:val="007B5FF1"/>
    <w:rsid w:val="007B60D8"/>
    <w:rsid w:val="007B6188"/>
    <w:rsid w:val="007B6279"/>
    <w:rsid w:val="007B631A"/>
    <w:rsid w:val="007B6351"/>
    <w:rsid w:val="007B636F"/>
    <w:rsid w:val="007B63B0"/>
    <w:rsid w:val="007B6703"/>
    <w:rsid w:val="007B670B"/>
    <w:rsid w:val="007B6720"/>
    <w:rsid w:val="007B6906"/>
    <w:rsid w:val="007B6941"/>
    <w:rsid w:val="007B69BA"/>
    <w:rsid w:val="007B69F8"/>
    <w:rsid w:val="007B6A95"/>
    <w:rsid w:val="007B6ACD"/>
    <w:rsid w:val="007B6AEE"/>
    <w:rsid w:val="007B6B36"/>
    <w:rsid w:val="007B6C71"/>
    <w:rsid w:val="007B6E8A"/>
    <w:rsid w:val="007B6EB5"/>
    <w:rsid w:val="007B6F7D"/>
    <w:rsid w:val="007B6FBA"/>
    <w:rsid w:val="007B6FCE"/>
    <w:rsid w:val="007B702C"/>
    <w:rsid w:val="007B7053"/>
    <w:rsid w:val="007B717E"/>
    <w:rsid w:val="007B71C9"/>
    <w:rsid w:val="007B7236"/>
    <w:rsid w:val="007B72AD"/>
    <w:rsid w:val="007B7448"/>
    <w:rsid w:val="007B744C"/>
    <w:rsid w:val="007B7471"/>
    <w:rsid w:val="007B7486"/>
    <w:rsid w:val="007B74B2"/>
    <w:rsid w:val="007B74FC"/>
    <w:rsid w:val="007B7543"/>
    <w:rsid w:val="007B75F4"/>
    <w:rsid w:val="007B7633"/>
    <w:rsid w:val="007B779A"/>
    <w:rsid w:val="007B799B"/>
    <w:rsid w:val="007B7A4C"/>
    <w:rsid w:val="007B7A91"/>
    <w:rsid w:val="007B7BAD"/>
    <w:rsid w:val="007B7C54"/>
    <w:rsid w:val="007B7C62"/>
    <w:rsid w:val="007B7E8B"/>
    <w:rsid w:val="007B7F14"/>
    <w:rsid w:val="007B7F62"/>
    <w:rsid w:val="007C025D"/>
    <w:rsid w:val="007C04C4"/>
    <w:rsid w:val="007C05FC"/>
    <w:rsid w:val="007C0600"/>
    <w:rsid w:val="007C0673"/>
    <w:rsid w:val="007C069F"/>
    <w:rsid w:val="007C0868"/>
    <w:rsid w:val="007C088B"/>
    <w:rsid w:val="007C0A6A"/>
    <w:rsid w:val="007C0D4F"/>
    <w:rsid w:val="007C0DA1"/>
    <w:rsid w:val="007C0DA8"/>
    <w:rsid w:val="007C0E08"/>
    <w:rsid w:val="007C0F09"/>
    <w:rsid w:val="007C0F0F"/>
    <w:rsid w:val="007C0F49"/>
    <w:rsid w:val="007C0F7D"/>
    <w:rsid w:val="007C1077"/>
    <w:rsid w:val="007C114B"/>
    <w:rsid w:val="007C1193"/>
    <w:rsid w:val="007C1309"/>
    <w:rsid w:val="007C1557"/>
    <w:rsid w:val="007C15C2"/>
    <w:rsid w:val="007C1702"/>
    <w:rsid w:val="007C17FC"/>
    <w:rsid w:val="007C185C"/>
    <w:rsid w:val="007C18D8"/>
    <w:rsid w:val="007C1CB2"/>
    <w:rsid w:val="007C1D9A"/>
    <w:rsid w:val="007C1DD1"/>
    <w:rsid w:val="007C1EEF"/>
    <w:rsid w:val="007C1F45"/>
    <w:rsid w:val="007C1F50"/>
    <w:rsid w:val="007C1F73"/>
    <w:rsid w:val="007C1FD6"/>
    <w:rsid w:val="007C1FDC"/>
    <w:rsid w:val="007C20FA"/>
    <w:rsid w:val="007C2359"/>
    <w:rsid w:val="007C2412"/>
    <w:rsid w:val="007C24A1"/>
    <w:rsid w:val="007C267F"/>
    <w:rsid w:val="007C2780"/>
    <w:rsid w:val="007C27E7"/>
    <w:rsid w:val="007C28A1"/>
    <w:rsid w:val="007C2953"/>
    <w:rsid w:val="007C2A2F"/>
    <w:rsid w:val="007C2A38"/>
    <w:rsid w:val="007C2B07"/>
    <w:rsid w:val="007C2BD1"/>
    <w:rsid w:val="007C2C71"/>
    <w:rsid w:val="007C2D2A"/>
    <w:rsid w:val="007C2D5F"/>
    <w:rsid w:val="007C2DE0"/>
    <w:rsid w:val="007C2DE7"/>
    <w:rsid w:val="007C2DF9"/>
    <w:rsid w:val="007C2E22"/>
    <w:rsid w:val="007C2FBC"/>
    <w:rsid w:val="007C2FE2"/>
    <w:rsid w:val="007C309A"/>
    <w:rsid w:val="007C30A6"/>
    <w:rsid w:val="007C30E0"/>
    <w:rsid w:val="007C32CE"/>
    <w:rsid w:val="007C3324"/>
    <w:rsid w:val="007C35DC"/>
    <w:rsid w:val="007C3644"/>
    <w:rsid w:val="007C368A"/>
    <w:rsid w:val="007C36B5"/>
    <w:rsid w:val="007C36DD"/>
    <w:rsid w:val="007C3765"/>
    <w:rsid w:val="007C3770"/>
    <w:rsid w:val="007C3805"/>
    <w:rsid w:val="007C3896"/>
    <w:rsid w:val="007C3898"/>
    <w:rsid w:val="007C38CA"/>
    <w:rsid w:val="007C3A30"/>
    <w:rsid w:val="007C3B3D"/>
    <w:rsid w:val="007C3CB9"/>
    <w:rsid w:val="007C3CBF"/>
    <w:rsid w:val="007C3D6B"/>
    <w:rsid w:val="007C3DDC"/>
    <w:rsid w:val="007C3E00"/>
    <w:rsid w:val="007C3E9A"/>
    <w:rsid w:val="007C3FCB"/>
    <w:rsid w:val="007C407E"/>
    <w:rsid w:val="007C411A"/>
    <w:rsid w:val="007C42FF"/>
    <w:rsid w:val="007C4381"/>
    <w:rsid w:val="007C44A9"/>
    <w:rsid w:val="007C457D"/>
    <w:rsid w:val="007C459C"/>
    <w:rsid w:val="007C45CC"/>
    <w:rsid w:val="007C460B"/>
    <w:rsid w:val="007C4720"/>
    <w:rsid w:val="007C4882"/>
    <w:rsid w:val="007C4889"/>
    <w:rsid w:val="007C49BB"/>
    <w:rsid w:val="007C4A8C"/>
    <w:rsid w:val="007C4A95"/>
    <w:rsid w:val="007C4B33"/>
    <w:rsid w:val="007C4C17"/>
    <w:rsid w:val="007C4D9A"/>
    <w:rsid w:val="007C4E9E"/>
    <w:rsid w:val="007C4FB1"/>
    <w:rsid w:val="007C506F"/>
    <w:rsid w:val="007C5937"/>
    <w:rsid w:val="007C5A16"/>
    <w:rsid w:val="007C5B48"/>
    <w:rsid w:val="007C5D86"/>
    <w:rsid w:val="007C5EB5"/>
    <w:rsid w:val="007C5F85"/>
    <w:rsid w:val="007C5FB4"/>
    <w:rsid w:val="007C600F"/>
    <w:rsid w:val="007C6043"/>
    <w:rsid w:val="007C60C4"/>
    <w:rsid w:val="007C6182"/>
    <w:rsid w:val="007C6303"/>
    <w:rsid w:val="007C6372"/>
    <w:rsid w:val="007C641B"/>
    <w:rsid w:val="007C6574"/>
    <w:rsid w:val="007C65FD"/>
    <w:rsid w:val="007C6615"/>
    <w:rsid w:val="007C6631"/>
    <w:rsid w:val="007C66C4"/>
    <w:rsid w:val="007C672C"/>
    <w:rsid w:val="007C672E"/>
    <w:rsid w:val="007C68CE"/>
    <w:rsid w:val="007C68DB"/>
    <w:rsid w:val="007C6913"/>
    <w:rsid w:val="007C696E"/>
    <w:rsid w:val="007C6C64"/>
    <w:rsid w:val="007C6D62"/>
    <w:rsid w:val="007C6D9C"/>
    <w:rsid w:val="007C6DF2"/>
    <w:rsid w:val="007C6E81"/>
    <w:rsid w:val="007C6FFA"/>
    <w:rsid w:val="007C7106"/>
    <w:rsid w:val="007C7135"/>
    <w:rsid w:val="007C7173"/>
    <w:rsid w:val="007C743E"/>
    <w:rsid w:val="007C74DB"/>
    <w:rsid w:val="007C750A"/>
    <w:rsid w:val="007C75CA"/>
    <w:rsid w:val="007C76C6"/>
    <w:rsid w:val="007C7742"/>
    <w:rsid w:val="007C7771"/>
    <w:rsid w:val="007C77F4"/>
    <w:rsid w:val="007C7A3F"/>
    <w:rsid w:val="007C7A93"/>
    <w:rsid w:val="007C7B17"/>
    <w:rsid w:val="007C7B35"/>
    <w:rsid w:val="007C7B49"/>
    <w:rsid w:val="007C7D11"/>
    <w:rsid w:val="007C7DDB"/>
    <w:rsid w:val="007C7F06"/>
    <w:rsid w:val="007C7F34"/>
    <w:rsid w:val="007D027D"/>
    <w:rsid w:val="007D0359"/>
    <w:rsid w:val="007D0388"/>
    <w:rsid w:val="007D046F"/>
    <w:rsid w:val="007D04BC"/>
    <w:rsid w:val="007D04EB"/>
    <w:rsid w:val="007D0587"/>
    <w:rsid w:val="007D05D0"/>
    <w:rsid w:val="007D07E8"/>
    <w:rsid w:val="007D08D4"/>
    <w:rsid w:val="007D09E2"/>
    <w:rsid w:val="007D0A3D"/>
    <w:rsid w:val="007D0B67"/>
    <w:rsid w:val="007D0BD4"/>
    <w:rsid w:val="007D0C3B"/>
    <w:rsid w:val="007D0D38"/>
    <w:rsid w:val="007D0DEF"/>
    <w:rsid w:val="007D0E88"/>
    <w:rsid w:val="007D0EA7"/>
    <w:rsid w:val="007D0EB8"/>
    <w:rsid w:val="007D0EDB"/>
    <w:rsid w:val="007D0F0E"/>
    <w:rsid w:val="007D0F1A"/>
    <w:rsid w:val="007D0F20"/>
    <w:rsid w:val="007D0F4A"/>
    <w:rsid w:val="007D0F94"/>
    <w:rsid w:val="007D0FFD"/>
    <w:rsid w:val="007D1269"/>
    <w:rsid w:val="007D12E5"/>
    <w:rsid w:val="007D14F1"/>
    <w:rsid w:val="007D1501"/>
    <w:rsid w:val="007D1513"/>
    <w:rsid w:val="007D16C9"/>
    <w:rsid w:val="007D17E8"/>
    <w:rsid w:val="007D185D"/>
    <w:rsid w:val="007D1AA0"/>
    <w:rsid w:val="007D1B3A"/>
    <w:rsid w:val="007D1BF1"/>
    <w:rsid w:val="007D1C89"/>
    <w:rsid w:val="007D1CB8"/>
    <w:rsid w:val="007D1D31"/>
    <w:rsid w:val="007D1D6C"/>
    <w:rsid w:val="007D1EAB"/>
    <w:rsid w:val="007D1F35"/>
    <w:rsid w:val="007D200A"/>
    <w:rsid w:val="007D218F"/>
    <w:rsid w:val="007D219F"/>
    <w:rsid w:val="007D22FF"/>
    <w:rsid w:val="007D23DA"/>
    <w:rsid w:val="007D23F5"/>
    <w:rsid w:val="007D2750"/>
    <w:rsid w:val="007D2877"/>
    <w:rsid w:val="007D29D8"/>
    <w:rsid w:val="007D29F0"/>
    <w:rsid w:val="007D2A06"/>
    <w:rsid w:val="007D2A3E"/>
    <w:rsid w:val="007D2ADF"/>
    <w:rsid w:val="007D2CA4"/>
    <w:rsid w:val="007D2CC7"/>
    <w:rsid w:val="007D2CCE"/>
    <w:rsid w:val="007D2CD5"/>
    <w:rsid w:val="007D2CE8"/>
    <w:rsid w:val="007D2CED"/>
    <w:rsid w:val="007D2CFE"/>
    <w:rsid w:val="007D2D2A"/>
    <w:rsid w:val="007D2D82"/>
    <w:rsid w:val="007D2E01"/>
    <w:rsid w:val="007D2F36"/>
    <w:rsid w:val="007D2FD3"/>
    <w:rsid w:val="007D2FD6"/>
    <w:rsid w:val="007D307C"/>
    <w:rsid w:val="007D3225"/>
    <w:rsid w:val="007D324E"/>
    <w:rsid w:val="007D32D6"/>
    <w:rsid w:val="007D34ED"/>
    <w:rsid w:val="007D353A"/>
    <w:rsid w:val="007D36D3"/>
    <w:rsid w:val="007D37DC"/>
    <w:rsid w:val="007D3828"/>
    <w:rsid w:val="007D3837"/>
    <w:rsid w:val="007D396C"/>
    <w:rsid w:val="007D3AB9"/>
    <w:rsid w:val="007D3BEA"/>
    <w:rsid w:val="007D3C29"/>
    <w:rsid w:val="007D3D18"/>
    <w:rsid w:val="007D3E53"/>
    <w:rsid w:val="007D3E6A"/>
    <w:rsid w:val="007D3FFF"/>
    <w:rsid w:val="007D407B"/>
    <w:rsid w:val="007D40D6"/>
    <w:rsid w:val="007D4213"/>
    <w:rsid w:val="007D4242"/>
    <w:rsid w:val="007D4286"/>
    <w:rsid w:val="007D42AC"/>
    <w:rsid w:val="007D42DB"/>
    <w:rsid w:val="007D4340"/>
    <w:rsid w:val="007D43C4"/>
    <w:rsid w:val="007D44A6"/>
    <w:rsid w:val="007D46DD"/>
    <w:rsid w:val="007D4A62"/>
    <w:rsid w:val="007D4A98"/>
    <w:rsid w:val="007D4CC2"/>
    <w:rsid w:val="007D4CF4"/>
    <w:rsid w:val="007D4E77"/>
    <w:rsid w:val="007D4EC6"/>
    <w:rsid w:val="007D4F09"/>
    <w:rsid w:val="007D4FE3"/>
    <w:rsid w:val="007D4FF3"/>
    <w:rsid w:val="007D500E"/>
    <w:rsid w:val="007D507A"/>
    <w:rsid w:val="007D513D"/>
    <w:rsid w:val="007D528C"/>
    <w:rsid w:val="007D5299"/>
    <w:rsid w:val="007D53DF"/>
    <w:rsid w:val="007D54A5"/>
    <w:rsid w:val="007D54BD"/>
    <w:rsid w:val="007D552C"/>
    <w:rsid w:val="007D556F"/>
    <w:rsid w:val="007D56DB"/>
    <w:rsid w:val="007D5771"/>
    <w:rsid w:val="007D592D"/>
    <w:rsid w:val="007D59E4"/>
    <w:rsid w:val="007D5A3D"/>
    <w:rsid w:val="007D5E8A"/>
    <w:rsid w:val="007D5F63"/>
    <w:rsid w:val="007D5F70"/>
    <w:rsid w:val="007D603F"/>
    <w:rsid w:val="007D6163"/>
    <w:rsid w:val="007D6179"/>
    <w:rsid w:val="007D61D1"/>
    <w:rsid w:val="007D626D"/>
    <w:rsid w:val="007D62C3"/>
    <w:rsid w:val="007D6305"/>
    <w:rsid w:val="007D63C1"/>
    <w:rsid w:val="007D6424"/>
    <w:rsid w:val="007D648A"/>
    <w:rsid w:val="007D64A1"/>
    <w:rsid w:val="007D654F"/>
    <w:rsid w:val="007D673D"/>
    <w:rsid w:val="007D6747"/>
    <w:rsid w:val="007D6748"/>
    <w:rsid w:val="007D689B"/>
    <w:rsid w:val="007D68E1"/>
    <w:rsid w:val="007D698A"/>
    <w:rsid w:val="007D6990"/>
    <w:rsid w:val="007D69FF"/>
    <w:rsid w:val="007D6A55"/>
    <w:rsid w:val="007D6AD8"/>
    <w:rsid w:val="007D6B60"/>
    <w:rsid w:val="007D6D81"/>
    <w:rsid w:val="007D6E2D"/>
    <w:rsid w:val="007D6E58"/>
    <w:rsid w:val="007D6F37"/>
    <w:rsid w:val="007D70C4"/>
    <w:rsid w:val="007D70FE"/>
    <w:rsid w:val="007D717C"/>
    <w:rsid w:val="007D720B"/>
    <w:rsid w:val="007D7438"/>
    <w:rsid w:val="007D76CE"/>
    <w:rsid w:val="007D7757"/>
    <w:rsid w:val="007D7870"/>
    <w:rsid w:val="007D788B"/>
    <w:rsid w:val="007D78AB"/>
    <w:rsid w:val="007D78C0"/>
    <w:rsid w:val="007D7900"/>
    <w:rsid w:val="007D79C2"/>
    <w:rsid w:val="007D7A23"/>
    <w:rsid w:val="007D7C59"/>
    <w:rsid w:val="007D7CBF"/>
    <w:rsid w:val="007D7CD3"/>
    <w:rsid w:val="007D7D15"/>
    <w:rsid w:val="007D7E8D"/>
    <w:rsid w:val="007D7EEE"/>
    <w:rsid w:val="007D7F6E"/>
    <w:rsid w:val="007D7F72"/>
    <w:rsid w:val="007D7FD7"/>
    <w:rsid w:val="007DC917"/>
    <w:rsid w:val="007E01AA"/>
    <w:rsid w:val="007E01E5"/>
    <w:rsid w:val="007E0207"/>
    <w:rsid w:val="007E02BA"/>
    <w:rsid w:val="007E0302"/>
    <w:rsid w:val="007E0337"/>
    <w:rsid w:val="007E037C"/>
    <w:rsid w:val="007E03DA"/>
    <w:rsid w:val="007E0416"/>
    <w:rsid w:val="007E05CA"/>
    <w:rsid w:val="007E0605"/>
    <w:rsid w:val="007E07A8"/>
    <w:rsid w:val="007E07E1"/>
    <w:rsid w:val="007E09BB"/>
    <w:rsid w:val="007E0AD0"/>
    <w:rsid w:val="007E0AD8"/>
    <w:rsid w:val="007E0B95"/>
    <w:rsid w:val="007E0D0B"/>
    <w:rsid w:val="007E0EBB"/>
    <w:rsid w:val="007E0F3A"/>
    <w:rsid w:val="007E0FB8"/>
    <w:rsid w:val="007E111C"/>
    <w:rsid w:val="007E1177"/>
    <w:rsid w:val="007E120A"/>
    <w:rsid w:val="007E15DC"/>
    <w:rsid w:val="007E160F"/>
    <w:rsid w:val="007E1627"/>
    <w:rsid w:val="007E177A"/>
    <w:rsid w:val="007E17BA"/>
    <w:rsid w:val="007E1945"/>
    <w:rsid w:val="007E1953"/>
    <w:rsid w:val="007E19A2"/>
    <w:rsid w:val="007E1AD5"/>
    <w:rsid w:val="007E1BA2"/>
    <w:rsid w:val="007E1C10"/>
    <w:rsid w:val="007E1DF1"/>
    <w:rsid w:val="007E1E86"/>
    <w:rsid w:val="007E1F5A"/>
    <w:rsid w:val="007E209B"/>
    <w:rsid w:val="007E20DC"/>
    <w:rsid w:val="007E2370"/>
    <w:rsid w:val="007E2570"/>
    <w:rsid w:val="007E2610"/>
    <w:rsid w:val="007E2699"/>
    <w:rsid w:val="007E2780"/>
    <w:rsid w:val="007E2A01"/>
    <w:rsid w:val="007E2AE8"/>
    <w:rsid w:val="007E2B12"/>
    <w:rsid w:val="007E2CEA"/>
    <w:rsid w:val="007E2D21"/>
    <w:rsid w:val="007E2DC5"/>
    <w:rsid w:val="007E2E5E"/>
    <w:rsid w:val="007E2E8B"/>
    <w:rsid w:val="007E2F00"/>
    <w:rsid w:val="007E2F9F"/>
    <w:rsid w:val="007E32A6"/>
    <w:rsid w:val="007E32D3"/>
    <w:rsid w:val="007E34A9"/>
    <w:rsid w:val="007E34F4"/>
    <w:rsid w:val="007E3576"/>
    <w:rsid w:val="007E36EE"/>
    <w:rsid w:val="007E371B"/>
    <w:rsid w:val="007E3750"/>
    <w:rsid w:val="007E38AB"/>
    <w:rsid w:val="007E38FF"/>
    <w:rsid w:val="007E3915"/>
    <w:rsid w:val="007E3931"/>
    <w:rsid w:val="007E3A8F"/>
    <w:rsid w:val="007E3AEF"/>
    <w:rsid w:val="007E3B73"/>
    <w:rsid w:val="007E3C49"/>
    <w:rsid w:val="007E3C7F"/>
    <w:rsid w:val="007E3D80"/>
    <w:rsid w:val="007E3DF1"/>
    <w:rsid w:val="007E3E6D"/>
    <w:rsid w:val="007E3E7C"/>
    <w:rsid w:val="007E3E8E"/>
    <w:rsid w:val="007E3EB0"/>
    <w:rsid w:val="007E428E"/>
    <w:rsid w:val="007E431B"/>
    <w:rsid w:val="007E43A4"/>
    <w:rsid w:val="007E4614"/>
    <w:rsid w:val="007E4624"/>
    <w:rsid w:val="007E4641"/>
    <w:rsid w:val="007E4651"/>
    <w:rsid w:val="007E472C"/>
    <w:rsid w:val="007E477E"/>
    <w:rsid w:val="007E4829"/>
    <w:rsid w:val="007E4A83"/>
    <w:rsid w:val="007E4A8F"/>
    <w:rsid w:val="007E4BE1"/>
    <w:rsid w:val="007E4C58"/>
    <w:rsid w:val="007E4CBB"/>
    <w:rsid w:val="007E4D09"/>
    <w:rsid w:val="007E4E45"/>
    <w:rsid w:val="007E4ED4"/>
    <w:rsid w:val="007E51B4"/>
    <w:rsid w:val="007E522A"/>
    <w:rsid w:val="007E5257"/>
    <w:rsid w:val="007E52E7"/>
    <w:rsid w:val="007E533D"/>
    <w:rsid w:val="007E557A"/>
    <w:rsid w:val="007E55E5"/>
    <w:rsid w:val="007E574F"/>
    <w:rsid w:val="007E583B"/>
    <w:rsid w:val="007E5901"/>
    <w:rsid w:val="007E59A6"/>
    <w:rsid w:val="007E59AF"/>
    <w:rsid w:val="007E5A0E"/>
    <w:rsid w:val="007E5B7F"/>
    <w:rsid w:val="007E5C2C"/>
    <w:rsid w:val="007E5C84"/>
    <w:rsid w:val="007E5E24"/>
    <w:rsid w:val="007E5E8A"/>
    <w:rsid w:val="007E5EAB"/>
    <w:rsid w:val="007E5FBA"/>
    <w:rsid w:val="007E6053"/>
    <w:rsid w:val="007E606E"/>
    <w:rsid w:val="007E60C7"/>
    <w:rsid w:val="007E611D"/>
    <w:rsid w:val="007E6296"/>
    <w:rsid w:val="007E62C4"/>
    <w:rsid w:val="007E633E"/>
    <w:rsid w:val="007E650F"/>
    <w:rsid w:val="007E6558"/>
    <w:rsid w:val="007E668C"/>
    <w:rsid w:val="007E66A2"/>
    <w:rsid w:val="007E66DD"/>
    <w:rsid w:val="007E66FA"/>
    <w:rsid w:val="007E6B37"/>
    <w:rsid w:val="007E6C49"/>
    <w:rsid w:val="007E6C59"/>
    <w:rsid w:val="007E6CAF"/>
    <w:rsid w:val="007E6E31"/>
    <w:rsid w:val="007E7009"/>
    <w:rsid w:val="007E7076"/>
    <w:rsid w:val="007E707A"/>
    <w:rsid w:val="007E70A6"/>
    <w:rsid w:val="007E70F4"/>
    <w:rsid w:val="007E7169"/>
    <w:rsid w:val="007E722D"/>
    <w:rsid w:val="007E7392"/>
    <w:rsid w:val="007E73D0"/>
    <w:rsid w:val="007E741D"/>
    <w:rsid w:val="007E74C9"/>
    <w:rsid w:val="007E77FA"/>
    <w:rsid w:val="007E7822"/>
    <w:rsid w:val="007E782A"/>
    <w:rsid w:val="007E791C"/>
    <w:rsid w:val="007E795B"/>
    <w:rsid w:val="007E7972"/>
    <w:rsid w:val="007E79B8"/>
    <w:rsid w:val="007E7A8B"/>
    <w:rsid w:val="007E7C3E"/>
    <w:rsid w:val="007E7C8C"/>
    <w:rsid w:val="007E7CAD"/>
    <w:rsid w:val="007E7CD6"/>
    <w:rsid w:val="007E7DC5"/>
    <w:rsid w:val="007E7DEB"/>
    <w:rsid w:val="007E7F62"/>
    <w:rsid w:val="007F013F"/>
    <w:rsid w:val="007F01C4"/>
    <w:rsid w:val="007F038C"/>
    <w:rsid w:val="007F0421"/>
    <w:rsid w:val="007F043B"/>
    <w:rsid w:val="007F0450"/>
    <w:rsid w:val="007F0488"/>
    <w:rsid w:val="007F04B5"/>
    <w:rsid w:val="007F04BD"/>
    <w:rsid w:val="007F051B"/>
    <w:rsid w:val="007F05D1"/>
    <w:rsid w:val="007F0617"/>
    <w:rsid w:val="007F0686"/>
    <w:rsid w:val="007F068C"/>
    <w:rsid w:val="007F0750"/>
    <w:rsid w:val="007F076F"/>
    <w:rsid w:val="007F08C2"/>
    <w:rsid w:val="007F0925"/>
    <w:rsid w:val="007F0968"/>
    <w:rsid w:val="007F0989"/>
    <w:rsid w:val="007F0A7C"/>
    <w:rsid w:val="007F0A91"/>
    <w:rsid w:val="007F0C54"/>
    <w:rsid w:val="007F0C8C"/>
    <w:rsid w:val="007F0D3A"/>
    <w:rsid w:val="007F0D3F"/>
    <w:rsid w:val="007F0DD4"/>
    <w:rsid w:val="007F0EAB"/>
    <w:rsid w:val="007F0EBE"/>
    <w:rsid w:val="007F0FA8"/>
    <w:rsid w:val="007F10E0"/>
    <w:rsid w:val="007F1256"/>
    <w:rsid w:val="007F137F"/>
    <w:rsid w:val="007F1384"/>
    <w:rsid w:val="007F13F9"/>
    <w:rsid w:val="007F1431"/>
    <w:rsid w:val="007F14A4"/>
    <w:rsid w:val="007F1529"/>
    <w:rsid w:val="007F1801"/>
    <w:rsid w:val="007F183B"/>
    <w:rsid w:val="007F186E"/>
    <w:rsid w:val="007F19BF"/>
    <w:rsid w:val="007F1A6D"/>
    <w:rsid w:val="007F1A6F"/>
    <w:rsid w:val="007F1B11"/>
    <w:rsid w:val="007F1B7B"/>
    <w:rsid w:val="007F1B85"/>
    <w:rsid w:val="007F1D5A"/>
    <w:rsid w:val="007F1D68"/>
    <w:rsid w:val="007F1FC7"/>
    <w:rsid w:val="007F1FD3"/>
    <w:rsid w:val="007F2036"/>
    <w:rsid w:val="007F2059"/>
    <w:rsid w:val="007F2072"/>
    <w:rsid w:val="007F20A4"/>
    <w:rsid w:val="007F211D"/>
    <w:rsid w:val="007F21AC"/>
    <w:rsid w:val="007F2220"/>
    <w:rsid w:val="007F2233"/>
    <w:rsid w:val="007F22D8"/>
    <w:rsid w:val="007F2327"/>
    <w:rsid w:val="007F2367"/>
    <w:rsid w:val="007F2383"/>
    <w:rsid w:val="007F23C7"/>
    <w:rsid w:val="007F23F4"/>
    <w:rsid w:val="007F24E6"/>
    <w:rsid w:val="007F2658"/>
    <w:rsid w:val="007F2763"/>
    <w:rsid w:val="007F285D"/>
    <w:rsid w:val="007F2A78"/>
    <w:rsid w:val="007F2A93"/>
    <w:rsid w:val="007F2AE0"/>
    <w:rsid w:val="007F2B00"/>
    <w:rsid w:val="007F2BD3"/>
    <w:rsid w:val="007F2BFA"/>
    <w:rsid w:val="007F2C7F"/>
    <w:rsid w:val="007F2DB8"/>
    <w:rsid w:val="007F2F41"/>
    <w:rsid w:val="007F3173"/>
    <w:rsid w:val="007F31D9"/>
    <w:rsid w:val="007F31E3"/>
    <w:rsid w:val="007F31F2"/>
    <w:rsid w:val="007F3245"/>
    <w:rsid w:val="007F33A2"/>
    <w:rsid w:val="007F33F6"/>
    <w:rsid w:val="007F3481"/>
    <w:rsid w:val="007F34E0"/>
    <w:rsid w:val="007F350F"/>
    <w:rsid w:val="007F3546"/>
    <w:rsid w:val="007F3582"/>
    <w:rsid w:val="007F358C"/>
    <w:rsid w:val="007F35FB"/>
    <w:rsid w:val="007F369E"/>
    <w:rsid w:val="007F3711"/>
    <w:rsid w:val="007F39A1"/>
    <w:rsid w:val="007F3A55"/>
    <w:rsid w:val="007F3B36"/>
    <w:rsid w:val="007F3B76"/>
    <w:rsid w:val="007F3D9E"/>
    <w:rsid w:val="007F3E10"/>
    <w:rsid w:val="007F404C"/>
    <w:rsid w:val="007F405D"/>
    <w:rsid w:val="007F40CA"/>
    <w:rsid w:val="007F41C4"/>
    <w:rsid w:val="007F41E8"/>
    <w:rsid w:val="007F4228"/>
    <w:rsid w:val="007F42B4"/>
    <w:rsid w:val="007F4325"/>
    <w:rsid w:val="007F436B"/>
    <w:rsid w:val="007F438B"/>
    <w:rsid w:val="007F43DD"/>
    <w:rsid w:val="007F44DF"/>
    <w:rsid w:val="007F454D"/>
    <w:rsid w:val="007F474D"/>
    <w:rsid w:val="007F47A9"/>
    <w:rsid w:val="007F4A7C"/>
    <w:rsid w:val="007F4B3E"/>
    <w:rsid w:val="007F4C10"/>
    <w:rsid w:val="007F4C65"/>
    <w:rsid w:val="007F4C8A"/>
    <w:rsid w:val="007F4D5E"/>
    <w:rsid w:val="007F4F27"/>
    <w:rsid w:val="007F5006"/>
    <w:rsid w:val="007F50BB"/>
    <w:rsid w:val="007F54A0"/>
    <w:rsid w:val="007F55A5"/>
    <w:rsid w:val="007F562B"/>
    <w:rsid w:val="007F562F"/>
    <w:rsid w:val="007F570D"/>
    <w:rsid w:val="007F5A8F"/>
    <w:rsid w:val="007F5B22"/>
    <w:rsid w:val="007F5C01"/>
    <w:rsid w:val="007F5C2E"/>
    <w:rsid w:val="007F5E5C"/>
    <w:rsid w:val="007F5E98"/>
    <w:rsid w:val="007F5EAC"/>
    <w:rsid w:val="007F5EDC"/>
    <w:rsid w:val="007F6172"/>
    <w:rsid w:val="007F61F6"/>
    <w:rsid w:val="007F6388"/>
    <w:rsid w:val="007F63C1"/>
    <w:rsid w:val="007F6422"/>
    <w:rsid w:val="007F646E"/>
    <w:rsid w:val="007F64E9"/>
    <w:rsid w:val="007F65B0"/>
    <w:rsid w:val="007F6702"/>
    <w:rsid w:val="007F68A4"/>
    <w:rsid w:val="007F6AD7"/>
    <w:rsid w:val="007F6B04"/>
    <w:rsid w:val="007F6B0A"/>
    <w:rsid w:val="007F6B2D"/>
    <w:rsid w:val="007F6B30"/>
    <w:rsid w:val="007F6BAE"/>
    <w:rsid w:val="007F6C30"/>
    <w:rsid w:val="007F6D4B"/>
    <w:rsid w:val="007F6E5E"/>
    <w:rsid w:val="007F6EEE"/>
    <w:rsid w:val="007F6FBA"/>
    <w:rsid w:val="007F6FF4"/>
    <w:rsid w:val="007F7219"/>
    <w:rsid w:val="007F722C"/>
    <w:rsid w:val="007F72CE"/>
    <w:rsid w:val="007F7482"/>
    <w:rsid w:val="007F75E2"/>
    <w:rsid w:val="007F763B"/>
    <w:rsid w:val="007F7760"/>
    <w:rsid w:val="007F77A8"/>
    <w:rsid w:val="007F77FA"/>
    <w:rsid w:val="007F783E"/>
    <w:rsid w:val="007F787C"/>
    <w:rsid w:val="007F7A99"/>
    <w:rsid w:val="007F7CED"/>
    <w:rsid w:val="007F7D52"/>
    <w:rsid w:val="007F7E67"/>
    <w:rsid w:val="007F7E72"/>
    <w:rsid w:val="007F7ECC"/>
    <w:rsid w:val="007F7F7F"/>
    <w:rsid w:val="007F969E"/>
    <w:rsid w:val="00800012"/>
    <w:rsid w:val="008000D7"/>
    <w:rsid w:val="008001C3"/>
    <w:rsid w:val="008002F2"/>
    <w:rsid w:val="0080037E"/>
    <w:rsid w:val="008004A1"/>
    <w:rsid w:val="00800616"/>
    <w:rsid w:val="008006C5"/>
    <w:rsid w:val="00800721"/>
    <w:rsid w:val="00800767"/>
    <w:rsid w:val="00800797"/>
    <w:rsid w:val="00800891"/>
    <w:rsid w:val="008008FC"/>
    <w:rsid w:val="00800918"/>
    <w:rsid w:val="00800B92"/>
    <w:rsid w:val="00800DCF"/>
    <w:rsid w:val="00800E2B"/>
    <w:rsid w:val="00800EA3"/>
    <w:rsid w:val="00800EF7"/>
    <w:rsid w:val="00800F05"/>
    <w:rsid w:val="008010D0"/>
    <w:rsid w:val="00801152"/>
    <w:rsid w:val="00801282"/>
    <w:rsid w:val="0080139A"/>
    <w:rsid w:val="008013BC"/>
    <w:rsid w:val="0080140A"/>
    <w:rsid w:val="00801554"/>
    <w:rsid w:val="008015E9"/>
    <w:rsid w:val="00801620"/>
    <w:rsid w:val="008016CC"/>
    <w:rsid w:val="00801775"/>
    <w:rsid w:val="0080179E"/>
    <w:rsid w:val="008017E8"/>
    <w:rsid w:val="00801874"/>
    <w:rsid w:val="0080189F"/>
    <w:rsid w:val="008018F5"/>
    <w:rsid w:val="00801A20"/>
    <w:rsid w:val="00801D6F"/>
    <w:rsid w:val="00801F58"/>
    <w:rsid w:val="00801F74"/>
    <w:rsid w:val="00802130"/>
    <w:rsid w:val="00802184"/>
    <w:rsid w:val="008022C8"/>
    <w:rsid w:val="008023A9"/>
    <w:rsid w:val="008023B0"/>
    <w:rsid w:val="00802408"/>
    <w:rsid w:val="008025B2"/>
    <w:rsid w:val="0080270F"/>
    <w:rsid w:val="0080282C"/>
    <w:rsid w:val="008028C7"/>
    <w:rsid w:val="0080295B"/>
    <w:rsid w:val="00802A18"/>
    <w:rsid w:val="00802AB7"/>
    <w:rsid w:val="00802AD8"/>
    <w:rsid w:val="00802CF9"/>
    <w:rsid w:val="00802ED1"/>
    <w:rsid w:val="00803161"/>
    <w:rsid w:val="0080316D"/>
    <w:rsid w:val="008034A4"/>
    <w:rsid w:val="0080356A"/>
    <w:rsid w:val="0080358F"/>
    <w:rsid w:val="00803752"/>
    <w:rsid w:val="008038DE"/>
    <w:rsid w:val="0080390D"/>
    <w:rsid w:val="00803B37"/>
    <w:rsid w:val="00803B45"/>
    <w:rsid w:val="00803B99"/>
    <w:rsid w:val="00803BA8"/>
    <w:rsid w:val="00803C68"/>
    <w:rsid w:val="00803D09"/>
    <w:rsid w:val="00803E6E"/>
    <w:rsid w:val="00803EED"/>
    <w:rsid w:val="00803F2E"/>
    <w:rsid w:val="00803F66"/>
    <w:rsid w:val="0080403B"/>
    <w:rsid w:val="00804062"/>
    <w:rsid w:val="008040B9"/>
    <w:rsid w:val="008042F0"/>
    <w:rsid w:val="00804449"/>
    <w:rsid w:val="00804521"/>
    <w:rsid w:val="00804572"/>
    <w:rsid w:val="00804626"/>
    <w:rsid w:val="0080487E"/>
    <w:rsid w:val="00804887"/>
    <w:rsid w:val="008048C7"/>
    <w:rsid w:val="00804F8F"/>
    <w:rsid w:val="00804FB7"/>
    <w:rsid w:val="0080517E"/>
    <w:rsid w:val="008051EF"/>
    <w:rsid w:val="008051F2"/>
    <w:rsid w:val="008051FF"/>
    <w:rsid w:val="00805251"/>
    <w:rsid w:val="0080531F"/>
    <w:rsid w:val="00805350"/>
    <w:rsid w:val="0080541B"/>
    <w:rsid w:val="00805446"/>
    <w:rsid w:val="008054B4"/>
    <w:rsid w:val="008054E7"/>
    <w:rsid w:val="00805503"/>
    <w:rsid w:val="008057B6"/>
    <w:rsid w:val="00805952"/>
    <w:rsid w:val="008059AE"/>
    <w:rsid w:val="00805B0B"/>
    <w:rsid w:val="00805E19"/>
    <w:rsid w:val="00805F33"/>
    <w:rsid w:val="0080604B"/>
    <w:rsid w:val="0080632F"/>
    <w:rsid w:val="0080643E"/>
    <w:rsid w:val="008066FC"/>
    <w:rsid w:val="00806839"/>
    <w:rsid w:val="008068E5"/>
    <w:rsid w:val="008069E2"/>
    <w:rsid w:val="00806A77"/>
    <w:rsid w:val="00806BDA"/>
    <w:rsid w:val="00806CB4"/>
    <w:rsid w:val="00806D55"/>
    <w:rsid w:val="00806D5A"/>
    <w:rsid w:val="00806E41"/>
    <w:rsid w:val="00806EC9"/>
    <w:rsid w:val="00806F22"/>
    <w:rsid w:val="0080713B"/>
    <w:rsid w:val="0080719D"/>
    <w:rsid w:val="008072CA"/>
    <w:rsid w:val="0080741E"/>
    <w:rsid w:val="00807558"/>
    <w:rsid w:val="008075B1"/>
    <w:rsid w:val="00807604"/>
    <w:rsid w:val="0080761D"/>
    <w:rsid w:val="0080773E"/>
    <w:rsid w:val="00807758"/>
    <w:rsid w:val="00807819"/>
    <w:rsid w:val="00807823"/>
    <w:rsid w:val="008078F3"/>
    <w:rsid w:val="00807931"/>
    <w:rsid w:val="0080795A"/>
    <w:rsid w:val="00807972"/>
    <w:rsid w:val="00807A88"/>
    <w:rsid w:val="00807AD1"/>
    <w:rsid w:val="00807B22"/>
    <w:rsid w:val="00807D29"/>
    <w:rsid w:val="00807D2B"/>
    <w:rsid w:val="00807EED"/>
    <w:rsid w:val="0080D5D4"/>
    <w:rsid w:val="00810052"/>
    <w:rsid w:val="0081011E"/>
    <w:rsid w:val="0081013B"/>
    <w:rsid w:val="00810194"/>
    <w:rsid w:val="00810209"/>
    <w:rsid w:val="00810252"/>
    <w:rsid w:val="0081027D"/>
    <w:rsid w:val="00810399"/>
    <w:rsid w:val="00810422"/>
    <w:rsid w:val="00810547"/>
    <w:rsid w:val="00810595"/>
    <w:rsid w:val="008105DA"/>
    <w:rsid w:val="008105F4"/>
    <w:rsid w:val="008106CC"/>
    <w:rsid w:val="008107C4"/>
    <w:rsid w:val="008108B0"/>
    <w:rsid w:val="00810B50"/>
    <w:rsid w:val="00810B70"/>
    <w:rsid w:val="00810B90"/>
    <w:rsid w:val="00810DA1"/>
    <w:rsid w:val="00810DB9"/>
    <w:rsid w:val="00810DCF"/>
    <w:rsid w:val="00810EA4"/>
    <w:rsid w:val="00810EE3"/>
    <w:rsid w:val="008110BD"/>
    <w:rsid w:val="008110C7"/>
    <w:rsid w:val="00811114"/>
    <w:rsid w:val="00811269"/>
    <w:rsid w:val="00811273"/>
    <w:rsid w:val="00811337"/>
    <w:rsid w:val="0081133B"/>
    <w:rsid w:val="0081134F"/>
    <w:rsid w:val="0081137C"/>
    <w:rsid w:val="008115EC"/>
    <w:rsid w:val="00811607"/>
    <w:rsid w:val="0081184E"/>
    <w:rsid w:val="0081190B"/>
    <w:rsid w:val="008119DC"/>
    <w:rsid w:val="008119EE"/>
    <w:rsid w:val="008119FB"/>
    <w:rsid w:val="00811A16"/>
    <w:rsid w:val="00811A44"/>
    <w:rsid w:val="00811A5A"/>
    <w:rsid w:val="00811BE1"/>
    <w:rsid w:val="00811CE9"/>
    <w:rsid w:val="00811E1F"/>
    <w:rsid w:val="00811EAB"/>
    <w:rsid w:val="00811EB7"/>
    <w:rsid w:val="00811FC7"/>
    <w:rsid w:val="00812025"/>
    <w:rsid w:val="008120AB"/>
    <w:rsid w:val="008121D4"/>
    <w:rsid w:val="0081250C"/>
    <w:rsid w:val="0081268C"/>
    <w:rsid w:val="00812780"/>
    <w:rsid w:val="008127AF"/>
    <w:rsid w:val="00812831"/>
    <w:rsid w:val="0081284C"/>
    <w:rsid w:val="00812879"/>
    <w:rsid w:val="008129A1"/>
    <w:rsid w:val="00812B46"/>
    <w:rsid w:val="00812B47"/>
    <w:rsid w:val="00812CAD"/>
    <w:rsid w:val="00812DF6"/>
    <w:rsid w:val="00812F4A"/>
    <w:rsid w:val="00812FE1"/>
    <w:rsid w:val="00812FEF"/>
    <w:rsid w:val="008130F4"/>
    <w:rsid w:val="00813165"/>
    <w:rsid w:val="00813169"/>
    <w:rsid w:val="00813175"/>
    <w:rsid w:val="008131B7"/>
    <w:rsid w:val="00813220"/>
    <w:rsid w:val="008137A2"/>
    <w:rsid w:val="00813817"/>
    <w:rsid w:val="00813880"/>
    <w:rsid w:val="008139AA"/>
    <w:rsid w:val="008139AE"/>
    <w:rsid w:val="008139E6"/>
    <w:rsid w:val="008139E7"/>
    <w:rsid w:val="00813AB3"/>
    <w:rsid w:val="00813AEF"/>
    <w:rsid w:val="00813B84"/>
    <w:rsid w:val="00813C20"/>
    <w:rsid w:val="00813CD7"/>
    <w:rsid w:val="00813EC8"/>
    <w:rsid w:val="0081416A"/>
    <w:rsid w:val="0081421F"/>
    <w:rsid w:val="00814353"/>
    <w:rsid w:val="008143AB"/>
    <w:rsid w:val="00814410"/>
    <w:rsid w:val="00814412"/>
    <w:rsid w:val="00814495"/>
    <w:rsid w:val="00814505"/>
    <w:rsid w:val="0081456A"/>
    <w:rsid w:val="00814613"/>
    <w:rsid w:val="008146B3"/>
    <w:rsid w:val="008146C2"/>
    <w:rsid w:val="008146DA"/>
    <w:rsid w:val="00814736"/>
    <w:rsid w:val="00814754"/>
    <w:rsid w:val="008147F4"/>
    <w:rsid w:val="00814894"/>
    <w:rsid w:val="00814973"/>
    <w:rsid w:val="00814B3D"/>
    <w:rsid w:val="00814BC4"/>
    <w:rsid w:val="00814D34"/>
    <w:rsid w:val="00814D51"/>
    <w:rsid w:val="00814D6A"/>
    <w:rsid w:val="00814E8D"/>
    <w:rsid w:val="00814F4B"/>
    <w:rsid w:val="00814F86"/>
    <w:rsid w:val="00814F8B"/>
    <w:rsid w:val="00815018"/>
    <w:rsid w:val="00815111"/>
    <w:rsid w:val="008151AB"/>
    <w:rsid w:val="008152F3"/>
    <w:rsid w:val="008153D0"/>
    <w:rsid w:val="008153EA"/>
    <w:rsid w:val="0081556C"/>
    <w:rsid w:val="0081569E"/>
    <w:rsid w:val="008156B0"/>
    <w:rsid w:val="008156BB"/>
    <w:rsid w:val="00815700"/>
    <w:rsid w:val="0081576A"/>
    <w:rsid w:val="0081583C"/>
    <w:rsid w:val="00815907"/>
    <w:rsid w:val="0081593F"/>
    <w:rsid w:val="00815A57"/>
    <w:rsid w:val="00815BF6"/>
    <w:rsid w:val="00815CF1"/>
    <w:rsid w:val="00815D65"/>
    <w:rsid w:val="00815EDE"/>
    <w:rsid w:val="00815FFE"/>
    <w:rsid w:val="00816116"/>
    <w:rsid w:val="008161B9"/>
    <w:rsid w:val="008161F3"/>
    <w:rsid w:val="0081623B"/>
    <w:rsid w:val="00816333"/>
    <w:rsid w:val="00816450"/>
    <w:rsid w:val="0081646B"/>
    <w:rsid w:val="00816513"/>
    <w:rsid w:val="008165C2"/>
    <w:rsid w:val="008165C9"/>
    <w:rsid w:val="00816606"/>
    <w:rsid w:val="00816755"/>
    <w:rsid w:val="0081686E"/>
    <w:rsid w:val="008168B2"/>
    <w:rsid w:val="008168F5"/>
    <w:rsid w:val="008169FD"/>
    <w:rsid w:val="00816AD5"/>
    <w:rsid w:val="00816B1F"/>
    <w:rsid w:val="00816C05"/>
    <w:rsid w:val="00816C6F"/>
    <w:rsid w:val="00816CEE"/>
    <w:rsid w:val="00816FDB"/>
    <w:rsid w:val="00816FE0"/>
    <w:rsid w:val="00817192"/>
    <w:rsid w:val="00817228"/>
    <w:rsid w:val="008172D3"/>
    <w:rsid w:val="00817434"/>
    <w:rsid w:val="008174B8"/>
    <w:rsid w:val="008174D9"/>
    <w:rsid w:val="008176C4"/>
    <w:rsid w:val="00817707"/>
    <w:rsid w:val="00817744"/>
    <w:rsid w:val="00817748"/>
    <w:rsid w:val="00817778"/>
    <w:rsid w:val="00817786"/>
    <w:rsid w:val="0081779B"/>
    <w:rsid w:val="008177BC"/>
    <w:rsid w:val="0081780A"/>
    <w:rsid w:val="008178AD"/>
    <w:rsid w:val="008179AC"/>
    <w:rsid w:val="00817BA0"/>
    <w:rsid w:val="00817C5A"/>
    <w:rsid w:val="00817D0F"/>
    <w:rsid w:val="00817D20"/>
    <w:rsid w:val="00817D3E"/>
    <w:rsid w:val="00817E2A"/>
    <w:rsid w:val="00817E5D"/>
    <w:rsid w:val="00817EF9"/>
    <w:rsid w:val="00817F56"/>
    <w:rsid w:val="00820015"/>
    <w:rsid w:val="00820034"/>
    <w:rsid w:val="00820056"/>
    <w:rsid w:val="008200D7"/>
    <w:rsid w:val="008200EA"/>
    <w:rsid w:val="00820113"/>
    <w:rsid w:val="008201F5"/>
    <w:rsid w:val="0082027E"/>
    <w:rsid w:val="00820451"/>
    <w:rsid w:val="008204B3"/>
    <w:rsid w:val="008205E5"/>
    <w:rsid w:val="00820651"/>
    <w:rsid w:val="008208E3"/>
    <w:rsid w:val="00820934"/>
    <w:rsid w:val="00820BE4"/>
    <w:rsid w:val="00820D18"/>
    <w:rsid w:val="00820D86"/>
    <w:rsid w:val="00820ECF"/>
    <w:rsid w:val="00820F9A"/>
    <w:rsid w:val="00821004"/>
    <w:rsid w:val="0082115A"/>
    <w:rsid w:val="008211B1"/>
    <w:rsid w:val="008213EC"/>
    <w:rsid w:val="008215AD"/>
    <w:rsid w:val="008215D8"/>
    <w:rsid w:val="0082163E"/>
    <w:rsid w:val="0082178F"/>
    <w:rsid w:val="0082194B"/>
    <w:rsid w:val="008219D0"/>
    <w:rsid w:val="00821A7E"/>
    <w:rsid w:val="00821DD5"/>
    <w:rsid w:val="00821DDA"/>
    <w:rsid w:val="00821DE5"/>
    <w:rsid w:val="00821DEB"/>
    <w:rsid w:val="00821EDF"/>
    <w:rsid w:val="008220A8"/>
    <w:rsid w:val="008220C0"/>
    <w:rsid w:val="008220D9"/>
    <w:rsid w:val="0082210B"/>
    <w:rsid w:val="00822110"/>
    <w:rsid w:val="00822308"/>
    <w:rsid w:val="0082230E"/>
    <w:rsid w:val="0082232B"/>
    <w:rsid w:val="00822580"/>
    <w:rsid w:val="008225A0"/>
    <w:rsid w:val="00822648"/>
    <w:rsid w:val="00822915"/>
    <w:rsid w:val="00822C17"/>
    <w:rsid w:val="00822D2F"/>
    <w:rsid w:val="00822DD8"/>
    <w:rsid w:val="00822EE6"/>
    <w:rsid w:val="00823099"/>
    <w:rsid w:val="008231F7"/>
    <w:rsid w:val="008232DE"/>
    <w:rsid w:val="00823365"/>
    <w:rsid w:val="00823378"/>
    <w:rsid w:val="00823427"/>
    <w:rsid w:val="00823558"/>
    <w:rsid w:val="0082358E"/>
    <w:rsid w:val="008237E2"/>
    <w:rsid w:val="00823831"/>
    <w:rsid w:val="00823865"/>
    <w:rsid w:val="008239A6"/>
    <w:rsid w:val="00823B5C"/>
    <w:rsid w:val="00823B88"/>
    <w:rsid w:val="00823C0B"/>
    <w:rsid w:val="00823DF4"/>
    <w:rsid w:val="00823EBF"/>
    <w:rsid w:val="00823F96"/>
    <w:rsid w:val="00823FAD"/>
    <w:rsid w:val="00824046"/>
    <w:rsid w:val="00824115"/>
    <w:rsid w:val="0082413F"/>
    <w:rsid w:val="00824248"/>
    <w:rsid w:val="008242ED"/>
    <w:rsid w:val="0082447B"/>
    <w:rsid w:val="008244D2"/>
    <w:rsid w:val="008245B7"/>
    <w:rsid w:val="008245D8"/>
    <w:rsid w:val="0082463F"/>
    <w:rsid w:val="00824731"/>
    <w:rsid w:val="0082474B"/>
    <w:rsid w:val="008247C9"/>
    <w:rsid w:val="0082484B"/>
    <w:rsid w:val="0082485F"/>
    <w:rsid w:val="00824929"/>
    <w:rsid w:val="0082494A"/>
    <w:rsid w:val="0082499D"/>
    <w:rsid w:val="008249D1"/>
    <w:rsid w:val="00824B0D"/>
    <w:rsid w:val="00824BBE"/>
    <w:rsid w:val="00824C2A"/>
    <w:rsid w:val="00824CC2"/>
    <w:rsid w:val="00824CF1"/>
    <w:rsid w:val="00824D1D"/>
    <w:rsid w:val="00824D4F"/>
    <w:rsid w:val="00824DE4"/>
    <w:rsid w:val="00824EB5"/>
    <w:rsid w:val="00824F61"/>
    <w:rsid w:val="00825039"/>
    <w:rsid w:val="0082507E"/>
    <w:rsid w:val="008250C2"/>
    <w:rsid w:val="0082519C"/>
    <w:rsid w:val="008252CD"/>
    <w:rsid w:val="00825415"/>
    <w:rsid w:val="008254BC"/>
    <w:rsid w:val="008254D0"/>
    <w:rsid w:val="00825581"/>
    <w:rsid w:val="008255AF"/>
    <w:rsid w:val="00825763"/>
    <w:rsid w:val="00825774"/>
    <w:rsid w:val="008257C6"/>
    <w:rsid w:val="00825829"/>
    <w:rsid w:val="00825835"/>
    <w:rsid w:val="008258B3"/>
    <w:rsid w:val="0082595C"/>
    <w:rsid w:val="00825A07"/>
    <w:rsid w:val="00825C24"/>
    <w:rsid w:val="00825C3D"/>
    <w:rsid w:val="00825CFD"/>
    <w:rsid w:val="00825DA8"/>
    <w:rsid w:val="00825DDA"/>
    <w:rsid w:val="00826098"/>
    <w:rsid w:val="0082609F"/>
    <w:rsid w:val="008260A0"/>
    <w:rsid w:val="008262AC"/>
    <w:rsid w:val="0082641B"/>
    <w:rsid w:val="00826485"/>
    <w:rsid w:val="008264AB"/>
    <w:rsid w:val="008264EB"/>
    <w:rsid w:val="00826591"/>
    <w:rsid w:val="008265D8"/>
    <w:rsid w:val="008266CF"/>
    <w:rsid w:val="008266E0"/>
    <w:rsid w:val="00826765"/>
    <w:rsid w:val="008267CD"/>
    <w:rsid w:val="00826814"/>
    <w:rsid w:val="0082681C"/>
    <w:rsid w:val="0082683F"/>
    <w:rsid w:val="00826999"/>
    <w:rsid w:val="008269E5"/>
    <w:rsid w:val="00826A16"/>
    <w:rsid w:val="00826A17"/>
    <w:rsid w:val="00826A27"/>
    <w:rsid w:val="00826B8F"/>
    <w:rsid w:val="00826D1A"/>
    <w:rsid w:val="00826F19"/>
    <w:rsid w:val="00827015"/>
    <w:rsid w:val="00827277"/>
    <w:rsid w:val="008273D3"/>
    <w:rsid w:val="008273F5"/>
    <w:rsid w:val="00827418"/>
    <w:rsid w:val="0082741D"/>
    <w:rsid w:val="008277A1"/>
    <w:rsid w:val="008277AE"/>
    <w:rsid w:val="008277B1"/>
    <w:rsid w:val="0082791F"/>
    <w:rsid w:val="00827AAC"/>
    <w:rsid w:val="00827C58"/>
    <w:rsid w:val="00827D3E"/>
    <w:rsid w:val="00827D91"/>
    <w:rsid w:val="00827E73"/>
    <w:rsid w:val="00827F5E"/>
    <w:rsid w:val="008289B7"/>
    <w:rsid w:val="00830005"/>
    <w:rsid w:val="0083014E"/>
    <w:rsid w:val="00830156"/>
    <w:rsid w:val="008301BA"/>
    <w:rsid w:val="00830363"/>
    <w:rsid w:val="00830428"/>
    <w:rsid w:val="008309D1"/>
    <w:rsid w:val="00830DD3"/>
    <w:rsid w:val="00830E27"/>
    <w:rsid w:val="00830E66"/>
    <w:rsid w:val="00830F90"/>
    <w:rsid w:val="0083101F"/>
    <w:rsid w:val="00831104"/>
    <w:rsid w:val="00831178"/>
    <w:rsid w:val="008311A4"/>
    <w:rsid w:val="008311FA"/>
    <w:rsid w:val="00831234"/>
    <w:rsid w:val="00831257"/>
    <w:rsid w:val="00831481"/>
    <w:rsid w:val="008315C5"/>
    <w:rsid w:val="008316BE"/>
    <w:rsid w:val="008316CB"/>
    <w:rsid w:val="00831750"/>
    <w:rsid w:val="008317BD"/>
    <w:rsid w:val="00831968"/>
    <w:rsid w:val="0083196A"/>
    <w:rsid w:val="0083196F"/>
    <w:rsid w:val="0083198C"/>
    <w:rsid w:val="00831A51"/>
    <w:rsid w:val="00831AB6"/>
    <w:rsid w:val="00831C40"/>
    <w:rsid w:val="00831E60"/>
    <w:rsid w:val="00831E8A"/>
    <w:rsid w:val="00831F3D"/>
    <w:rsid w:val="00831FEB"/>
    <w:rsid w:val="0083205D"/>
    <w:rsid w:val="008320E1"/>
    <w:rsid w:val="008320F3"/>
    <w:rsid w:val="008321C9"/>
    <w:rsid w:val="00832203"/>
    <w:rsid w:val="00832538"/>
    <w:rsid w:val="00832631"/>
    <w:rsid w:val="008326B6"/>
    <w:rsid w:val="008326CD"/>
    <w:rsid w:val="00832762"/>
    <w:rsid w:val="008327B0"/>
    <w:rsid w:val="00832850"/>
    <w:rsid w:val="008329C1"/>
    <w:rsid w:val="008329FB"/>
    <w:rsid w:val="00832A57"/>
    <w:rsid w:val="00832AFB"/>
    <w:rsid w:val="00832B6A"/>
    <w:rsid w:val="00832B7E"/>
    <w:rsid w:val="00832BB6"/>
    <w:rsid w:val="00832DE4"/>
    <w:rsid w:val="00832DEA"/>
    <w:rsid w:val="00832E08"/>
    <w:rsid w:val="00832E21"/>
    <w:rsid w:val="00832E42"/>
    <w:rsid w:val="00832F29"/>
    <w:rsid w:val="00832F8B"/>
    <w:rsid w:val="0083308A"/>
    <w:rsid w:val="008330E2"/>
    <w:rsid w:val="00833134"/>
    <w:rsid w:val="0083316B"/>
    <w:rsid w:val="00833228"/>
    <w:rsid w:val="00833264"/>
    <w:rsid w:val="00833347"/>
    <w:rsid w:val="0083339E"/>
    <w:rsid w:val="00833584"/>
    <w:rsid w:val="008335F3"/>
    <w:rsid w:val="008336B4"/>
    <w:rsid w:val="008337C5"/>
    <w:rsid w:val="008338A5"/>
    <w:rsid w:val="008339FF"/>
    <w:rsid w:val="00833AC9"/>
    <w:rsid w:val="00833ECE"/>
    <w:rsid w:val="00833F0D"/>
    <w:rsid w:val="00833F15"/>
    <w:rsid w:val="00833F2A"/>
    <w:rsid w:val="00833FAD"/>
    <w:rsid w:val="008340BD"/>
    <w:rsid w:val="008340F6"/>
    <w:rsid w:val="0083434E"/>
    <w:rsid w:val="008344E4"/>
    <w:rsid w:val="008345C3"/>
    <w:rsid w:val="008345E8"/>
    <w:rsid w:val="00834847"/>
    <w:rsid w:val="0083489C"/>
    <w:rsid w:val="0083499C"/>
    <w:rsid w:val="008349C1"/>
    <w:rsid w:val="00834AA7"/>
    <w:rsid w:val="00834B0A"/>
    <w:rsid w:val="00834BC4"/>
    <w:rsid w:val="00834DFA"/>
    <w:rsid w:val="00834F36"/>
    <w:rsid w:val="00834F88"/>
    <w:rsid w:val="00834FD0"/>
    <w:rsid w:val="00835155"/>
    <w:rsid w:val="00835201"/>
    <w:rsid w:val="0083530F"/>
    <w:rsid w:val="00835315"/>
    <w:rsid w:val="008353FA"/>
    <w:rsid w:val="008355C8"/>
    <w:rsid w:val="008355E0"/>
    <w:rsid w:val="00835648"/>
    <w:rsid w:val="008358A0"/>
    <w:rsid w:val="00835A0D"/>
    <w:rsid w:val="00835A8E"/>
    <w:rsid w:val="00835B56"/>
    <w:rsid w:val="00835B63"/>
    <w:rsid w:val="00835C09"/>
    <w:rsid w:val="00835C76"/>
    <w:rsid w:val="00835E7C"/>
    <w:rsid w:val="00835E80"/>
    <w:rsid w:val="00836074"/>
    <w:rsid w:val="00836181"/>
    <w:rsid w:val="00836352"/>
    <w:rsid w:val="0083635B"/>
    <w:rsid w:val="0083643A"/>
    <w:rsid w:val="0083660F"/>
    <w:rsid w:val="0083663B"/>
    <w:rsid w:val="0083669C"/>
    <w:rsid w:val="008366F5"/>
    <w:rsid w:val="00836779"/>
    <w:rsid w:val="008367AE"/>
    <w:rsid w:val="00836899"/>
    <w:rsid w:val="00836B84"/>
    <w:rsid w:val="00836C0A"/>
    <w:rsid w:val="00836C6D"/>
    <w:rsid w:val="00836CCC"/>
    <w:rsid w:val="00836D0D"/>
    <w:rsid w:val="00836D9F"/>
    <w:rsid w:val="00836E47"/>
    <w:rsid w:val="00836E91"/>
    <w:rsid w:val="00836F96"/>
    <w:rsid w:val="00837133"/>
    <w:rsid w:val="008371AC"/>
    <w:rsid w:val="0083726F"/>
    <w:rsid w:val="008373C7"/>
    <w:rsid w:val="00837494"/>
    <w:rsid w:val="0083766C"/>
    <w:rsid w:val="00837684"/>
    <w:rsid w:val="008376BC"/>
    <w:rsid w:val="008376E2"/>
    <w:rsid w:val="008376FB"/>
    <w:rsid w:val="00837842"/>
    <w:rsid w:val="00837854"/>
    <w:rsid w:val="00837B53"/>
    <w:rsid w:val="00837B92"/>
    <w:rsid w:val="00837BA4"/>
    <w:rsid w:val="00837BD9"/>
    <w:rsid w:val="00837BF4"/>
    <w:rsid w:val="00837C1C"/>
    <w:rsid w:val="00837DFD"/>
    <w:rsid w:val="00837E09"/>
    <w:rsid w:val="00837E2A"/>
    <w:rsid w:val="00837F26"/>
    <w:rsid w:val="0084007C"/>
    <w:rsid w:val="008400DC"/>
    <w:rsid w:val="008400E2"/>
    <w:rsid w:val="00840262"/>
    <w:rsid w:val="00840343"/>
    <w:rsid w:val="00840416"/>
    <w:rsid w:val="00840717"/>
    <w:rsid w:val="00840A61"/>
    <w:rsid w:val="00840B00"/>
    <w:rsid w:val="00840B0E"/>
    <w:rsid w:val="00840B83"/>
    <w:rsid w:val="00840BB0"/>
    <w:rsid w:val="00840BCA"/>
    <w:rsid w:val="00840BD1"/>
    <w:rsid w:val="00840D10"/>
    <w:rsid w:val="00840DF0"/>
    <w:rsid w:val="00840E16"/>
    <w:rsid w:val="00840EDF"/>
    <w:rsid w:val="00840EED"/>
    <w:rsid w:val="0084102B"/>
    <w:rsid w:val="0084103E"/>
    <w:rsid w:val="0084117A"/>
    <w:rsid w:val="00841228"/>
    <w:rsid w:val="008414EC"/>
    <w:rsid w:val="008414F8"/>
    <w:rsid w:val="00841630"/>
    <w:rsid w:val="00841830"/>
    <w:rsid w:val="00841878"/>
    <w:rsid w:val="008418BE"/>
    <w:rsid w:val="0084191F"/>
    <w:rsid w:val="00841B5F"/>
    <w:rsid w:val="00841C2F"/>
    <w:rsid w:val="00841C38"/>
    <w:rsid w:val="00841C3F"/>
    <w:rsid w:val="00841C9A"/>
    <w:rsid w:val="00841CBC"/>
    <w:rsid w:val="00841D9B"/>
    <w:rsid w:val="00841DA9"/>
    <w:rsid w:val="00841E78"/>
    <w:rsid w:val="00841F6B"/>
    <w:rsid w:val="0084206E"/>
    <w:rsid w:val="008420AF"/>
    <w:rsid w:val="00842143"/>
    <w:rsid w:val="008421C1"/>
    <w:rsid w:val="00842200"/>
    <w:rsid w:val="008422DC"/>
    <w:rsid w:val="008423F8"/>
    <w:rsid w:val="0084241A"/>
    <w:rsid w:val="00842459"/>
    <w:rsid w:val="0084245E"/>
    <w:rsid w:val="00842550"/>
    <w:rsid w:val="008425B1"/>
    <w:rsid w:val="008426C7"/>
    <w:rsid w:val="00842737"/>
    <w:rsid w:val="0084277C"/>
    <w:rsid w:val="0084277E"/>
    <w:rsid w:val="008427C7"/>
    <w:rsid w:val="008427F4"/>
    <w:rsid w:val="0084281E"/>
    <w:rsid w:val="0084291D"/>
    <w:rsid w:val="00842948"/>
    <w:rsid w:val="00842BCF"/>
    <w:rsid w:val="00842CB9"/>
    <w:rsid w:val="00842D2A"/>
    <w:rsid w:val="00842E1D"/>
    <w:rsid w:val="00842F81"/>
    <w:rsid w:val="00843049"/>
    <w:rsid w:val="00843067"/>
    <w:rsid w:val="0084330D"/>
    <w:rsid w:val="00843330"/>
    <w:rsid w:val="00843338"/>
    <w:rsid w:val="0084339E"/>
    <w:rsid w:val="00843475"/>
    <w:rsid w:val="0084349E"/>
    <w:rsid w:val="008434F5"/>
    <w:rsid w:val="00843545"/>
    <w:rsid w:val="008435BB"/>
    <w:rsid w:val="0084368B"/>
    <w:rsid w:val="0084369B"/>
    <w:rsid w:val="008436F6"/>
    <w:rsid w:val="00843729"/>
    <w:rsid w:val="0084379B"/>
    <w:rsid w:val="0084382F"/>
    <w:rsid w:val="0084386D"/>
    <w:rsid w:val="00843B4A"/>
    <w:rsid w:val="00843C03"/>
    <w:rsid w:val="00843C6B"/>
    <w:rsid w:val="00843D2B"/>
    <w:rsid w:val="00843DD8"/>
    <w:rsid w:val="00843F45"/>
    <w:rsid w:val="00843F54"/>
    <w:rsid w:val="00843F72"/>
    <w:rsid w:val="00844014"/>
    <w:rsid w:val="0084405C"/>
    <w:rsid w:val="00844177"/>
    <w:rsid w:val="00844224"/>
    <w:rsid w:val="008442C5"/>
    <w:rsid w:val="00844536"/>
    <w:rsid w:val="0084454E"/>
    <w:rsid w:val="00844651"/>
    <w:rsid w:val="00844653"/>
    <w:rsid w:val="008447C3"/>
    <w:rsid w:val="00844823"/>
    <w:rsid w:val="00844917"/>
    <w:rsid w:val="00844969"/>
    <w:rsid w:val="00844A14"/>
    <w:rsid w:val="00844ABE"/>
    <w:rsid w:val="00844B76"/>
    <w:rsid w:val="00844C11"/>
    <w:rsid w:val="00844D80"/>
    <w:rsid w:val="00844D84"/>
    <w:rsid w:val="00844E63"/>
    <w:rsid w:val="00844E8E"/>
    <w:rsid w:val="00844EC5"/>
    <w:rsid w:val="00844ED3"/>
    <w:rsid w:val="00844F06"/>
    <w:rsid w:val="00844F67"/>
    <w:rsid w:val="008450A9"/>
    <w:rsid w:val="0084510C"/>
    <w:rsid w:val="00845382"/>
    <w:rsid w:val="008453AD"/>
    <w:rsid w:val="00845447"/>
    <w:rsid w:val="0084549F"/>
    <w:rsid w:val="008454FF"/>
    <w:rsid w:val="008455A8"/>
    <w:rsid w:val="0084570A"/>
    <w:rsid w:val="00845726"/>
    <w:rsid w:val="0084573C"/>
    <w:rsid w:val="0084592A"/>
    <w:rsid w:val="00845B10"/>
    <w:rsid w:val="00845C56"/>
    <w:rsid w:val="00845D06"/>
    <w:rsid w:val="00845F9F"/>
    <w:rsid w:val="0084620F"/>
    <w:rsid w:val="008462C1"/>
    <w:rsid w:val="008463AC"/>
    <w:rsid w:val="008463C7"/>
    <w:rsid w:val="00846483"/>
    <w:rsid w:val="00846585"/>
    <w:rsid w:val="0084659A"/>
    <w:rsid w:val="00846688"/>
    <w:rsid w:val="0084669B"/>
    <w:rsid w:val="0084690A"/>
    <w:rsid w:val="0084693F"/>
    <w:rsid w:val="00846940"/>
    <w:rsid w:val="00846948"/>
    <w:rsid w:val="008469D2"/>
    <w:rsid w:val="00846B9B"/>
    <w:rsid w:val="00846BF3"/>
    <w:rsid w:val="00846DB7"/>
    <w:rsid w:val="00846E17"/>
    <w:rsid w:val="00846EB2"/>
    <w:rsid w:val="00846F4D"/>
    <w:rsid w:val="00847018"/>
    <w:rsid w:val="008470CC"/>
    <w:rsid w:val="008471B1"/>
    <w:rsid w:val="008471CD"/>
    <w:rsid w:val="00847380"/>
    <w:rsid w:val="008474B7"/>
    <w:rsid w:val="0084757F"/>
    <w:rsid w:val="00847586"/>
    <w:rsid w:val="008475FC"/>
    <w:rsid w:val="008476EB"/>
    <w:rsid w:val="008479B3"/>
    <w:rsid w:val="00847DBB"/>
    <w:rsid w:val="00847DDE"/>
    <w:rsid w:val="00847F6E"/>
    <w:rsid w:val="0084CEF7"/>
    <w:rsid w:val="0085017C"/>
    <w:rsid w:val="00850267"/>
    <w:rsid w:val="00850328"/>
    <w:rsid w:val="0085040C"/>
    <w:rsid w:val="0085059B"/>
    <w:rsid w:val="00850601"/>
    <w:rsid w:val="00850618"/>
    <w:rsid w:val="00850689"/>
    <w:rsid w:val="008506FA"/>
    <w:rsid w:val="008507A9"/>
    <w:rsid w:val="008508D0"/>
    <w:rsid w:val="008509A0"/>
    <w:rsid w:val="008509EC"/>
    <w:rsid w:val="00850A11"/>
    <w:rsid w:val="00850A19"/>
    <w:rsid w:val="00850A31"/>
    <w:rsid w:val="00850B53"/>
    <w:rsid w:val="00851022"/>
    <w:rsid w:val="0085105E"/>
    <w:rsid w:val="00851065"/>
    <w:rsid w:val="008510F2"/>
    <w:rsid w:val="008511A6"/>
    <w:rsid w:val="008511C6"/>
    <w:rsid w:val="0085128A"/>
    <w:rsid w:val="0085134B"/>
    <w:rsid w:val="008513F2"/>
    <w:rsid w:val="0085155E"/>
    <w:rsid w:val="008515EB"/>
    <w:rsid w:val="008515FE"/>
    <w:rsid w:val="00851607"/>
    <w:rsid w:val="00851678"/>
    <w:rsid w:val="00851850"/>
    <w:rsid w:val="008518B3"/>
    <w:rsid w:val="00851B12"/>
    <w:rsid w:val="00851C24"/>
    <w:rsid w:val="00851D42"/>
    <w:rsid w:val="00851D49"/>
    <w:rsid w:val="00851FEE"/>
    <w:rsid w:val="0085205A"/>
    <w:rsid w:val="0085209B"/>
    <w:rsid w:val="00852137"/>
    <w:rsid w:val="0085214B"/>
    <w:rsid w:val="00852421"/>
    <w:rsid w:val="00852490"/>
    <w:rsid w:val="00852491"/>
    <w:rsid w:val="008524CC"/>
    <w:rsid w:val="00852571"/>
    <w:rsid w:val="00852754"/>
    <w:rsid w:val="0085276F"/>
    <w:rsid w:val="00852771"/>
    <w:rsid w:val="008527A1"/>
    <w:rsid w:val="0085294A"/>
    <w:rsid w:val="008529CF"/>
    <w:rsid w:val="008529D3"/>
    <w:rsid w:val="00852A57"/>
    <w:rsid w:val="00852A76"/>
    <w:rsid w:val="00852B98"/>
    <w:rsid w:val="00852BA6"/>
    <w:rsid w:val="00852C25"/>
    <w:rsid w:val="00852C44"/>
    <w:rsid w:val="00852CF3"/>
    <w:rsid w:val="00852CF4"/>
    <w:rsid w:val="00852D6B"/>
    <w:rsid w:val="00852DFD"/>
    <w:rsid w:val="00852E63"/>
    <w:rsid w:val="00852F97"/>
    <w:rsid w:val="00852FA2"/>
    <w:rsid w:val="0085305F"/>
    <w:rsid w:val="00853287"/>
    <w:rsid w:val="00853345"/>
    <w:rsid w:val="00853390"/>
    <w:rsid w:val="008534A6"/>
    <w:rsid w:val="008534BA"/>
    <w:rsid w:val="0085358E"/>
    <w:rsid w:val="008535E4"/>
    <w:rsid w:val="00853610"/>
    <w:rsid w:val="00853693"/>
    <w:rsid w:val="008536B3"/>
    <w:rsid w:val="008537B2"/>
    <w:rsid w:val="00853820"/>
    <w:rsid w:val="008538AC"/>
    <w:rsid w:val="00853C30"/>
    <w:rsid w:val="00853DBC"/>
    <w:rsid w:val="00853E88"/>
    <w:rsid w:val="0085420A"/>
    <w:rsid w:val="008543AB"/>
    <w:rsid w:val="008543D5"/>
    <w:rsid w:val="00854559"/>
    <w:rsid w:val="0085458A"/>
    <w:rsid w:val="008545B3"/>
    <w:rsid w:val="008547BA"/>
    <w:rsid w:val="008548CC"/>
    <w:rsid w:val="00854934"/>
    <w:rsid w:val="008549EE"/>
    <w:rsid w:val="00854A81"/>
    <w:rsid w:val="00854AE2"/>
    <w:rsid w:val="00854B0B"/>
    <w:rsid w:val="00854BFD"/>
    <w:rsid w:val="00854D8B"/>
    <w:rsid w:val="00854D9A"/>
    <w:rsid w:val="00854DA5"/>
    <w:rsid w:val="00854DBA"/>
    <w:rsid w:val="00854E91"/>
    <w:rsid w:val="00854F40"/>
    <w:rsid w:val="00854FCA"/>
    <w:rsid w:val="00855038"/>
    <w:rsid w:val="008550D9"/>
    <w:rsid w:val="00855114"/>
    <w:rsid w:val="00855325"/>
    <w:rsid w:val="008555A9"/>
    <w:rsid w:val="008556F0"/>
    <w:rsid w:val="0085572A"/>
    <w:rsid w:val="00855771"/>
    <w:rsid w:val="008557AD"/>
    <w:rsid w:val="0085584C"/>
    <w:rsid w:val="008559EF"/>
    <w:rsid w:val="00855B7C"/>
    <w:rsid w:val="00855DC9"/>
    <w:rsid w:val="00855E7B"/>
    <w:rsid w:val="00855ED8"/>
    <w:rsid w:val="0085607B"/>
    <w:rsid w:val="008562F4"/>
    <w:rsid w:val="008564FF"/>
    <w:rsid w:val="0085658F"/>
    <w:rsid w:val="008566FF"/>
    <w:rsid w:val="00856818"/>
    <w:rsid w:val="00856905"/>
    <w:rsid w:val="00856917"/>
    <w:rsid w:val="00856941"/>
    <w:rsid w:val="0085694F"/>
    <w:rsid w:val="00856AF0"/>
    <w:rsid w:val="00856B66"/>
    <w:rsid w:val="00856BB9"/>
    <w:rsid w:val="00856C34"/>
    <w:rsid w:val="00856C95"/>
    <w:rsid w:val="00856C9E"/>
    <w:rsid w:val="00856CAC"/>
    <w:rsid w:val="00856DF5"/>
    <w:rsid w:val="00856FB9"/>
    <w:rsid w:val="00856FC1"/>
    <w:rsid w:val="00856FF5"/>
    <w:rsid w:val="008573F0"/>
    <w:rsid w:val="00857503"/>
    <w:rsid w:val="00857541"/>
    <w:rsid w:val="0085761A"/>
    <w:rsid w:val="008576FD"/>
    <w:rsid w:val="0085789D"/>
    <w:rsid w:val="00857928"/>
    <w:rsid w:val="0085798A"/>
    <w:rsid w:val="00857A60"/>
    <w:rsid w:val="00857AED"/>
    <w:rsid w:val="00857C0B"/>
    <w:rsid w:val="00857C53"/>
    <w:rsid w:val="00857D09"/>
    <w:rsid w:val="00857D44"/>
    <w:rsid w:val="00857E58"/>
    <w:rsid w:val="00857EC9"/>
    <w:rsid w:val="00857F1F"/>
    <w:rsid w:val="00857F7F"/>
    <w:rsid w:val="00860059"/>
    <w:rsid w:val="00860143"/>
    <w:rsid w:val="00860168"/>
    <w:rsid w:val="008601AC"/>
    <w:rsid w:val="008601B9"/>
    <w:rsid w:val="008602C3"/>
    <w:rsid w:val="00860332"/>
    <w:rsid w:val="0086033F"/>
    <w:rsid w:val="00860394"/>
    <w:rsid w:val="008604B0"/>
    <w:rsid w:val="008604D2"/>
    <w:rsid w:val="0086068A"/>
    <w:rsid w:val="008607F5"/>
    <w:rsid w:val="00860920"/>
    <w:rsid w:val="00860994"/>
    <w:rsid w:val="008609BF"/>
    <w:rsid w:val="008609E1"/>
    <w:rsid w:val="00860A8E"/>
    <w:rsid w:val="00860AB5"/>
    <w:rsid w:val="00860BCF"/>
    <w:rsid w:val="00860CA6"/>
    <w:rsid w:val="00860CFB"/>
    <w:rsid w:val="00860EAD"/>
    <w:rsid w:val="00860EBD"/>
    <w:rsid w:val="00860ED9"/>
    <w:rsid w:val="00860F03"/>
    <w:rsid w:val="0086101B"/>
    <w:rsid w:val="00861136"/>
    <w:rsid w:val="0086118F"/>
    <w:rsid w:val="00861196"/>
    <w:rsid w:val="00861205"/>
    <w:rsid w:val="0086128C"/>
    <w:rsid w:val="00861338"/>
    <w:rsid w:val="008613E8"/>
    <w:rsid w:val="00861426"/>
    <w:rsid w:val="00861461"/>
    <w:rsid w:val="00861462"/>
    <w:rsid w:val="008615C6"/>
    <w:rsid w:val="008615F3"/>
    <w:rsid w:val="0086164B"/>
    <w:rsid w:val="00861690"/>
    <w:rsid w:val="008617CB"/>
    <w:rsid w:val="0086185C"/>
    <w:rsid w:val="00861944"/>
    <w:rsid w:val="00861A08"/>
    <w:rsid w:val="00861A1C"/>
    <w:rsid w:val="00861A5C"/>
    <w:rsid w:val="00861A5F"/>
    <w:rsid w:val="00861B15"/>
    <w:rsid w:val="00861C7C"/>
    <w:rsid w:val="00861CCE"/>
    <w:rsid w:val="00861CE6"/>
    <w:rsid w:val="00861D4A"/>
    <w:rsid w:val="00861E0F"/>
    <w:rsid w:val="00861E9A"/>
    <w:rsid w:val="00861EBD"/>
    <w:rsid w:val="00861EE1"/>
    <w:rsid w:val="00861F94"/>
    <w:rsid w:val="00861FCB"/>
    <w:rsid w:val="00862309"/>
    <w:rsid w:val="008626AC"/>
    <w:rsid w:val="00862749"/>
    <w:rsid w:val="008629FF"/>
    <w:rsid w:val="00862A8B"/>
    <w:rsid w:val="00862B44"/>
    <w:rsid w:val="00862C90"/>
    <w:rsid w:val="00862DC2"/>
    <w:rsid w:val="00862FE5"/>
    <w:rsid w:val="008630FE"/>
    <w:rsid w:val="00863611"/>
    <w:rsid w:val="0086379A"/>
    <w:rsid w:val="008639CF"/>
    <w:rsid w:val="00863A47"/>
    <w:rsid w:val="00863B53"/>
    <w:rsid w:val="00863C70"/>
    <w:rsid w:val="00863CD1"/>
    <w:rsid w:val="00863D78"/>
    <w:rsid w:val="00863FFD"/>
    <w:rsid w:val="0086406E"/>
    <w:rsid w:val="00864255"/>
    <w:rsid w:val="00864281"/>
    <w:rsid w:val="008642FA"/>
    <w:rsid w:val="0086447A"/>
    <w:rsid w:val="008644AD"/>
    <w:rsid w:val="0086453F"/>
    <w:rsid w:val="00864558"/>
    <w:rsid w:val="008645BA"/>
    <w:rsid w:val="0086461F"/>
    <w:rsid w:val="00864633"/>
    <w:rsid w:val="008646A7"/>
    <w:rsid w:val="008647BF"/>
    <w:rsid w:val="008649B9"/>
    <w:rsid w:val="00864A9E"/>
    <w:rsid w:val="00864B72"/>
    <w:rsid w:val="00864D32"/>
    <w:rsid w:val="00864E9A"/>
    <w:rsid w:val="00864EA6"/>
    <w:rsid w:val="00864F12"/>
    <w:rsid w:val="00864FE0"/>
    <w:rsid w:val="00864FF2"/>
    <w:rsid w:val="00865033"/>
    <w:rsid w:val="008650DE"/>
    <w:rsid w:val="0086511C"/>
    <w:rsid w:val="00865428"/>
    <w:rsid w:val="00865546"/>
    <w:rsid w:val="00865708"/>
    <w:rsid w:val="00865729"/>
    <w:rsid w:val="00865735"/>
    <w:rsid w:val="00865743"/>
    <w:rsid w:val="008657D5"/>
    <w:rsid w:val="008657E6"/>
    <w:rsid w:val="008659E4"/>
    <w:rsid w:val="00865A6A"/>
    <w:rsid w:val="00865ABC"/>
    <w:rsid w:val="00865C42"/>
    <w:rsid w:val="00865DD3"/>
    <w:rsid w:val="00865DDB"/>
    <w:rsid w:val="00865DE8"/>
    <w:rsid w:val="00865EE3"/>
    <w:rsid w:val="00865FC7"/>
    <w:rsid w:val="008661B1"/>
    <w:rsid w:val="008664E8"/>
    <w:rsid w:val="008664F5"/>
    <w:rsid w:val="0086654D"/>
    <w:rsid w:val="00866617"/>
    <w:rsid w:val="008667A5"/>
    <w:rsid w:val="008668A9"/>
    <w:rsid w:val="0086692E"/>
    <w:rsid w:val="00866B8F"/>
    <w:rsid w:val="00866BC6"/>
    <w:rsid w:val="00866BCC"/>
    <w:rsid w:val="00866C69"/>
    <w:rsid w:val="00866C6E"/>
    <w:rsid w:val="00866D3B"/>
    <w:rsid w:val="00866E55"/>
    <w:rsid w:val="00866F8D"/>
    <w:rsid w:val="008670FF"/>
    <w:rsid w:val="008671A7"/>
    <w:rsid w:val="008671D2"/>
    <w:rsid w:val="008672E0"/>
    <w:rsid w:val="008673A1"/>
    <w:rsid w:val="008673FC"/>
    <w:rsid w:val="00867538"/>
    <w:rsid w:val="008675AB"/>
    <w:rsid w:val="00867752"/>
    <w:rsid w:val="008677C8"/>
    <w:rsid w:val="00867861"/>
    <w:rsid w:val="00867A2E"/>
    <w:rsid w:val="00867ABD"/>
    <w:rsid w:val="00867B26"/>
    <w:rsid w:val="00867BBA"/>
    <w:rsid w:val="00867C92"/>
    <w:rsid w:val="00867CDF"/>
    <w:rsid w:val="00867E63"/>
    <w:rsid w:val="00867EAF"/>
    <w:rsid w:val="00867EE9"/>
    <w:rsid w:val="00867FD8"/>
    <w:rsid w:val="008700C4"/>
    <w:rsid w:val="008701C2"/>
    <w:rsid w:val="008701C3"/>
    <w:rsid w:val="00870240"/>
    <w:rsid w:val="00870250"/>
    <w:rsid w:val="008703C6"/>
    <w:rsid w:val="008704E9"/>
    <w:rsid w:val="00870509"/>
    <w:rsid w:val="0087063C"/>
    <w:rsid w:val="008706A4"/>
    <w:rsid w:val="008706DB"/>
    <w:rsid w:val="00870932"/>
    <w:rsid w:val="00870A91"/>
    <w:rsid w:val="00870AEB"/>
    <w:rsid w:val="00870B1E"/>
    <w:rsid w:val="00870B5F"/>
    <w:rsid w:val="00870B85"/>
    <w:rsid w:val="00870BCA"/>
    <w:rsid w:val="00870CE8"/>
    <w:rsid w:val="00870E46"/>
    <w:rsid w:val="008710E5"/>
    <w:rsid w:val="00871119"/>
    <w:rsid w:val="008711A8"/>
    <w:rsid w:val="008711F0"/>
    <w:rsid w:val="00871208"/>
    <w:rsid w:val="00871211"/>
    <w:rsid w:val="00871322"/>
    <w:rsid w:val="0087133D"/>
    <w:rsid w:val="0087138A"/>
    <w:rsid w:val="008713ED"/>
    <w:rsid w:val="008715BE"/>
    <w:rsid w:val="008717AE"/>
    <w:rsid w:val="00871894"/>
    <w:rsid w:val="008718BB"/>
    <w:rsid w:val="00871969"/>
    <w:rsid w:val="00871BB1"/>
    <w:rsid w:val="00871BC9"/>
    <w:rsid w:val="00871E22"/>
    <w:rsid w:val="00871E98"/>
    <w:rsid w:val="00871F7D"/>
    <w:rsid w:val="00872034"/>
    <w:rsid w:val="00872070"/>
    <w:rsid w:val="008720A2"/>
    <w:rsid w:val="008720C8"/>
    <w:rsid w:val="008720E1"/>
    <w:rsid w:val="00872175"/>
    <w:rsid w:val="0087232F"/>
    <w:rsid w:val="00872369"/>
    <w:rsid w:val="0087238B"/>
    <w:rsid w:val="0087249A"/>
    <w:rsid w:val="0087253F"/>
    <w:rsid w:val="00872576"/>
    <w:rsid w:val="008725C4"/>
    <w:rsid w:val="0087275E"/>
    <w:rsid w:val="008728FE"/>
    <w:rsid w:val="008729E5"/>
    <w:rsid w:val="00872A31"/>
    <w:rsid w:val="00872A7F"/>
    <w:rsid w:val="00872B8B"/>
    <w:rsid w:val="00872DFC"/>
    <w:rsid w:val="0087309C"/>
    <w:rsid w:val="00873178"/>
    <w:rsid w:val="0087317D"/>
    <w:rsid w:val="008732C5"/>
    <w:rsid w:val="0087333C"/>
    <w:rsid w:val="0087349E"/>
    <w:rsid w:val="008736FE"/>
    <w:rsid w:val="008737EF"/>
    <w:rsid w:val="0087383B"/>
    <w:rsid w:val="00873892"/>
    <w:rsid w:val="008738AF"/>
    <w:rsid w:val="00873986"/>
    <w:rsid w:val="008739E1"/>
    <w:rsid w:val="00873AC1"/>
    <w:rsid w:val="00873B32"/>
    <w:rsid w:val="00873BAF"/>
    <w:rsid w:val="00873D90"/>
    <w:rsid w:val="00873E7D"/>
    <w:rsid w:val="00873EE8"/>
    <w:rsid w:val="00873FC8"/>
    <w:rsid w:val="00873FF4"/>
    <w:rsid w:val="008741EA"/>
    <w:rsid w:val="008741FF"/>
    <w:rsid w:val="00874350"/>
    <w:rsid w:val="00874563"/>
    <w:rsid w:val="00874586"/>
    <w:rsid w:val="00874633"/>
    <w:rsid w:val="00874731"/>
    <w:rsid w:val="00874A15"/>
    <w:rsid w:val="00874A20"/>
    <w:rsid w:val="00874A21"/>
    <w:rsid w:val="00874AB7"/>
    <w:rsid w:val="00874C9D"/>
    <w:rsid w:val="00874CA7"/>
    <w:rsid w:val="00874CAA"/>
    <w:rsid w:val="00874CC1"/>
    <w:rsid w:val="00874CE5"/>
    <w:rsid w:val="00874E3B"/>
    <w:rsid w:val="00874E49"/>
    <w:rsid w:val="00874E7E"/>
    <w:rsid w:val="0087500C"/>
    <w:rsid w:val="00875079"/>
    <w:rsid w:val="00875098"/>
    <w:rsid w:val="00875185"/>
    <w:rsid w:val="008751EE"/>
    <w:rsid w:val="0087524F"/>
    <w:rsid w:val="008753C9"/>
    <w:rsid w:val="0087572C"/>
    <w:rsid w:val="0087574E"/>
    <w:rsid w:val="00875861"/>
    <w:rsid w:val="0087594C"/>
    <w:rsid w:val="008759C1"/>
    <w:rsid w:val="00875A20"/>
    <w:rsid w:val="00875B0D"/>
    <w:rsid w:val="00875B23"/>
    <w:rsid w:val="00875B5F"/>
    <w:rsid w:val="00875B74"/>
    <w:rsid w:val="00875B9C"/>
    <w:rsid w:val="00875BFC"/>
    <w:rsid w:val="00875C75"/>
    <w:rsid w:val="00875D86"/>
    <w:rsid w:val="00875E94"/>
    <w:rsid w:val="00875E97"/>
    <w:rsid w:val="00875F96"/>
    <w:rsid w:val="00875FEE"/>
    <w:rsid w:val="00876064"/>
    <w:rsid w:val="008760E1"/>
    <w:rsid w:val="00876135"/>
    <w:rsid w:val="008761BB"/>
    <w:rsid w:val="00876365"/>
    <w:rsid w:val="00876424"/>
    <w:rsid w:val="008764B6"/>
    <w:rsid w:val="00876512"/>
    <w:rsid w:val="008766E6"/>
    <w:rsid w:val="0087674B"/>
    <w:rsid w:val="0087682F"/>
    <w:rsid w:val="00876910"/>
    <w:rsid w:val="00876A03"/>
    <w:rsid w:val="00876A43"/>
    <w:rsid w:val="00876AA8"/>
    <w:rsid w:val="00876C2E"/>
    <w:rsid w:val="00876C59"/>
    <w:rsid w:val="00876C75"/>
    <w:rsid w:val="00876C89"/>
    <w:rsid w:val="00876DE1"/>
    <w:rsid w:val="00876E97"/>
    <w:rsid w:val="0087700F"/>
    <w:rsid w:val="008770DD"/>
    <w:rsid w:val="00877103"/>
    <w:rsid w:val="0087719C"/>
    <w:rsid w:val="008771D1"/>
    <w:rsid w:val="0087721C"/>
    <w:rsid w:val="00877303"/>
    <w:rsid w:val="00877439"/>
    <w:rsid w:val="00877498"/>
    <w:rsid w:val="00877542"/>
    <w:rsid w:val="008775EF"/>
    <w:rsid w:val="00877638"/>
    <w:rsid w:val="0087774D"/>
    <w:rsid w:val="008778B6"/>
    <w:rsid w:val="008779E9"/>
    <w:rsid w:val="00877AA8"/>
    <w:rsid w:val="00877B63"/>
    <w:rsid w:val="00877B72"/>
    <w:rsid w:val="00877BBF"/>
    <w:rsid w:val="00877C51"/>
    <w:rsid w:val="00877CA0"/>
    <w:rsid w:val="00877CC3"/>
    <w:rsid w:val="00877DAC"/>
    <w:rsid w:val="00877F32"/>
    <w:rsid w:val="00877F8B"/>
    <w:rsid w:val="00880043"/>
    <w:rsid w:val="0088005B"/>
    <w:rsid w:val="00880120"/>
    <w:rsid w:val="008802BA"/>
    <w:rsid w:val="008802CA"/>
    <w:rsid w:val="00880463"/>
    <w:rsid w:val="008804C7"/>
    <w:rsid w:val="008807DB"/>
    <w:rsid w:val="0088090E"/>
    <w:rsid w:val="008809C1"/>
    <w:rsid w:val="00880AA2"/>
    <w:rsid w:val="00880AAA"/>
    <w:rsid w:val="00880AEC"/>
    <w:rsid w:val="00880B03"/>
    <w:rsid w:val="00880B16"/>
    <w:rsid w:val="00880B73"/>
    <w:rsid w:val="00880BE2"/>
    <w:rsid w:val="00880C0B"/>
    <w:rsid w:val="00880C82"/>
    <w:rsid w:val="00880CB6"/>
    <w:rsid w:val="00880CDB"/>
    <w:rsid w:val="00880D36"/>
    <w:rsid w:val="00880D67"/>
    <w:rsid w:val="00880DAA"/>
    <w:rsid w:val="00880F7D"/>
    <w:rsid w:val="00880FC1"/>
    <w:rsid w:val="00881092"/>
    <w:rsid w:val="0088122D"/>
    <w:rsid w:val="008813D3"/>
    <w:rsid w:val="008814AD"/>
    <w:rsid w:val="008814DF"/>
    <w:rsid w:val="008816BD"/>
    <w:rsid w:val="0088172F"/>
    <w:rsid w:val="0088188C"/>
    <w:rsid w:val="008818D0"/>
    <w:rsid w:val="00881945"/>
    <w:rsid w:val="00881956"/>
    <w:rsid w:val="008819A8"/>
    <w:rsid w:val="00881A61"/>
    <w:rsid w:val="00881A7E"/>
    <w:rsid w:val="00881AB7"/>
    <w:rsid w:val="00881B7A"/>
    <w:rsid w:val="00881C50"/>
    <w:rsid w:val="00881C91"/>
    <w:rsid w:val="00881CFD"/>
    <w:rsid w:val="00881D02"/>
    <w:rsid w:val="00881E3A"/>
    <w:rsid w:val="00881E7A"/>
    <w:rsid w:val="008820A8"/>
    <w:rsid w:val="008820DA"/>
    <w:rsid w:val="00882134"/>
    <w:rsid w:val="00882214"/>
    <w:rsid w:val="00882278"/>
    <w:rsid w:val="00882302"/>
    <w:rsid w:val="00882313"/>
    <w:rsid w:val="00882358"/>
    <w:rsid w:val="00882397"/>
    <w:rsid w:val="008823DC"/>
    <w:rsid w:val="00882432"/>
    <w:rsid w:val="008824F8"/>
    <w:rsid w:val="0088259A"/>
    <w:rsid w:val="008825E8"/>
    <w:rsid w:val="00882601"/>
    <w:rsid w:val="00882663"/>
    <w:rsid w:val="00882723"/>
    <w:rsid w:val="0088272C"/>
    <w:rsid w:val="008827FC"/>
    <w:rsid w:val="00882958"/>
    <w:rsid w:val="00882970"/>
    <w:rsid w:val="00882BC0"/>
    <w:rsid w:val="00882CE6"/>
    <w:rsid w:val="00882D3D"/>
    <w:rsid w:val="00882E4E"/>
    <w:rsid w:val="00882E52"/>
    <w:rsid w:val="00882F12"/>
    <w:rsid w:val="008830AD"/>
    <w:rsid w:val="00883220"/>
    <w:rsid w:val="00883267"/>
    <w:rsid w:val="00883274"/>
    <w:rsid w:val="0088327B"/>
    <w:rsid w:val="00883348"/>
    <w:rsid w:val="00883478"/>
    <w:rsid w:val="00883496"/>
    <w:rsid w:val="008834AE"/>
    <w:rsid w:val="008834CB"/>
    <w:rsid w:val="008835D3"/>
    <w:rsid w:val="00883606"/>
    <w:rsid w:val="0088389F"/>
    <w:rsid w:val="008838A9"/>
    <w:rsid w:val="00883AF2"/>
    <w:rsid w:val="00883B41"/>
    <w:rsid w:val="00883B9C"/>
    <w:rsid w:val="00883BF2"/>
    <w:rsid w:val="00883C01"/>
    <w:rsid w:val="00883D5F"/>
    <w:rsid w:val="00883DF6"/>
    <w:rsid w:val="00883DF8"/>
    <w:rsid w:val="00883EA9"/>
    <w:rsid w:val="00883EAF"/>
    <w:rsid w:val="00883EC6"/>
    <w:rsid w:val="008840A7"/>
    <w:rsid w:val="0088424C"/>
    <w:rsid w:val="0088437A"/>
    <w:rsid w:val="00884393"/>
    <w:rsid w:val="00884580"/>
    <w:rsid w:val="008845ED"/>
    <w:rsid w:val="008847A6"/>
    <w:rsid w:val="008847A9"/>
    <w:rsid w:val="008847D4"/>
    <w:rsid w:val="00884804"/>
    <w:rsid w:val="00884842"/>
    <w:rsid w:val="00884914"/>
    <w:rsid w:val="00884955"/>
    <w:rsid w:val="00884A0D"/>
    <w:rsid w:val="00884B8E"/>
    <w:rsid w:val="00884C12"/>
    <w:rsid w:val="00884C55"/>
    <w:rsid w:val="00884C63"/>
    <w:rsid w:val="00884CA2"/>
    <w:rsid w:val="00884DAB"/>
    <w:rsid w:val="00884EBC"/>
    <w:rsid w:val="00884FC3"/>
    <w:rsid w:val="00885049"/>
    <w:rsid w:val="00885137"/>
    <w:rsid w:val="00885139"/>
    <w:rsid w:val="00885314"/>
    <w:rsid w:val="00885341"/>
    <w:rsid w:val="008854B3"/>
    <w:rsid w:val="00885532"/>
    <w:rsid w:val="00885671"/>
    <w:rsid w:val="00885771"/>
    <w:rsid w:val="00885778"/>
    <w:rsid w:val="0088584E"/>
    <w:rsid w:val="00885908"/>
    <w:rsid w:val="0088591B"/>
    <w:rsid w:val="00885B96"/>
    <w:rsid w:val="00885C5A"/>
    <w:rsid w:val="00885CC8"/>
    <w:rsid w:val="00885D44"/>
    <w:rsid w:val="00885E01"/>
    <w:rsid w:val="008861B1"/>
    <w:rsid w:val="008861B2"/>
    <w:rsid w:val="00886272"/>
    <w:rsid w:val="0088637B"/>
    <w:rsid w:val="008864A3"/>
    <w:rsid w:val="008864B7"/>
    <w:rsid w:val="008864D6"/>
    <w:rsid w:val="0088652B"/>
    <w:rsid w:val="00886629"/>
    <w:rsid w:val="0088673A"/>
    <w:rsid w:val="008867E7"/>
    <w:rsid w:val="00886B62"/>
    <w:rsid w:val="00886BC1"/>
    <w:rsid w:val="00886BD4"/>
    <w:rsid w:val="00886C31"/>
    <w:rsid w:val="00886C3C"/>
    <w:rsid w:val="00886C82"/>
    <w:rsid w:val="00886CBD"/>
    <w:rsid w:val="00886D38"/>
    <w:rsid w:val="00886D46"/>
    <w:rsid w:val="00886ED0"/>
    <w:rsid w:val="00886EE1"/>
    <w:rsid w:val="00886F89"/>
    <w:rsid w:val="00886FF6"/>
    <w:rsid w:val="0088718D"/>
    <w:rsid w:val="00887204"/>
    <w:rsid w:val="00887383"/>
    <w:rsid w:val="00887473"/>
    <w:rsid w:val="008874FE"/>
    <w:rsid w:val="0088751E"/>
    <w:rsid w:val="008875DE"/>
    <w:rsid w:val="008875EE"/>
    <w:rsid w:val="00887683"/>
    <w:rsid w:val="008876FB"/>
    <w:rsid w:val="0088772A"/>
    <w:rsid w:val="00887782"/>
    <w:rsid w:val="00887783"/>
    <w:rsid w:val="0088780E"/>
    <w:rsid w:val="00887827"/>
    <w:rsid w:val="00887952"/>
    <w:rsid w:val="00887970"/>
    <w:rsid w:val="00887DFD"/>
    <w:rsid w:val="00887ED8"/>
    <w:rsid w:val="00887F54"/>
    <w:rsid w:val="00890028"/>
    <w:rsid w:val="00890094"/>
    <w:rsid w:val="008900A7"/>
    <w:rsid w:val="008900D8"/>
    <w:rsid w:val="008900D9"/>
    <w:rsid w:val="00890133"/>
    <w:rsid w:val="00890195"/>
    <w:rsid w:val="00890304"/>
    <w:rsid w:val="00890375"/>
    <w:rsid w:val="008904B5"/>
    <w:rsid w:val="00890652"/>
    <w:rsid w:val="0089075C"/>
    <w:rsid w:val="00890835"/>
    <w:rsid w:val="00890866"/>
    <w:rsid w:val="00890871"/>
    <w:rsid w:val="008908CF"/>
    <w:rsid w:val="0089091F"/>
    <w:rsid w:val="0089092B"/>
    <w:rsid w:val="00890A3C"/>
    <w:rsid w:val="00890A61"/>
    <w:rsid w:val="00890AEE"/>
    <w:rsid w:val="00890AF6"/>
    <w:rsid w:val="00890B3D"/>
    <w:rsid w:val="00890BFD"/>
    <w:rsid w:val="00890C18"/>
    <w:rsid w:val="00890CC7"/>
    <w:rsid w:val="00890DC4"/>
    <w:rsid w:val="00890F81"/>
    <w:rsid w:val="008910EF"/>
    <w:rsid w:val="008911DE"/>
    <w:rsid w:val="00891277"/>
    <w:rsid w:val="008912D2"/>
    <w:rsid w:val="008912F1"/>
    <w:rsid w:val="00891375"/>
    <w:rsid w:val="008913BD"/>
    <w:rsid w:val="00891580"/>
    <w:rsid w:val="008916FA"/>
    <w:rsid w:val="0089178D"/>
    <w:rsid w:val="00891813"/>
    <w:rsid w:val="0089185C"/>
    <w:rsid w:val="008918B7"/>
    <w:rsid w:val="00891911"/>
    <w:rsid w:val="00891971"/>
    <w:rsid w:val="00891978"/>
    <w:rsid w:val="0089198A"/>
    <w:rsid w:val="008919B4"/>
    <w:rsid w:val="008919C9"/>
    <w:rsid w:val="008919F6"/>
    <w:rsid w:val="00891A5E"/>
    <w:rsid w:val="00891BB9"/>
    <w:rsid w:val="00891C49"/>
    <w:rsid w:val="00891D24"/>
    <w:rsid w:val="00891D39"/>
    <w:rsid w:val="00891D4C"/>
    <w:rsid w:val="00891E61"/>
    <w:rsid w:val="00891EB7"/>
    <w:rsid w:val="00891EEA"/>
    <w:rsid w:val="00891FA4"/>
    <w:rsid w:val="00892028"/>
    <w:rsid w:val="008920E4"/>
    <w:rsid w:val="0089214B"/>
    <w:rsid w:val="008921AB"/>
    <w:rsid w:val="008923B4"/>
    <w:rsid w:val="0089246F"/>
    <w:rsid w:val="0089255E"/>
    <w:rsid w:val="00892685"/>
    <w:rsid w:val="008928A5"/>
    <w:rsid w:val="00892941"/>
    <w:rsid w:val="00892A8C"/>
    <w:rsid w:val="00892B00"/>
    <w:rsid w:val="00892B43"/>
    <w:rsid w:val="00892B83"/>
    <w:rsid w:val="00892C71"/>
    <w:rsid w:val="00892C9B"/>
    <w:rsid w:val="00892C9C"/>
    <w:rsid w:val="00892CA6"/>
    <w:rsid w:val="00892E5E"/>
    <w:rsid w:val="00892EA8"/>
    <w:rsid w:val="00892F1B"/>
    <w:rsid w:val="00892F4A"/>
    <w:rsid w:val="00893005"/>
    <w:rsid w:val="0089327C"/>
    <w:rsid w:val="008932A5"/>
    <w:rsid w:val="00893356"/>
    <w:rsid w:val="008936E1"/>
    <w:rsid w:val="0089374C"/>
    <w:rsid w:val="008939F5"/>
    <w:rsid w:val="00893B3C"/>
    <w:rsid w:val="00893B5A"/>
    <w:rsid w:val="00893BBB"/>
    <w:rsid w:val="00893BE2"/>
    <w:rsid w:val="00893C54"/>
    <w:rsid w:val="00893C88"/>
    <w:rsid w:val="00893D3D"/>
    <w:rsid w:val="00894066"/>
    <w:rsid w:val="008940FC"/>
    <w:rsid w:val="008941EF"/>
    <w:rsid w:val="00894201"/>
    <w:rsid w:val="00894228"/>
    <w:rsid w:val="00894250"/>
    <w:rsid w:val="008942BE"/>
    <w:rsid w:val="0089439E"/>
    <w:rsid w:val="0089442F"/>
    <w:rsid w:val="00894480"/>
    <w:rsid w:val="0089456B"/>
    <w:rsid w:val="0089461E"/>
    <w:rsid w:val="00894674"/>
    <w:rsid w:val="008946C0"/>
    <w:rsid w:val="008946FC"/>
    <w:rsid w:val="008947E1"/>
    <w:rsid w:val="00894889"/>
    <w:rsid w:val="008948DD"/>
    <w:rsid w:val="008948E2"/>
    <w:rsid w:val="008949FB"/>
    <w:rsid w:val="00894D96"/>
    <w:rsid w:val="00894E34"/>
    <w:rsid w:val="00894E80"/>
    <w:rsid w:val="00894ED0"/>
    <w:rsid w:val="00894F1B"/>
    <w:rsid w:val="00895053"/>
    <w:rsid w:val="00895191"/>
    <w:rsid w:val="0089535C"/>
    <w:rsid w:val="008954EB"/>
    <w:rsid w:val="00895577"/>
    <w:rsid w:val="008956BD"/>
    <w:rsid w:val="00895706"/>
    <w:rsid w:val="00895789"/>
    <w:rsid w:val="008959DF"/>
    <w:rsid w:val="008959E7"/>
    <w:rsid w:val="00895A09"/>
    <w:rsid w:val="00895A4F"/>
    <w:rsid w:val="00895C4F"/>
    <w:rsid w:val="00895C55"/>
    <w:rsid w:val="00895D7D"/>
    <w:rsid w:val="00895DD8"/>
    <w:rsid w:val="00895E63"/>
    <w:rsid w:val="00895F1D"/>
    <w:rsid w:val="00895F4E"/>
    <w:rsid w:val="00895FA9"/>
    <w:rsid w:val="00896040"/>
    <w:rsid w:val="0089609B"/>
    <w:rsid w:val="00896109"/>
    <w:rsid w:val="008961E9"/>
    <w:rsid w:val="008965DA"/>
    <w:rsid w:val="0089677E"/>
    <w:rsid w:val="008967E0"/>
    <w:rsid w:val="008968B0"/>
    <w:rsid w:val="0089690F"/>
    <w:rsid w:val="00896971"/>
    <w:rsid w:val="0089697F"/>
    <w:rsid w:val="00896B6D"/>
    <w:rsid w:val="00896B77"/>
    <w:rsid w:val="00896CB4"/>
    <w:rsid w:val="00896DB0"/>
    <w:rsid w:val="00896DE1"/>
    <w:rsid w:val="00897040"/>
    <w:rsid w:val="0089705B"/>
    <w:rsid w:val="00897070"/>
    <w:rsid w:val="00897080"/>
    <w:rsid w:val="0089709A"/>
    <w:rsid w:val="00897165"/>
    <w:rsid w:val="008972D5"/>
    <w:rsid w:val="00897355"/>
    <w:rsid w:val="008973EA"/>
    <w:rsid w:val="00897450"/>
    <w:rsid w:val="00897706"/>
    <w:rsid w:val="0089774C"/>
    <w:rsid w:val="0089779A"/>
    <w:rsid w:val="00897878"/>
    <w:rsid w:val="008979A5"/>
    <w:rsid w:val="00897A2A"/>
    <w:rsid w:val="00897A45"/>
    <w:rsid w:val="00897AE4"/>
    <w:rsid w:val="00897BA8"/>
    <w:rsid w:val="00897C4F"/>
    <w:rsid w:val="00897CB7"/>
    <w:rsid w:val="00897CE2"/>
    <w:rsid w:val="00897D63"/>
    <w:rsid w:val="00897E1B"/>
    <w:rsid w:val="00897E76"/>
    <w:rsid w:val="00897F83"/>
    <w:rsid w:val="00897F96"/>
    <w:rsid w:val="008A00A5"/>
    <w:rsid w:val="008A0182"/>
    <w:rsid w:val="008A029F"/>
    <w:rsid w:val="008A0419"/>
    <w:rsid w:val="008A0491"/>
    <w:rsid w:val="008A06FC"/>
    <w:rsid w:val="008A07D6"/>
    <w:rsid w:val="008A07ED"/>
    <w:rsid w:val="008A0906"/>
    <w:rsid w:val="008A0980"/>
    <w:rsid w:val="008A099B"/>
    <w:rsid w:val="008A09FA"/>
    <w:rsid w:val="008A0A67"/>
    <w:rsid w:val="008A0ADF"/>
    <w:rsid w:val="008A0B21"/>
    <w:rsid w:val="008A0CD9"/>
    <w:rsid w:val="008A0CF4"/>
    <w:rsid w:val="008A0D67"/>
    <w:rsid w:val="008A0EEF"/>
    <w:rsid w:val="008A0FD8"/>
    <w:rsid w:val="008A1067"/>
    <w:rsid w:val="008A10ED"/>
    <w:rsid w:val="008A11A3"/>
    <w:rsid w:val="008A11C6"/>
    <w:rsid w:val="008A129C"/>
    <w:rsid w:val="008A1350"/>
    <w:rsid w:val="008A1372"/>
    <w:rsid w:val="008A163E"/>
    <w:rsid w:val="008A166B"/>
    <w:rsid w:val="008A16DE"/>
    <w:rsid w:val="008A1780"/>
    <w:rsid w:val="008A17B9"/>
    <w:rsid w:val="008A17DC"/>
    <w:rsid w:val="008A1866"/>
    <w:rsid w:val="008A1AC3"/>
    <w:rsid w:val="008A1ACE"/>
    <w:rsid w:val="008A1BB2"/>
    <w:rsid w:val="008A1BD3"/>
    <w:rsid w:val="008A1DD4"/>
    <w:rsid w:val="008A1E3B"/>
    <w:rsid w:val="008A20B7"/>
    <w:rsid w:val="008A214A"/>
    <w:rsid w:val="008A2170"/>
    <w:rsid w:val="008A218D"/>
    <w:rsid w:val="008A2242"/>
    <w:rsid w:val="008A23DE"/>
    <w:rsid w:val="008A255B"/>
    <w:rsid w:val="008A2604"/>
    <w:rsid w:val="008A271B"/>
    <w:rsid w:val="008A2775"/>
    <w:rsid w:val="008A2905"/>
    <w:rsid w:val="008A2921"/>
    <w:rsid w:val="008A2956"/>
    <w:rsid w:val="008A2A4C"/>
    <w:rsid w:val="008A2A66"/>
    <w:rsid w:val="008A2CE1"/>
    <w:rsid w:val="008A2CFF"/>
    <w:rsid w:val="008A2D44"/>
    <w:rsid w:val="008A2D7A"/>
    <w:rsid w:val="008A2E49"/>
    <w:rsid w:val="008A2E90"/>
    <w:rsid w:val="008A3069"/>
    <w:rsid w:val="008A31CB"/>
    <w:rsid w:val="008A3256"/>
    <w:rsid w:val="008A325B"/>
    <w:rsid w:val="008A32B2"/>
    <w:rsid w:val="008A333F"/>
    <w:rsid w:val="008A338F"/>
    <w:rsid w:val="008A33C4"/>
    <w:rsid w:val="008A3442"/>
    <w:rsid w:val="008A34E9"/>
    <w:rsid w:val="008A3594"/>
    <w:rsid w:val="008A3678"/>
    <w:rsid w:val="008A381C"/>
    <w:rsid w:val="008A386A"/>
    <w:rsid w:val="008A38B6"/>
    <w:rsid w:val="008A3959"/>
    <w:rsid w:val="008A398A"/>
    <w:rsid w:val="008A39B6"/>
    <w:rsid w:val="008A3A0D"/>
    <w:rsid w:val="008A3AE2"/>
    <w:rsid w:val="008A3C02"/>
    <w:rsid w:val="008A3C4D"/>
    <w:rsid w:val="008A3C5D"/>
    <w:rsid w:val="008A3F87"/>
    <w:rsid w:val="008A4130"/>
    <w:rsid w:val="008A4139"/>
    <w:rsid w:val="008A4176"/>
    <w:rsid w:val="008A420C"/>
    <w:rsid w:val="008A424D"/>
    <w:rsid w:val="008A429B"/>
    <w:rsid w:val="008A4321"/>
    <w:rsid w:val="008A4757"/>
    <w:rsid w:val="008A481F"/>
    <w:rsid w:val="008A4848"/>
    <w:rsid w:val="008A4950"/>
    <w:rsid w:val="008A49C9"/>
    <w:rsid w:val="008A4A84"/>
    <w:rsid w:val="008A4D86"/>
    <w:rsid w:val="008A4E1C"/>
    <w:rsid w:val="008A4EA4"/>
    <w:rsid w:val="008A4F01"/>
    <w:rsid w:val="008A4F0E"/>
    <w:rsid w:val="008A4F32"/>
    <w:rsid w:val="008A5004"/>
    <w:rsid w:val="008A5058"/>
    <w:rsid w:val="008A516C"/>
    <w:rsid w:val="008A517A"/>
    <w:rsid w:val="008A5186"/>
    <w:rsid w:val="008A5256"/>
    <w:rsid w:val="008A5365"/>
    <w:rsid w:val="008A53A9"/>
    <w:rsid w:val="008A556C"/>
    <w:rsid w:val="008A562D"/>
    <w:rsid w:val="008A56CE"/>
    <w:rsid w:val="008A5703"/>
    <w:rsid w:val="008A5828"/>
    <w:rsid w:val="008A58D9"/>
    <w:rsid w:val="008A5943"/>
    <w:rsid w:val="008A5A2A"/>
    <w:rsid w:val="008A5A65"/>
    <w:rsid w:val="008A5AD1"/>
    <w:rsid w:val="008A5B4B"/>
    <w:rsid w:val="008A5DDA"/>
    <w:rsid w:val="008A5E54"/>
    <w:rsid w:val="008A610E"/>
    <w:rsid w:val="008A616A"/>
    <w:rsid w:val="008A6418"/>
    <w:rsid w:val="008A6419"/>
    <w:rsid w:val="008A6481"/>
    <w:rsid w:val="008A64A0"/>
    <w:rsid w:val="008A6566"/>
    <w:rsid w:val="008A664A"/>
    <w:rsid w:val="008A6703"/>
    <w:rsid w:val="008A671D"/>
    <w:rsid w:val="008A68AB"/>
    <w:rsid w:val="008A696E"/>
    <w:rsid w:val="008A6A57"/>
    <w:rsid w:val="008A6B93"/>
    <w:rsid w:val="008A6CCB"/>
    <w:rsid w:val="008A6CD1"/>
    <w:rsid w:val="008A6DFB"/>
    <w:rsid w:val="008A6E00"/>
    <w:rsid w:val="008A70AF"/>
    <w:rsid w:val="008A7219"/>
    <w:rsid w:val="008A7429"/>
    <w:rsid w:val="008A7438"/>
    <w:rsid w:val="008A7597"/>
    <w:rsid w:val="008A75B8"/>
    <w:rsid w:val="008A76EB"/>
    <w:rsid w:val="008A7784"/>
    <w:rsid w:val="008A77C2"/>
    <w:rsid w:val="008A77DA"/>
    <w:rsid w:val="008A788A"/>
    <w:rsid w:val="008A7921"/>
    <w:rsid w:val="008A7A01"/>
    <w:rsid w:val="008A7B61"/>
    <w:rsid w:val="008A7B7B"/>
    <w:rsid w:val="008A7B94"/>
    <w:rsid w:val="008A7C23"/>
    <w:rsid w:val="008A7CF2"/>
    <w:rsid w:val="008A7CF3"/>
    <w:rsid w:val="008A7D4F"/>
    <w:rsid w:val="008A7E44"/>
    <w:rsid w:val="008B0128"/>
    <w:rsid w:val="008B024D"/>
    <w:rsid w:val="008B037B"/>
    <w:rsid w:val="008B057F"/>
    <w:rsid w:val="008B05EE"/>
    <w:rsid w:val="008B083C"/>
    <w:rsid w:val="008B095B"/>
    <w:rsid w:val="008B09D0"/>
    <w:rsid w:val="008B0A7D"/>
    <w:rsid w:val="008B0A81"/>
    <w:rsid w:val="008B0C2A"/>
    <w:rsid w:val="008B0CCA"/>
    <w:rsid w:val="008B0CD9"/>
    <w:rsid w:val="008B0CE5"/>
    <w:rsid w:val="008B0EDC"/>
    <w:rsid w:val="008B0F66"/>
    <w:rsid w:val="008B1029"/>
    <w:rsid w:val="008B111F"/>
    <w:rsid w:val="008B1129"/>
    <w:rsid w:val="008B117D"/>
    <w:rsid w:val="008B1334"/>
    <w:rsid w:val="008B144E"/>
    <w:rsid w:val="008B1488"/>
    <w:rsid w:val="008B1498"/>
    <w:rsid w:val="008B14A6"/>
    <w:rsid w:val="008B15A0"/>
    <w:rsid w:val="008B163B"/>
    <w:rsid w:val="008B169E"/>
    <w:rsid w:val="008B1707"/>
    <w:rsid w:val="008B17C3"/>
    <w:rsid w:val="008B17F0"/>
    <w:rsid w:val="008B18D0"/>
    <w:rsid w:val="008B19DE"/>
    <w:rsid w:val="008B1A2C"/>
    <w:rsid w:val="008B1AEC"/>
    <w:rsid w:val="008B1B07"/>
    <w:rsid w:val="008B1C6C"/>
    <w:rsid w:val="008B1D14"/>
    <w:rsid w:val="008B1E4E"/>
    <w:rsid w:val="008B1E77"/>
    <w:rsid w:val="008B1F2E"/>
    <w:rsid w:val="008B1FA5"/>
    <w:rsid w:val="008B1FCD"/>
    <w:rsid w:val="008B1FEA"/>
    <w:rsid w:val="008B206E"/>
    <w:rsid w:val="008B21D8"/>
    <w:rsid w:val="008B21DF"/>
    <w:rsid w:val="008B2220"/>
    <w:rsid w:val="008B22AB"/>
    <w:rsid w:val="008B230F"/>
    <w:rsid w:val="008B2365"/>
    <w:rsid w:val="008B2384"/>
    <w:rsid w:val="008B243D"/>
    <w:rsid w:val="008B24AE"/>
    <w:rsid w:val="008B24B6"/>
    <w:rsid w:val="008B2507"/>
    <w:rsid w:val="008B25C3"/>
    <w:rsid w:val="008B25C7"/>
    <w:rsid w:val="008B2693"/>
    <w:rsid w:val="008B26CE"/>
    <w:rsid w:val="008B270E"/>
    <w:rsid w:val="008B27B0"/>
    <w:rsid w:val="008B27FD"/>
    <w:rsid w:val="008B2865"/>
    <w:rsid w:val="008B288C"/>
    <w:rsid w:val="008B2895"/>
    <w:rsid w:val="008B289B"/>
    <w:rsid w:val="008B2B13"/>
    <w:rsid w:val="008B2B5D"/>
    <w:rsid w:val="008B2CB3"/>
    <w:rsid w:val="008B2CD5"/>
    <w:rsid w:val="008B2CFB"/>
    <w:rsid w:val="008B2F6B"/>
    <w:rsid w:val="008B3272"/>
    <w:rsid w:val="008B32C9"/>
    <w:rsid w:val="008B32D4"/>
    <w:rsid w:val="008B32E7"/>
    <w:rsid w:val="008B3301"/>
    <w:rsid w:val="008B335F"/>
    <w:rsid w:val="008B3382"/>
    <w:rsid w:val="008B3383"/>
    <w:rsid w:val="008B3560"/>
    <w:rsid w:val="008B36CA"/>
    <w:rsid w:val="008B37C0"/>
    <w:rsid w:val="008B37F7"/>
    <w:rsid w:val="008B38AB"/>
    <w:rsid w:val="008B3944"/>
    <w:rsid w:val="008B39DB"/>
    <w:rsid w:val="008B3A15"/>
    <w:rsid w:val="008B3A92"/>
    <w:rsid w:val="008B3BD5"/>
    <w:rsid w:val="008B3C13"/>
    <w:rsid w:val="008B3C3F"/>
    <w:rsid w:val="008B3CF3"/>
    <w:rsid w:val="008B3D29"/>
    <w:rsid w:val="008B3F0B"/>
    <w:rsid w:val="008B3F72"/>
    <w:rsid w:val="008B40BE"/>
    <w:rsid w:val="008B41E3"/>
    <w:rsid w:val="008B42CE"/>
    <w:rsid w:val="008B4385"/>
    <w:rsid w:val="008B440E"/>
    <w:rsid w:val="008B4422"/>
    <w:rsid w:val="008B4489"/>
    <w:rsid w:val="008B45F9"/>
    <w:rsid w:val="008B46CB"/>
    <w:rsid w:val="008B4736"/>
    <w:rsid w:val="008B47CE"/>
    <w:rsid w:val="008B487F"/>
    <w:rsid w:val="008B48F1"/>
    <w:rsid w:val="008B4A11"/>
    <w:rsid w:val="008B4A1E"/>
    <w:rsid w:val="008B4A37"/>
    <w:rsid w:val="008B4B69"/>
    <w:rsid w:val="008B4CB5"/>
    <w:rsid w:val="008B4E40"/>
    <w:rsid w:val="008B4E6F"/>
    <w:rsid w:val="008B4E71"/>
    <w:rsid w:val="008B4FA5"/>
    <w:rsid w:val="008B5054"/>
    <w:rsid w:val="008B50EC"/>
    <w:rsid w:val="008B5286"/>
    <w:rsid w:val="008B52B1"/>
    <w:rsid w:val="008B545A"/>
    <w:rsid w:val="008B551F"/>
    <w:rsid w:val="008B5538"/>
    <w:rsid w:val="008B591F"/>
    <w:rsid w:val="008B59B0"/>
    <w:rsid w:val="008B5A1C"/>
    <w:rsid w:val="008B5AE4"/>
    <w:rsid w:val="008B5B2A"/>
    <w:rsid w:val="008B5F39"/>
    <w:rsid w:val="008B5F84"/>
    <w:rsid w:val="008B6031"/>
    <w:rsid w:val="008B6135"/>
    <w:rsid w:val="008B61D7"/>
    <w:rsid w:val="008B61DA"/>
    <w:rsid w:val="008B61FC"/>
    <w:rsid w:val="008B6262"/>
    <w:rsid w:val="008B62BE"/>
    <w:rsid w:val="008B6349"/>
    <w:rsid w:val="008B6517"/>
    <w:rsid w:val="008B65AB"/>
    <w:rsid w:val="008B65FD"/>
    <w:rsid w:val="008B668F"/>
    <w:rsid w:val="008B677A"/>
    <w:rsid w:val="008B677E"/>
    <w:rsid w:val="008B6835"/>
    <w:rsid w:val="008B68BF"/>
    <w:rsid w:val="008B6C88"/>
    <w:rsid w:val="008B6D26"/>
    <w:rsid w:val="008B6DDC"/>
    <w:rsid w:val="008B6E12"/>
    <w:rsid w:val="008B6E6E"/>
    <w:rsid w:val="008B6EB0"/>
    <w:rsid w:val="008B6F3C"/>
    <w:rsid w:val="008B6F9E"/>
    <w:rsid w:val="008B729D"/>
    <w:rsid w:val="008B72D6"/>
    <w:rsid w:val="008B7393"/>
    <w:rsid w:val="008B74A1"/>
    <w:rsid w:val="008B74B5"/>
    <w:rsid w:val="008B75A1"/>
    <w:rsid w:val="008B7734"/>
    <w:rsid w:val="008B78B2"/>
    <w:rsid w:val="008B7982"/>
    <w:rsid w:val="008B7AA6"/>
    <w:rsid w:val="008B7AE2"/>
    <w:rsid w:val="008B7AEB"/>
    <w:rsid w:val="008B7C22"/>
    <w:rsid w:val="008B7D5A"/>
    <w:rsid w:val="008B7DDA"/>
    <w:rsid w:val="008BD214"/>
    <w:rsid w:val="008C006D"/>
    <w:rsid w:val="008C0167"/>
    <w:rsid w:val="008C01E4"/>
    <w:rsid w:val="008C0278"/>
    <w:rsid w:val="008C03B0"/>
    <w:rsid w:val="008C058D"/>
    <w:rsid w:val="008C07DB"/>
    <w:rsid w:val="008C07F2"/>
    <w:rsid w:val="008C09AA"/>
    <w:rsid w:val="008C0B42"/>
    <w:rsid w:val="008C0C0E"/>
    <w:rsid w:val="008C0C6B"/>
    <w:rsid w:val="008C0CAE"/>
    <w:rsid w:val="008C0D79"/>
    <w:rsid w:val="008C0E16"/>
    <w:rsid w:val="008C0EA0"/>
    <w:rsid w:val="008C106E"/>
    <w:rsid w:val="008C1235"/>
    <w:rsid w:val="008C140A"/>
    <w:rsid w:val="008C14A3"/>
    <w:rsid w:val="008C1572"/>
    <w:rsid w:val="008C15DC"/>
    <w:rsid w:val="008C1653"/>
    <w:rsid w:val="008C1692"/>
    <w:rsid w:val="008C17BF"/>
    <w:rsid w:val="008C1955"/>
    <w:rsid w:val="008C1959"/>
    <w:rsid w:val="008C1961"/>
    <w:rsid w:val="008C1ADE"/>
    <w:rsid w:val="008C1B0E"/>
    <w:rsid w:val="008C1B70"/>
    <w:rsid w:val="008C1BA1"/>
    <w:rsid w:val="008C1BF7"/>
    <w:rsid w:val="008C1C32"/>
    <w:rsid w:val="008C1D28"/>
    <w:rsid w:val="008C1DC9"/>
    <w:rsid w:val="008C1E39"/>
    <w:rsid w:val="008C1E7C"/>
    <w:rsid w:val="008C1F3F"/>
    <w:rsid w:val="008C1F70"/>
    <w:rsid w:val="008C2162"/>
    <w:rsid w:val="008C22C3"/>
    <w:rsid w:val="008C22DA"/>
    <w:rsid w:val="008C24E3"/>
    <w:rsid w:val="008C24E9"/>
    <w:rsid w:val="008C2500"/>
    <w:rsid w:val="008C257E"/>
    <w:rsid w:val="008C25E0"/>
    <w:rsid w:val="008C261D"/>
    <w:rsid w:val="008C277B"/>
    <w:rsid w:val="008C28A4"/>
    <w:rsid w:val="008C28DA"/>
    <w:rsid w:val="008C2949"/>
    <w:rsid w:val="008C2962"/>
    <w:rsid w:val="008C2971"/>
    <w:rsid w:val="008C2DFA"/>
    <w:rsid w:val="008C2ED4"/>
    <w:rsid w:val="008C2F9B"/>
    <w:rsid w:val="008C3204"/>
    <w:rsid w:val="008C329A"/>
    <w:rsid w:val="008C3377"/>
    <w:rsid w:val="008C337A"/>
    <w:rsid w:val="008C341D"/>
    <w:rsid w:val="008C349C"/>
    <w:rsid w:val="008C35FA"/>
    <w:rsid w:val="008C36E4"/>
    <w:rsid w:val="008C3A65"/>
    <w:rsid w:val="008C3BCE"/>
    <w:rsid w:val="008C3DCF"/>
    <w:rsid w:val="008C3FD1"/>
    <w:rsid w:val="008C4126"/>
    <w:rsid w:val="008C4131"/>
    <w:rsid w:val="008C4139"/>
    <w:rsid w:val="008C4242"/>
    <w:rsid w:val="008C42EC"/>
    <w:rsid w:val="008C4443"/>
    <w:rsid w:val="008C449E"/>
    <w:rsid w:val="008C44BE"/>
    <w:rsid w:val="008C4540"/>
    <w:rsid w:val="008C4734"/>
    <w:rsid w:val="008C4745"/>
    <w:rsid w:val="008C48EB"/>
    <w:rsid w:val="008C4973"/>
    <w:rsid w:val="008C4A54"/>
    <w:rsid w:val="008C4A83"/>
    <w:rsid w:val="008C4ACE"/>
    <w:rsid w:val="008C4B53"/>
    <w:rsid w:val="008C4BC3"/>
    <w:rsid w:val="008C4BD7"/>
    <w:rsid w:val="008C4DD5"/>
    <w:rsid w:val="008C4E65"/>
    <w:rsid w:val="008C4EB1"/>
    <w:rsid w:val="008C4F65"/>
    <w:rsid w:val="008C4FA0"/>
    <w:rsid w:val="008C4FEE"/>
    <w:rsid w:val="008C50C7"/>
    <w:rsid w:val="008C5195"/>
    <w:rsid w:val="008C51B6"/>
    <w:rsid w:val="008C51D5"/>
    <w:rsid w:val="008C5279"/>
    <w:rsid w:val="008C5319"/>
    <w:rsid w:val="008C53B2"/>
    <w:rsid w:val="008C5528"/>
    <w:rsid w:val="008C555E"/>
    <w:rsid w:val="008C560C"/>
    <w:rsid w:val="008C59ED"/>
    <w:rsid w:val="008C5B7E"/>
    <w:rsid w:val="008C5C4F"/>
    <w:rsid w:val="008C5E7E"/>
    <w:rsid w:val="008C5FBD"/>
    <w:rsid w:val="008C6298"/>
    <w:rsid w:val="008C6322"/>
    <w:rsid w:val="008C63E9"/>
    <w:rsid w:val="008C6494"/>
    <w:rsid w:val="008C658E"/>
    <w:rsid w:val="008C65D1"/>
    <w:rsid w:val="008C66B5"/>
    <w:rsid w:val="008C675D"/>
    <w:rsid w:val="008C67BC"/>
    <w:rsid w:val="008C68D4"/>
    <w:rsid w:val="008C69F3"/>
    <w:rsid w:val="008C6A4E"/>
    <w:rsid w:val="008C6A50"/>
    <w:rsid w:val="008C6A99"/>
    <w:rsid w:val="008C6AC9"/>
    <w:rsid w:val="008C6B0F"/>
    <w:rsid w:val="008C6C31"/>
    <w:rsid w:val="008C6D81"/>
    <w:rsid w:val="008C6D95"/>
    <w:rsid w:val="008C6DEF"/>
    <w:rsid w:val="008C6E3C"/>
    <w:rsid w:val="008C6EC0"/>
    <w:rsid w:val="008C6ECB"/>
    <w:rsid w:val="008C7014"/>
    <w:rsid w:val="008C7042"/>
    <w:rsid w:val="008C70D2"/>
    <w:rsid w:val="008C7105"/>
    <w:rsid w:val="008C72F4"/>
    <w:rsid w:val="008C73E3"/>
    <w:rsid w:val="008C773C"/>
    <w:rsid w:val="008C7740"/>
    <w:rsid w:val="008C7792"/>
    <w:rsid w:val="008C780C"/>
    <w:rsid w:val="008C7ACF"/>
    <w:rsid w:val="008C7AD7"/>
    <w:rsid w:val="008C7B3E"/>
    <w:rsid w:val="008C7E4F"/>
    <w:rsid w:val="008C7EE8"/>
    <w:rsid w:val="008D0091"/>
    <w:rsid w:val="008D0096"/>
    <w:rsid w:val="008D018D"/>
    <w:rsid w:val="008D0225"/>
    <w:rsid w:val="008D03B6"/>
    <w:rsid w:val="008D045D"/>
    <w:rsid w:val="008D04B0"/>
    <w:rsid w:val="008D0506"/>
    <w:rsid w:val="008D0533"/>
    <w:rsid w:val="008D058A"/>
    <w:rsid w:val="008D05C6"/>
    <w:rsid w:val="008D0A74"/>
    <w:rsid w:val="008D0BEA"/>
    <w:rsid w:val="008D0C71"/>
    <w:rsid w:val="008D0D94"/>
    <w:rsid w:val="008D0E08"/>
    <w:rsid w:val="008D0E14"/>
    <w:rsid w:val="008D0E22"/>
    <w:rsid w:val="008D0E3A"/>
    <w:rsid w:val="008D0E5B"/>
    <w:rsid w:val="008D0FEB"/>
    <w:rsid w:val="008D11CD"/>
    <w:rsid w:val="008D11DC"/>
    <w:rsid w:val="008D1337"/>
    <w:rsid w:val="008D13D6"/>
    <w:rsid w:val="008D155C"/>
    <w:rsid w:val="008D156F"/>
    <w:rsid w:val="008D18B9"/>
    <w:rsid w:val="008D190C"/>
    <w:rsid w:val="008D1A76"/>
    <w:rsid w:val="008D1AA4"/>
    <w:rsid w:val="008D1B61"/>
    <w:rsid w:val="008D1B77"/>
    <w:rsid w:val="008D1C8F"/>
    <w:rsid w:val="008D1CB3"/>
    <w:rsid w:val="008D1E3C"/>
    <w:rsid w:val="008D1F7F"/>
    <w:rsid w:val="008D2011"/>
    <w:rsid w:val="008D208D"/>
    <w:rsid w:val="008D20A6"/>
    <w:rsid w:val="008D20E8"/>
    <w:rsid w:val="008D211B"/>
    <w:rsid w:val="008D217C"/>
    <w:rsid w:val="008D21AD"/>
    <w:rsid w:val="008D2326"/>
    <w:rsid w:val="008D2389"/>
    <w:rsid w:val="008D23C5"/>
    <w:rsid w:val="008D23E5"/>
    <w:rsid w:val="008D23E8"/>
    <w:rsid w:val="008D23FE"/>
    <w:rsid w:val="008D24DB"/>
    <w:rsid w:val="008D2550"/>
    <w:rsid w:val="008D263A"/>
    <w:rsid w:val="008D2678"/>
    <w:rsid w:val="008D26BF"/>
    <w:rsid w:val="008D27B1"/>
    <w:rsid w:val="008D27D9"/>
    <w:rsid w:val="008D2863"/>
    <w:rsid w:val="008D2BEC"/>
    <w:rsid w:val="008D2C71"/>
    <w:rsid w:val="008D2C79"/>
    <w:rsid w:val="008D2DCB"/>
    <w:rsid w:val="008D2DE5"/>
    <w:rsid w:val="008D2EE3"/>
    <w:rsid w:val="008D2F40"/>
    <w:rsid w:val="008D30A5"/>
    <w:rsid w:val="008D327B"/>
    <w:rsid w:val="008D3437"/>
    <w:rsid w:val="008D3478"/>
    <w:rsid w:val="008D363D"/>
    <w:rsid w:val="008D366E"/>
    <w:rsid w:val="008D3717"/>
    <w:rsid w:val="008D391A"/>
    <w:rsid w:val="008D3A25"/>
    <w:rsid w:val="008D3C19"/>
    <w:rsid w:val="008D3CD8"/>
    <w:rsid w:val="008D3E87"/>
    <w:rsid w:val="008D3E8A"/>
    <w:rsid w:val="008D3EE2"/>
    <w:rsid w:val="008D3F10"/>
    <w:rsid w:val="008D3FA2"/>
    <w:rsid w:val="008D3FB1"/>
    <w:rsid w:val="008D4089"/>
    <w:rsid w:val="008D40C3"/>
    <w:rsid w:val="008D41ED"/>
    <w:rsid w:val="008D41FE"/>
    <w:rsid w:val="008D4253"/>
    <w:rsid w:val="008D426B"/>
    <w:rsid w:val="008D42CB"/>
    <w:rsid w:val="008D43BF"/>
    <w:rsid w:val="008D43CD"/>
    <w:rsid w:val="008D4566"/>
    <w:rsid w:val="008D4687"/>
    <w:rsid w:val="008D48C9"/>
    <w:rsid w:val="008D4904"/>
    <w:rsid w:val="008D4959"/>
    <w:rsid w:val="008D4978"/>
    <w:rsid w:val="008D4A38"/>
    <w:rsid w:val="008D4A8C"/>
    <w:rsid w:val="008D4E4C"/>
    <w:rsid w:val="008D4F55"/>
    <w:rsid w:val="008D4FBB"/>
    <w:rsid w:val="008D501D"/>
    <w:rsid w:val="008D5080"/>
    <w:rsid w:val="008D50DF"/>
    <w:rsid w:val="008D50E9"/>
    <w:rsid w:val="008D5113"/>
    <w:rsid w:val="008D51BE"/>
    <w:rsid w:val="008D5237"/>
    <w:rsid w:val="008D5287"/>
    <w:rsid w:val="008D5406"/>
    <w:rsid w:val="008D552B"/>
    <w:rsid w:val="008D5544"/>
    <w:rsid w:val="008D55BF"/>
    <w:rsid w:val="008D5633"/>
    <w:rsid w:val="008D5648"/>
    <w:rsid w:val="008D5741"/>
    <w:rsid w:val="008D5822"/>
    <w:rsid w:val="008D592C"/>
    <w:rsid w:val="008D59F2"/>
    <w:rsid w:val="008D5E01"/>
    <w:rsid w:val="008D5E78"/>
    <w:rsid w:val="008D5EC2"/>
    <w:rsid w:val="008D6381"/>
    <w:rsid w:val="008D641C"/>
    <w:rsid w:val="008D64A6"/>
    <w:rsid w:val="008D664A"/>
    <w:rsid w:val="008D6681"/>
    <w:rsid w:val="008D677D"/>
    <w:rsid w:val="008D69C1"/>
    <w:rsid w:val="008D6D36"/>
    <w:rsid w:val="008D6D4C"/>
    <w:rsid w:val="008D6E30"/>
    <w:rsid w:val="008D6E4E"/>
    <w:rsid w:val="008D7051"/>
    <w:rsid w:val="008D70D5"/>
    <w:rsid w:val="008D7100"/>
    <w:rsid w:val="008D7361"/>
    <w:rsid w:val="008D74C0"/>
    <w:rsid w:val="008D7A26"/>
    <w:rsid w:val="008D7B51"/>
    <w:rsid w:val="008D7BF8"/>
    <w:rsid w:val="008D7D15"/>
    <w:rsid w:val="008D7D29"/>
    <w:rsid w:val="008D7DC7"/>
    <w:rsid w:val="008E00D2"/>
    <w:rsid w:val="008E00F5"/>
    <w:rsid w:val="008E0157"/>
    <w:rsid w:val="008E01B0"/>
    <w:rsid w:val="008E02F4"/>
    <w:rsid w:val="008E03FB"/>
    <w:rsid w:val="008E046D"/>
    <w:rsid w:val="008E0491"/>
    <w:rsid w:val="008E04ED"/>
    <w:rsid w:val="008E0703"/>
    <w:rsid w:val="008E07EE"/>
    <w:rsid w:val="008E082F"/>
    <w:rsid w:val="008E084A"/>
    <w:rsid w:val="008E08AF"/>
    <w:rsid w:val="008E0926"/>
    <w:rsid w:val="008E0A0B"/>
    <w:rsid w:val="008E0A1F"/>
    <w:rsid w:val="008E0A3F"/>
    <w:rsid w:val="008E0ABB"/>
    <w:rsid w:val="008E0AF0"/>
    <w:rsid w:val="008E0BD4"/>
    <w:rsid w:val="008E0BE4"/>
    <w:rsid w:val="008E0C40"/>
    <w:rsid w:val="008E0C58"/>
    <w:rsid w:val="008E0C77"/>
    <w:rsid w:val="008E0C94"/>
    <w:rsid w:val="008E0CBA"/>
    <w:rsid w:val="008E0D1D"/>
    <w:rsid w:val="008E0D6F"/>
    <w:rsid w:val="008E0DA9"/>
    <w:rsid w:val="008E0DB4"/>
    <w:rsid w:val="008E0DEF"/>
    <w:rsid w:val="008E0E99"/>
    <w:rsid w:val="008E0FA4"/>
    <w:rsid w:val="008E1025"/>
    <w:rsid w:val="008E11AE"/>
    <w:rsid w:val="008E126C"/>
    <w:rsid w:val="008E139B"/>
    <w:rsid w:val="008E13CA"/>
    <w:rsid w:val="008E1442"/>
    <w:rsid w:val="008E17C9"/>
    <w:rsid w:val="008E1903"/>
    <w:rsid w:val="008E1993"/>
    <w:rsid w:val="008E19B1"/>
    <w:rsid w:val="008E1A73"/>
    <w:rsid w:val="008E1A78"/>
    <w:rsid w:val="008E1A9D"/>
    <w:rsid w:val="008E1B1A"/>
    <w:rsid w:val="008E1C4A"/>
    <w:rsid w:val="008E1D2D"/>
    <w:rsid w:val="008E1D5E"/>
    <w:rsid w:val="008E1D7B"/>
    <w:rsid w:val="008E1D9F"/>
    <w:rsid w:val="008E1DE1"/>
    <w:rsid w:val="008E1E3A"/>
    <w:rsid w:val="008E1E7F"/>
    <w:rsid w:val="008E1FB3"/>
    <w:rsid w:val="008E2091"/>
    <w:rsid w:val="008E21BF"/>
    <w:rsid w:val="008E21DD"/>
    <w:rsid w:val="008E248A"/>
    <w:rsid w:val="008E251F"/>
    <w:rsid w:val="008E26D7"/>
    <w:rsid w:val="008E2767"/>
    <w:rsid w:val="008E2844"/>
    <w:rsid w:val="008E28C3"/>
    <w:rsid w:val="008E28DD"/>
    <w:rsid w:val="008E2B09"/>
    <w:rsid w:val="008E2CA4"/>
    <w:rsid w:val="008E2D01"/>
    <w:rsid w:val="008E2D5F"/>
    <w:rsid w:val="008E2D6D"/>
    <w:rsid w:val="008E2E2A"/>
    <w:rsid w:val="008E2E45"/>
    <w:rsid w:val="008E2EC3"/>
    <w:rsid w:val="008E2ED8"/>
    <w:rsid w:val="008E2EE0"/>
    <w:rsid w:val="008E2F1F"/>
    <w:rsid w:val="008E2F37"/>
    <w:rsid w:val="008E2F7C"/>
    <w:rsid w:val="008E2FAA"/>
    <w:rsid w:val="008E30A1"/>
    <w:rsid w:val="008E311B"/>
    <w:rsid w:val="008E31D1"/>
    <w:rsid w:val="008E3218"/>
    <w:rsid w:val="008E3220"/>
    <w:rsid w:val="008E325F"/>
    <w:rsid w:val="008E32CD"/>
    <w:rsid w:val="008E3414"/>
    <w:rsid w:val="008E3508"/>
    <w:rsid w:val="008E372E"/>
    <w:rsid w:val="008E3819"/>
    <w:rsid w:val="008E38AE"/>
    <w:rsid w:val="008E3A37"/>
    <w:rsid w:val="008E3A3B"/>
    <w:rsid w:val="008E3A84"/>
    <w:rsid w:val="008E3B01"/>
    <w:rsid w:val="008E3BC2"/>
    <w:rsid w:val="008E3BD6"/>
    <w:rsid w:val="008E4020"/>
    <w:rsid w:val="008E40B6"/>
    <w:rsid w:val="008E42C5"/>
    <w:rsid w:val="008E44B9"/>
    <w:rsid w:val="008E450C"/>
    <w:rsid w:val="008E45AB"/>
    <w:rsid w:val="008E46BC"/>
    <w:rsid w:val="008E47DC"/>
    <w:rsid w:val="008E4838"/>
    <w:rsid w:val="008E4A74"/>
    <w:rsid w:val="008E4A7E"/>
    <w:rsid w:val="008E4C79"/>
    <w:rsid w:val="008E4C99"/>
    <w:rsid w:val="008E4CF3"/>
    <w:rsid w:val="008E4D0B"/>
    <w:rsid w:val="008E4DA5"/>
    <w:rsid w:val="008E4DD2"/>
    <w:rsid w:val="008E4E27"/>
    <w:rsid w:val="008E4F9B"/>
    <w:rsid w:val="008E4FA1"/>
    <w:rsid w:val="008E5054"/>
    <w:rsid w:val="008E50CF"/>
    <w:rsid w:val="008E5155"/>
    <w:rsid w:val="008E51C2"/>
    <w:rsid w:val="008E51C5"/>
    <w:rsid w:val="008E525D"/>
    <w:rsid w:val="008E52A0"/>
    <w:rsid w:val="008E54D8"/>
    <w:rsid w:val="008E54F0"/>
    <w:rsid w:val="008E554B"/>
    <w:rsid w:val="008E55B2"/>
    <w:rsid w:val="008E5767"/>
    <w:rsid w:val="008E57FF"/>
    <w:rsid w:val="008E58B0"/>
    <w:rsid w:val="008E58FE"/>
    <w:rsid w:val="008E5A77"/>
    <w:rsid w:val="008E5A7A"/>
    <w:rsid w:val="008E5B7A"/>
    <w:rsid w:val="008E5BA7"/>
    <w:rsid w:val="008E5BA9"/>
    <w:rsid w:val="008E5BAB"/>
    <w:rsid w:val="008E5FB1"/>
    <w:rsid w:val="008E602E"/>
    <w:rsid w:val="008E613C"/>
    <w:rsid w:val="008E61F9"/>
    <w:rsid w:val="008E625F"/>
    <w:rsid w:val="008E6281"/>
    <w:rsid w:val="008E63F2"/>
    <w:rsid w:val="008E63F3"/>
    <w:rsid w:val="008E63F7"/>
    <w:rsid w:val="008E65DF"/>
    <w:rsid w:val="008E6626"/>
    <w:rsid w:val="008E668A"/>
    <w:rsid w:val="008E66FD"/>
    <w:rsid w:val="008E6731"/>
    <w:rsid w:val="008E6762"/>
    <w:rsid w:val="008E683B"/>
    <w:rsid w:val="008E6933"/>
    <w:rsid w:val="008E6937"/>
    <w:rsid w:val="008E69D9"/>
    <w:rsid w:val="008E6BE1"/>
    <w:rsid w:val="008E6C02"/>
    <w:rsid w:val="008E6CC4"/>
    <w:rsid w:val="008E6CD4"/>
    <w:rsid w:val="008E6D21"/>
    <w:rsid w:val="008E6D64"/>
    <w:rsid w:val="008E6E17"/>
    <w:rsid w:val="008E6EE3"/>
    <w:rsid w:val="008E6FB0"/>
    <w:rsid w:val="008E70C5"/>
    <w:rsid w:val="008E70CB"/>
    <w:rsid w:val="008E70DC"/>
    <w:rsid w:val="008E71DE"/>
    <w:rsid w:val="008E731B"/>
    <w:rsid w:val="008E7327"/>
    <w:rsid w:val="008E74AA"/>
    <w:rsid w:val="008E764F"/>
    <w:rsid w:val="008E76CB"/>
    <w:rsid w:val="008E76EA"/>
    <w:rsid w:val="008E782F"/>
    <w:rsid w:val="008E7C59"/>
    <w:rsid w:val="008E7CD7"/>
    <w:rsid w:val="008E7E04"/>
    <w:rsid w:val="008E7E20"/>
    <w:rsid w:val="008E7F61"/>
    <w:rsid w:val="008F0085"/>
    <w:rsid w:val="008F0247"/>
    <w:rsid w:val="008F024A"/>
    <w:rsid w:val="008F0383"/>
    <w:rsid w:val="008F0409"/>
    <w:rsid w:val="008F05ED"/>
    <w:rsid w:val="008F069F"/>
    <w:rsid w:val="008F0754"/>
    <w:rsid w:val="008F08F2"/>
    <w:rsid w:val="008F094D"/>
    <w:rsid w:val="008F099D"/>
    <w:rsid w:val="008F09C6"/>
    <w:rsid w:val="008F0A30"/>
    <w:rsid w:val="008F0A8F"/>
    <w:rsid w:val="008F0AB6"/>
    <w:rsid w:val="008F0C04"/>
    <w:rsid w:val="008F0C55"/>
    <w:rsid w:val="008F0C57"/>
    <w:rsid w:val="008F0C69"/>
    <w:rsid w:val="008F0C9D"/>
    <w:rsid w:val="008F0CE2"/>
    <w:rsid w:val="008F0D6F"/>
    <w:rsid w:val="008F1010"/>
    <w:rsid w:val="008F1024"/>
    <w:rsid w:val="008F10E9"/>
    <w:rsid w:val="008F11E9"/>
    <w:rsid w:val="008F12B7"/>
    <w:rsid w:val="008F12CA"/>
    <w:rsid w:val="008F1310"/>
    <w:rsid w:val="008F138E"/>
    <w:rsid w:val="008F13C9"/>
    <w:rsid w:val="008F143C"/>
    <w:rsid w:val="008F168F"/>
    <w:rsid w:val="008F1704"/>
    <w:rsid w:val="008F183E"/>
    <w:rsid w:val="008F1858"/>
    <w:rsid w:val="008F1886"/>
    <w:rsid w:val="008F18FA"/>
    <w:rsid w:val="008F1929"/>
    <w:rsid w:val="008F1993"/>
    <w:rsid w:val="008F1A02"/>
    <w:rsid w:val="008F1ADD"/>
    <w:rsid w:val="008F1B30"/>
    <w:rsid w:val="008F1B3F"/>
    <w:rsid w:val="008F1B9C"/>
    <w:rsid w:val="008F1D1F"/>
    <w:rsid w:val="008F1D70"/>
    <w:rsid w:val="008F1FA9"/>
    <w:rsid w:val="008F213B"/>
    <w:rsid w:val="008F21BE"/>
    <w:rsid w:val="008F23CE"/>
    <w:rsid w:val="008F245A"/>
    <w:rsid w:val="008F24B3"/>
    <w:rsid w:val="008F24CA"/>
    <w:rsid w:val="008F2531"/>
    <w:rsid w:val="008F264D"/>
    <w:rsid w:val="008F2784"/>
    <w:rsid w:val="008F278E"/>
    <w:rsid w:val="008F27E5"/>
    <w:rsid w:val="008F282F"/>
    <w:rsid w:val="008F2AAE"/>
    <w:rsid w:val="008F2BE9"/>
    <w:rsid w:val="008F2CE0"/>
    <w:rsid w:val="008F2DE1"/>
    <w:rsid w:val="008F2E45"/>
    <w:rsid w:val="008F2F09"/>
    <w:rsid w:val="008F2F0C"/>
    <w:rsid w:val="008F3084"/>
    <w:rsid w:val="008F31E2"/>
    <w:rsid w:val="008F324A"/>
    <w:rsid w:val="008F32A2"/>
    <w:rsid w:val="008F333D"/>
    <w:rsid w:val="008F33CB"/>
    <w:rsid w:val="008F349E"/>
    <w:rsid w:val="008F3502"/>
    <w:rsid w:val="008F37BC"/>
    <w:rsid w:val="008F381D"/>
    <w:rsid w:val="008F3B46"/>
    <w:rsid w:val="008F3BC8"/>
    <w:rsid w:val="008F3BD9"/>
    <w:rsid w:val="008F3BFE"/>
    <w:rsid w:val="008F3C2C"/>
    <w:rsid w:val="008F3D08"/>
    <w:rsid w:val="008F3E02"/>
    <w:rsid w:val="008F3F24"/>
    <w:rsid w:val="008F402C"/>
    <w:rsid w:val="008F40AF"/>
    <w:rsid w:val="008F40D9"/>
    <w:rsid w:val="008F414F"/>
    <w:rsid w:val="008F425B"/>
    <w:rsid w:val="008F43A6"/>
    <w:rsid w:val="008F4477"/>
    <w:rsid w:val="008F44E4"/>
    <w:rsid w:val="008F45FA"/>
    <w:rsid w:val="008F46BB"/>
    <w:rsid w:val="008F46ED"/>
    <w:rsid w:val="008F47CA"/>
    <w:rsid w:val="008F493D"/>
    <w:rsid w:val="008F4A31"/>
    <w:rsid w:val="008F4A88"/>
    <w:rsid w:val="008F4AC0"/>
    <w:rsid w:val="008F4ADE"/>
    <w:rsid w:val="008F4B90"/>
    <w:rsid w:val="008F4B94"/>
    <w:rsid w:val="008F4C61"/>
    <w:rsid w:val="008F4C84"/>
    <w:rsid w:val="008F4CBB"/>
    <w:rsid w:val="008F4E96"/>
    <w:rsid w:val="008F4F9F"/>
    <w:rsid w:val="008F51AB"/>
    <w:rsid w:val="008F5201"/>
    <w:rsid w:val="008F5438"/>
    <w:rsid w:val="008F5466"/>
    <w:rsid w:val="008F5483"/>
    <w:rsid w:val="008F5485"/>
    <w:rsid w:val="008F5583"/>
    <w:rsid w:val="008F5715"/>
    <w:rsid w:val="008F5891"/>
    <w:rsid w:val="008F594E"/>
    <w:rsid w:val="008F5A43"/>
    <w:rsid w:val="008F5AE1"/>
    <w:rsid w:val="008F5B4B"/>
    <w:rsid w:val="008F5B5B"/>
    <w:rsid w:val="008F5B60"/>
    <w:rsid w:val="008F5C35"/>
    <w:rsid w:val="008F5C87"/>
    <w:rsid w:val="008F5CC0"/>
    <w:rsid w:val="008F5FB7"/>
    <w:rsid w:val="008F6029"/>
    <w:rsid w:val="008F609D"/>
    <w:rsid w:val="008F6326"/>
    <w:rsid w:val="008F6467"/>
    <w:rsid w:val="008F64B9"/>
    <w:rsid w:val="008F64EE"/>
    <w:rsid w:val="008F65BD"/>
    <w:rsid w:val="008F6640"/>
    <w:rsid w:val="008F6657"/>
    <w:rsid w:val="008F66C1"/>
    <w:rsid w:val="008F6712"/>
    <w:rsid w:val="008F6718"/>
    <w:rsid w:val="008F6776"/>
    <w:rsid w:val="008F6A86"/>
    <w:rsid w:val="008F6C35"/>
    <w:rsid w:val="008F6CFA"/>
    <w:rsid w:val="008F6D0B"/>
    <w:rsid w:val="008F6E3D"/>
    <w:rsid w:val="008F6F21"/>
    <w:rsid w:val="008F6FA3"/>
    <w:rsid w:val="008F70D8"/>
    <w:rsid w:val="008F7112"/>
    <w:rsid w:val="008F745E"/>
    <w:rsid w:val="008F7499"/>
    <w:rsid w:val="008F753F"/>
    <w:rsid w:val="008F7551"/>
    <w:rsid w:val="008F75AC"/>
    <w:rsid w:val="008F75B9"/>
    <w:rsid w:val="008F75CB"/>
    <w:rsid w:val="008F75EE"/>
    <w:rsid w:val="008F75FA"/>
    <w:rsid w:val="008F7951"/>
    <w:rsid w:val="008F7960"/>
    <w:rsid w:val="008F7967"/>
    <w:rsid w:val="008F7997"/>
    <w:rsid w:val="008F7B17"/>
    <w:rsid w:val="008F7B7C"/>
    <w:rsid w:val="008F7DDC"/>
    <w:rsid w:val="008F7EA7"/>
    <w:rsid w:val="008F7F5D"/>
    <w:rsid w:val="008FA353"/>
    <w:rsid w:val="0090016A"/>
    <w:rsid w:val="00900233"/>
    <w:rsid w:val="0090028B"/>
    <w:rsid w:val="009003A0"/>
    <w:rsid w:val="009003D1"/>
    <w:rsid w:val="009003D2"/>
    <w:rsid w:val="009005CD"/>
    <w:rsid w:val="00900749"/>
    <w:rsid w:val="0090075B"/>
    <w:rsid w:val="009007AD"/>
    <w:rsid w:val="00900A54"/>
    <w:rsid w:val="00900CA7"/>
    <w:rsid w:val="00900CB5"/>
    <w:rsid w:val="00900D03"/>
    <w:rsid w:val="00900D37"/>
    <w:rsid w:val="00900DA1"/>
    <w:rsid w:val="00900DDD"/>
    <w:rsid w:val="00900DE6"/>
    <w:rsid w:val="00900E0E"/>
    <w:rsid w:val="00900E36"/>
    <w:rsid w:val="00900F52"/>
    <w:rsid w:val="00901012"/>
    <w:rsid w:val="0090104C"/>
    <w:rsid w:val="0090106B"/>
    <w:rsid w:val="00901149"/>
    <w:rsid w:val="00901390"/>
    <w:rsid w:val="009014F5"/>
    <w:rsid w:val="009015E0"/>
    <w:rsid w:val="0090160F"/>
    <w:rsid w:val="0090164C"/>
    <w:rsid w:val="00901A2F"/>
    <w:rsid w:val="00901C23"/>
    <w:rsid w:val="00901D01"/>
    <w:rsid w:val="00901EB2"/>
    <w:rsid w:val="00901F8B"/>
    <w:rsid w:val="00901FB1"/>
    <w:rsid w:val="0090200B"/>
    <w:rsid w:val="00902107"/>
    <w:rsid w:val="0090219B"/>
    <w:rsid w:val="0090224B"/>
    <w:rsid w:val="0090253A"/>
    <w:rsid w:val="00902543"/>
    <w:rsid w:val="00902573"/>
    <w:rsid w:val="0090258B"/>
    <w:rsid w:val="009025AC"/>
    <w:rsid w:val="00902608"/>
    <w:rsid w:val="00902692"/>
    <w:rsid w:val="00902703"/>
    <w:rsid w:val="00902707"/>
    <w:rsid w:val="00902986"/>
    <w:rsid w:val="00902A13"/>
    <w:rsid w:val="00902D27"/>
    <w:rsid w:val="00902D42"/>
    <w:rsid w:val="00902D53"/>
    <w:rsid w:val="00902D9C"/>
    <w:rsid w:val="00902E02"/>
    <w:rsid w:val="00902EA3"/>
    <w:rsid w:val="00902F99"/>
    <w:rsid w:val="00902FB0"/>
    <w:rsid w:val="00903069"/>
    <w:rsid w:val="0090306A"/>
    <w:rsid w:val="009030AF"/>
    <w:rsid w:val="00903228"/>
    <w:rsid w:val="00903418"/>
    <w:rsid w:val="0090341E"/>
    <w:rsid w:val="0090347C"/>
    <w:rsid w:val="00903563"/>
    <w:rsid w:val="00903607"/>
    <w:rsid w:val="009036AA"/>
    <w:rsid w:val="009036E9"/>
    <w:rsid w:val="009037FC"/>
    <w:rsid w:val="00903906"/>
    <w:rsid w:val="00903A65"/>
    <w:rsid w:val="00903A9D"/>
    <w:rsid w:val="00903B58"/>
    <w:rsid w:val="00903C49"/>
    <w:rsid w:val="00903C99"/>
    <w:rsid w:val="00903E5E"/>
    <w:rsid w:val="00903E8C"/>
    <w:rsid w:val="00903EA6"/>
    <w:rsid w:val="00903FDA"/>
    <w:rsid w:val="00903FDB"/>
    <w:rsid w:val="0090408A"/>
    <w:rsid w:val="009040E9"/>
    <w:rsid w:val="0090410F"/>
    <w:rsid w:val="0090418B"/>
    <w:rsid w:val="00904367"/>
    <w:rsid w:val="0090441F"/>
    <w:rsid w:val="009044F4"/>
    <w:rsid w:val="00904576"/>
    <w:rsid w:val="009045BB"/>
    <w:rsid w:val="009047B6"/>
    <w:rsid w:val="0090491E"/>
    <w:rsid w:val="0090499D"/>
    <w:rsid w:val="00904A88"/>
    <w:rsid w:val="00904AB6"/>
    <w:rsid w:val="00904AF0"/>
    <w:rsid w:val="00904BDB"/>
    <w:rsid w:val="00904C31"/>
    <w:rsid w:val="00904D42"/>
    <w:rsid w:val="00904D7C"/>
    <w:rsid w:val="00904EE4"/>
    <w:rsid w:val="00904EF6"/>
    <w:rsid w:val="0090501E"/>
    <w:rsid w:val="00905095"/>
    <w:rsid w:val="00905099"/>
    <w:rsid w:val="00905165"/>
    <w:rsid w:val="0090534B"/>
    <w:rsid w:val="00905387"/>
    <w:rsid w:val="009054CB"/>
    <w:rsid w:val="009054CC"/>
    <w:rsid w:val="00905524"/>
    <w:rsid w:val="0090557C"/>
    <w:rsid w:val="00905651"/>
    <w:rsid w:val="00905669"/>
    <w:rsid w:val="00905722"/>
    <w:rsid w:val="0090591E"/>
    <w:rsid w:val="00905938"/>
    <w:rsid w:val="00905A81"/>
    <w:rsid w:val="00905AB5"/>
    <w:rsid w:val="00905B84"/>
    <w:rsid w:val="00905B8F"/>
    <w:rsid w:val="00905C88"/>
    <w:rsid w:val="00905E0D"/>
    <w:rsid w:val="00905EAD"/>
    <w:rsid w:val="00906134"/>
    <w:rsid w:val="00906324"/>
    <w:rsid w:val="00906330"/>
    <w:rsid w:val="00906382"/>
    <w:rsid w:val="00906383"/>
    <w:rsid w:val="0090652D"/>
    <w:rsid w:val="0090656A"/>
    <w:rsid w:val="0090656E"/>
    <w:rsid w:val="00906637"/>
    <w:rsid w:val="009067BA"/>
    <w:rsid w:val="0090685D"/>
    <w:rsid w:val="00906901"/>
    <w:rsid w:val="0090699D"/>
    <w:rsid w:val="009069DE"/>
    <w:rsid w:val="00906A7F"/>
    <w:rsid w:val="00906A81"/>
    <w:rsid w:val="00906CF3"/>
    <w:rsid w:val="00906D38"/>
    <w:rsid w:val="00906D50"/>
    <w:rsid w:val="00906DB8"/>
    <w:rsid w:val="00906ED8"/>
    <w:rsid w:val="00907048"/>
    <w:rsid w:val="0090714C"/>
    <w:rsid w:val="009071F1"/>
    <w:rsid w:val="00907348"/>
    <w:rsid w:val="009074E1"/>
    <w:rsid w:val="009075DE"/>
    <w:rsid w:val="00907773"/>
    <w:rsid w:val="009077E0"/>
    <w:rsid w:val="00907832"/>
    <w:rsid w:val="009079EF"/>
    <w:rsid w:val="00907CB6"/>
    <w:rsid w:val="00907CF1"/>
    <w:rsid w:val="00907DAC"/>
    <w:rsid w:val="00907DC4"/>
    <w:rsid w:val="00907EBE"/>
    <w:rsid w:val="00907F36"/>
    <w:rsid w:val="00907FCB"/>
    <w:rsid w:val="0090BED1"/>
    <w:rsid w:val="009100F2"/>
    <w:rsid w:val="00910185"/>
    <w:rsid w:val="00910188"/>
    <w:rsid w:val="009101C1"/>
    <w:rsid w:val="0091031D"/>
    <w:rsid w:val="009103F9"/>
    <w:rsid w:val="0091051E"/>
    <w:rsid w:val="00910617"/>
    <w:rsid w:val="00910849"/>
    <w:rsid w:val="0091086A"/>
    <w:rsid w:val="0091089A"/>
    <w:rsid w:val="009109A6"/>
    <w:rsid w:val="00910B0E"/>
    <w:rsid w:val="00910B52"/>
    <w:rsid w:val="00910D30"/>
    <w:rsid w:val="00910D95"/>
    <w:rsid w:val="00910DE7"/>
    <w:rsid w:val="00910EAF"/>
    <w:rsid w:val="00910ED2"/>
    <w:rsid w:val="00910F6C"/>
    <w:rsid w:val="00910F8C"/>
    <w:rsid w:val="0091119D"/>
    <w:rsid w:val="00911264"/>
    <w:rsid w:val="009112F7"/>
    <w:rsid w:val="0091138C"/>
    <w:rsid w:val="009113CA"/>
    <w:rsid w:val="009113D9"/>
    <w:rsid w:val="0091148C"/>
    <w:rsid w:val="009114CC"/>
    <w:rsid w:val="00911643"/>
    <w:rsid w:val="0091176D"/>
    <w:rsid w:val="0091178C"/>
    <w:rsid w:val="00911822"/>
    <w:rsid w:val="00911857"/>
    <w:rsid w:val="009119C1"/>
    <w:rsid w:val="009119F5"/>
    <w:rsid w:val="00911A88"/>
    <w:rsid w:val="00911AA8"/>
    <w:rsid w:val="00911ADB"/>
    <w:rsid w:val="00911B64"/>
    <w:rsid w:val="00911C90"/>
    <w:rsid w:val="00911CEF"/>
    <w:rsid w:val="00911D04"/>
    <w:rsid w:val="00911D81"/>
    <w:rsid w:val="00911DDE"/>
    <w:rsid w:val="00911E1A"/>
    <w:rsid w:val="00911F07"/>
    <w:rsid w:val="00911F09"/>
    <w:rsid w:val="0091200C"/>
    <w:rsid w:val="0091207C"/>
    <w:rsid w:val="009120F1"/>
    <w:rsid w:val="009122AF"/>
    <w:rsid w:val="009122C2"/>
    <w:rsid w:val="0091252C"/>
    <w:rsid w:val="00912577"/>
    <w:rsid w:val="00912584"/>
    <w:rsid w:val="00912592"/>
    <w:rsid w:val="00912646"/>
    <w:rsid w:val="009126BD"/>
    <w:rsid w:val="0091284F"/>
    <w:rsid w:val="009129B3"/>
    <w:rsid w:val="00912A26"/>
    <w:rsid w:val="00912A6C"/>
    <w:rsid w:val="00912CE6"/>
    <w:rsid w:val="00912D54"/>
    <w:rsid w:val="00912EC4"/>
    <w:rsid w:val="00912F47"/>
    <w:rsid w:val="00913070"/>
    <w:rsid w:val="009130DC"/>
    <w:rsid w:val="00913115"/>
    <w:rsid w:val="00913157"/>
    <w:rsid w:val="0091336D"/>
    <w:rsid w:val="0091342E"/>
    <w:rsid w:val="009134EA"/>
    <w:rsid w:val="00913515"/>
    <w:rsid w:val="00913543"/>
    <w:rsid w:val="009135E6"/>
    <w:rsid w:val="00913605"/>
    <w:rsid w:val="009136AC"/>
    <w:rsid w:val="0091377A"/>
    <w:rsid w:val="0091389F"/>
    <w:rsid w:val="00913A29"/>
    <w:rsid w:val="00913A37"/>
    <w:rsid w:val="00913A43"/>
    <w:rsid w:val="00913BF8"/>
    <w:rsid w:val="00913C9A"/>
    <w:rsid w:val="00913DCA"/>
    <w:rsid w:val="00913E53"/>
    <w:rsid w:val="00914069"/>
    <w:rsid w:val="00914074"/>
    <w:rsid w:val="0091425E"/>
    <w:rsid w:val="00914444"/>
    <w:rsid w:val="009144BE"/>
    <w:rsid w:val="0091451B"/>
    <w:rsid w:val="0091462F"/>
    <w:rsid w:val="00914672"/>
    <w:rsid w:val="00914756"/>
    <w:rsid w:val="00914868"/>
    <w:rsid w:val="00914903"/>
    <w:rsid w:val="00914924"/>
    <w:rsid w:val="00914BED"/>
    <w:rsid w:val="00914C15"/>
    <w:rsid w:val="00914D35"/>
    <w:rsid w:val="00914D75"/>
    <w:rsid w:val="00914EDD"/>
    <w:rsid w:val="00914EE7"/>
    <w:rsid w:val="00914F26"/>
    <w:rsid w:val="00914F7D"/>
    <w:rsid w:val="00915014"/>
    <w:rsid w:val="009150D0"/>
    <w:rsid w:val="00915104"/>
    <w:rsid w:val="0091510D"/>
    <w:rsid w:val="0091520E"/>
    <w:rsid w:val="009152CD"/>
    <w:rsid w:val="00915312"/>
    <w:rsid w:val="00915341"/>
    <w:rsid w:val="0091553D"/>
    <w:rsid w:val="009155F4"/>
    <w:rsid w:val="00915670"/>
    <w:rsid w:val="009156AC"/>
    <w:rsid w:val="009156CF"/>
    <w:rsid w:val="00915778"/>
    <w:rsid w:val="00915782"/>
    <w:rsid w:val="009157CC"/>
    <w:rsid w:val="0091582F"/>
    <w:rsid w:val="00915914"/>
    <w:rsid w:val="0091591B"/>
    <w:rsid w:val="0091597A"/>
    <w:rsid w:val="0091599A"/>
    <w:rsid w:val="009159F1"/>
    <w:rsid w:val="00915B43"/>
    <w:rsid w:val="00915B5D"/>
    <w:rsid w:val="00915B98"/>
    <w:rsid w:val="00915C23"/>
    <w:rsid w:val="00915C7C"/>
    <w:rsid w:val="00915D1F"/>
    <w:rsid w:val="00915D7D"/>
    <w:rsid w:val="00915F03"/>
    <w:rsid w:val="00915F85"/>
    <w:rsid w:val="00916048"/>
    <w:rsid w:val="0091633E"/>
    <w:rsid w:val="00916365"/>
    <w:rsid w:val="009163DE"/>
    <w:rsid w:val="0091645E"/>
    <w:rsid w:val="009164BE"/>
    <w:rsid w:val="0091673F"/>
    <w:rsid w:val="00916849"/>
    <w:rsid w:val="009168A8"/>
    <w:rsid w:val="0091699A"/>
    <w:rsid w:val="009169FE"/>
    <w:rsid w:val="00916A7D"/>
    <w:rsid w:val="00916AB6"/>
    <w:rsid w:val="00916B9A"/>
    <w:rsid w:val="00916CE9"/>
    <w:rsid w:val="00916EC6"/>
    <w:rsid w:val="00916F21"/>
    <w:rsid w:val="00916F31"/>
    <w:rsid w:val="00916F7C"/>
    <w:rsid w:val="0091728E"/>
    <w:rsid w:val="00917301"/>
    <w:rsid w:val="0091732B"/>
    <w:rsid w:val="0091733F"/>
    <w:rsid w:val="00917385"/>
    <w:rsid w:val="0091742C"/>
    <w:rsid w:val="00917448"/>
    <w:rsid w:val="0091753C"/>
    <w:rsid w:val="0091754A"/>
    <w:rsid w:val="00917636"/>
    <w:rsid w:val="00917647"/>
    <w:rsid w:val="00917689"/>
    <w:rsid w:val="009176E9"/>
    <w:rsid w:val="0091771F"/>
    <w:rsid w:val="00917741"/>
    <w:rsid w:val="009178D7"/>
    <w:rsid w:val="009178EC"/>
    <w:rsid w:val="009179BD"/>
    <w:rsid w:val="00917B0B"/>
    <w:rsid w:val="00917CAD"/>
    <w:rsid w:val="00917E00"/>
    <w:rsid w:val="00917ED3"/>
    <w:rsid w:val="00917F46"/>
    <w:rsid w:val="00917F8D"/>
    <w:rsid w:val="00920056"/>
    <w:rsid w:val="0092007C"/>
    <w:rsid w:val="009202B4"/>
    <w:rsid w:val="009204BD"/>
    <w:rsid w:val="009205CC"/>
    <w:rsid w:val="009205E4"/>
    <w:rsid w:val="009206B9"/>
    <w:rsid w:val="00920792"/>
    <w:rsid w:val="009208F7"/>
    <w:rsid w:val="00920A2B"/>
    <w:rsid w:val="00920AD1"/>
    <w:rsid w:val="00920B26"/>
    <w:rsid w:val="00920DA3"/>
    <w:rsid w:val="00920F02"/>
    <w:rsid w:val="00920F3F"/>
    <w:rsid w:val="00920F5C"/>
    <w:rsid w:val="00921006"/>
    <w:rsid w:val="0092114A"/>
    <w:rsid w:val="0092116B"/>
    <w:rsid w:val="00921315"/>
    <w:rsid w:val="00921407"/>
    <w:rsid w:val="0092140B"/>
    <w:rsid w:val="00921427"/>
    <w:rsid w:val="0092153C"/>
    <w:rsid w:val="009215D3"/>
    <w:rsid w:val="00921649"/>
    <w:rsid w:val="009217D9"/>
    <w:rsid w:val="00921837"/>
    <w:rsid w:val="00921A48"/>
    <w:rsid w:val="00921ADA"/>
    <w:rsid w:val="00921B2E"/>
    <w:rsid w:val="00921CC2"/>
    <w:rsid w:val="00921D2E"/>
    <w:rsid w:val="00921D50"/>
    <w:rsid w:val="00921E2D"/>
    <w:rsid w:val="00921F97"/>
    <w:rsid w:val="0092201A"/>
    <w:rsid w:val="009221A3"/>
    <w:rsid w:val="009222C9"/>
    <w:rsid w:val="009223A2"/>
    <w:rsid w:val="00922517"/>
    <w:rsid w:val="0092251B"/>
    <w:rsid w:val="009225C6"/>
    <w:rsid w:val="00922666"/>
    <w:rsid w:val="00922722"/>
    <w:rsid w:val="00922735"/>
    <w:rsid w:val="009229B7"/>
    <w:rsid w:val="009229FF"/>
    <w:rsid w:val="00922B06"/>
    <w:rsid w:val="00922B2F"/>
    <w:rsid w:val="00922BE3"/>
    <w:rsid w:val="00922C1C"/>
    <w:rsid w:val="00922C31"/>
    <w:rsid w:val="00922C35"/>
    <w:rsid w:val="00922C49"/>
    <w:rsid w:val="00922C4F"/>
    <w:rsid w:val="009231F9"/>
    <w:rsid w:val="00923242"/>
    <w:rsid w:val="00923267"/>
    <w:rsid w:val="0092342C"/>
    <w:rsid w:val="0092343D"/>
    <w:rsid w:val="00923485"/>
    <w:rsid w:val="0092349A"/>
    <w:rsid w:val="009234F7"/>
    <w:rsid w:val="00923575"/>
    <w:rsid w:val="0092359E"/>
    <w:rsid w:val="009235C6"/>
    <w:rsid w:val="00923610"/>
    <w:rsid w:val="00923846"/>
    <w:rsid w:val="009238E8"/>
    <w:rsid w:val="009238F4"/>
    <w:rsid w:val="009239B2"/>
    <w:rsid w:val="009239C4"/>
    <w:rsid w:val="00923A80"/>
    <w:rsid w:val="00923AD6"/>
    <w:rsid w:val="00923BB0"/>
    <w:rsid w:val="00923F04"/>
    <w:rsid w:val="00923FEE"/>
    <w:rsid w:val="0092418F"/>
    <w:rsid w:val="009243BF"/>
    <w:rsid w:val="00924438"/>
    <w:rsid w:val="00924497"/>
    <w:rsid w:val="009244C7"/>
    <w:rsid w:val="00924535"/>
    <w:rsid w:val="009245B5"/>
    <w:rsid w:val="00924610"/>
    <w:rsid w:val="00924664"/>
    <w:rsid w:val="009247C3"/>
    <w:rsid w:val="0092481E"/>
    <w:rsid w:val="0092487C"/>
    <w:rsid w:val="009249DB"/>
    <w:rsid w:val="00924A05"/>
    <w:rsid w:val="00924B4C"/>
    <w:rsid w:val="00924B56"/>
    <w:rsid w:val="00924B87"/>
    <w:rsid w:val="00924C1C"/>
    <w:rsid w:val="00924C73"/>
    <w:rsid w:val="00924CE1"/>
    <w:rsid w:val="00924E02"/>
    <w:rsid w:val="00924E6E"/>
    <w:rsid w:val="00924F1E"/>
    <w:rsid w:val="009250BC"/>
    <w:rsid w:val="00925104"/>
    <w:rsid w:val="0092521F"/>
    <w:rsid w:val="0092552B"/>
    <w:rsid w:val="0092556E"/>
    <w:rsid w:val="00925689"/>
    <w:rsid w:val="00925700"/>
    <w:rsid w:val="0092589D"/>
    <w:rsid w:val="009259FA"/>
    <w:rsid w:val="00925A44"/>
    <w:rsid w:val="00925B7B"/>
    <w:rsid w:val="00925BD2"/>
    <w:rsid w:val="00925C84"/>
    <w:rsid w:val="00925C9F"/>
    <w:rsid w:val="00925DA7"/>
    <w:rsid w:val="00925E3E"/>
    <w:rsid w:val="00925F5E"/>
    <w:rsid w:val="0092600C"/>
    <w:rsid w:val="009260B9"/>
    <w:rsid w:val="009260E6"/>
    <w:rsid w:val="0092610D"/>
    <w:rsid w:val="0092612B"/>
    <w:rsid w:val="009261E6"/>
    <w:rsid w:val="0092623A"/>
    <w:rsid w:val="009262BE"/>
    <w:rsid w:val="00926407"/>
    <w:rsid w:val="0092642F"/>
    <w:rsid w:val="00926492"/>
    <w:rsid w:val="009264F9"/>
    <w:rsid w:val="00926500"/>
    <w:rsid w:val="0092651F"/>
    <w:rsid w:val="00926524"/>
    <w:rsid w:val="009265B5"/>
    <w:rsid w:val="00926620"/>
    <w:rsid w:val="00926709"/>
    <w:rsid w:val="00926725"/>
    <w:rsid w:val="00926872"/>
    <w:rsid w:val="009268E1"/>
    <w:rsid w:val="009268F3"/>
    <w:rsid w:val="00926909"/>
    <w:rsid w:val="00926A6F"/>
    <w:rsid w:val="00926BF6"/>
    <w:rsid w:val="00926CAC"/>
    <w:rsid w:val="00926CF5"/>
    <w:rsid w:val="00926D64"/>
    <w:rsid w:val="00926DB7"/>
    <w:rsid w:val="009270D7"/>
    <w:rsid w:val="0092719A"/>
    <w:rsid w:val="0092719D"/>
    <w:rsid w:val="009271B6"/>
    <w:rsid w:val="009271EE"/>
    <w:rsid w:val="0092729D"/>
    <w:rsid w:val="009273ED"/>
    <w:rsid w:val="009273F6"/>
    <w:rsid w:val="00927462"/>
    <w:rsid w:val="0092753E"/>
    <w:rsid w:val="009275AD"/>
    <w:rsid w:val="00927948"/>
    <w:rsid w:val="00927ACF"/>
    <w:rsid w:val="00927BDF"/>
    <w:rsid w:val="00927D02"/>
    <w:rsid w:val="00927D3E"/>
    <w:rsid w:val="00930065"/>
    <w:rsid w:val="00930077"/>
    <w:rsid w:val="0093038A"/>
    <w:rsid w:val="009304BF"/>
    <w:rsid w:val="00930568"/>
    <w:rsid w:val="0093065E"/>
    <w:rsid w:val="00930911"/>
    <w:rsid w:val="009309AD"/>
    <w:rsid w:val="00930AFB"/>
    <w:rsid w:val="00930B9D"/>
    <w:rsid w:val="00930BA3"/>
    <w:rsid w:val="00930CD7"/>
    <w:rsid w:val="00930D4D"/>
    <w:rsid w:val="00930DA0"/>
    <w:rsid w:val="00930DA3"/>
    <w:rsid w:val="00930E4D"/>
    <w:rsid w:val="00930E92"/>
    <w:rsid w:val="00930E9B"/>
    <w:rsid w:val="0093127E"/>
    <w:rsid w:val="009312CC"/>
    <w:rsid w:val="009313D5"/>
    <w:rsid w:val="009316C5"/>
    <w:rsid w:val="0093176E"/>
    <w:rsid w:val="009317BA"/>
    <w:rsid w:val="009317C1"/>
    <w:rsid w:val="009318E8"/>
    <w:rsid w:val="00931909"/>
    <w:rsid w:val="009319EF"/>
    <w:rsid w:val="00931A14"/>
    <w:rsid w:val="00931BF5"/>
    <w:rsid w:val="00931BFF"/>
    <w:rsid w:val="00931CFB"/>
    <w:rsid w:val="00931D16"/>
    <w:rsid w:val="00931D24"/>
    <w:rsid w:val="00931DA5"/>
    <w:rsid w:val="00931ED3"/>
    <w:rsid w:val="00931F4F"/>
    <w:rsid w:val="00931FC3"/>
    <w:rsid w:val="00932066"/>
    <w:rsid w:val="009320E8"/>
    <w:rsid w:val="00932113"/>
    <w:rsid w:val="009322C8"/>
    <w:rsid w:val="009323E5"/>
    <w:rsid w:val="0093243B"/>
    <w:rsid w:val="009324DD"/>
    <w:rsid w:val="00932598"/>
    <w:rsid w:val="009325F6"/>
    <w:rsid w:val="00932662"/>
    <w:rsid w:val="009326C5"/>
    <w:rsid w:val="009326E5"/>
    <w:rsid w:val="00932706"/>
    <w:rsid w:val="00932803"/>
    <w:rsid w:val="00932834"/>
    <w:rsid w:val="00932DBB"/>
    <w:rsid w:val="009330BC"/>
    <w:rsid w:val="00933109"/>
    <w:rsid w:val="009334DB"/>
    <w:rsid w:val="00933583"/>
    <w:rsid w:val="00933645"/>
    <w:rsid w:val="0093367A"/>
    <w:rsid w:val="0093384F"/>
    <w:rsid w:val="00933A03"/>
    <w:rsid w:val="00933B83"/>
    <w:rsid w:val="00933DE7"/>
    <w:rsid w:val="00933E7E"/>
    <w:rsid w:val="00933F25"/>
    <w:rsid w:val="00933FF5"/>
    <w:rsid w:val="009342B0"/>
    <w:rsid w:val="00934479"/>
    <w:rsid w:val="009344AE"/>
    <w:rsid w:val="009344C2"/>
    <w:rsid w:val="009344DE"/>
    <w:rsid w:val="00934684"/>
    <w:rsid w:val="009348C8"/>
    <w:rsid w:val="009348DC"/>
    <w:rsid w:val="00934A18"/>
    <w:rsid w:val="00934A85"/>
    <w:rsid w:val="00934B63"/>
    <w:rsid w:val="00934B73"/>
    <w:rsid w:val="00934C59"/>
    <w:rsid w:val="00934D71"/>
    <w:rsid w:val="00934E0F"/>
    <w:rsid w:val="00934E8C"/>
    <w:rsid w:val="00934F2A"/>
    <w:rsid w:val="00934F3D"/>
    <w:rsid w:val="00934FE8"/>
    <w:rsid w:val="0093518A"/>
    <w:rsid w:val="00935196"/>
    <w:rsid w:val="00935216"/>
    <w:rsid w:val="00935305"/>
    <w:rsid w:val="0093543C"/>
    <w:rsid w:val="0093544C"/>
    <w:rsid w:val="0093558A"/>
    <w:rsid w:val="009355A5"/>
    <w:rsid w:val="0093579F"/>
    <w:rsid w:val="0093593A"/>
    <w:rsid w:val="009359F1"/>
    <w:rsid w:val="009359F9"/>
    <w:rsid w:val="00935A42"/>
    <w:rsid w:val="00935B48"/>
    <w:rsid w:val="00935C15"/>
    <w:rsid w:val="00935CAF"/>
    <w:rsid w:val="00935CF4"/>
    <w:rsid w:val="00935D4B"/>
    <w:rsid w:val="00935DD8"/>
    <w:rsid w:val="00935EC9"/>
    <w:rsid w:val="009361B1"/>
    <w:rsid w:val="009361CD"/>
    <w:rsid w:val="009362DE"/>
    <w:rsid w:val="00936326"/>
    <w:rsid w:val="00936525"/>
    <w:rsid w:val="00936685"/>
    <w:rsid w:val="0093676C"/>
    <w:rsid w:val="0093689C"/>
    <w:rsid w:val="0093697C"/>
    <w:rsid w:val="009369B4"/>
    <w:rsid w:val="009369C0"/>
    <w:rsid w:val="00936B3B"/>
    <w:rsid w:val="00936C4E"/>
    <w:rsid w:val="00936D17"/>
    <w:rsid w:val="00936D8C"/>
    <w:rsid w:val="00936EF9"/>
    <w:rsid w:val="00936F0A"/>
    <w:rsid w:val="00936F98"/>
    <w:rsid w:val="0093704E"/>
    <w:rsid w:val="0093715F"/>
    <w:rsid w:val="0093718B"/>
    <w:rsid w:val="009371D2"/>
    <w:rsid w:val="0093722C"/>
    <w:rsid w:val="009372AD"/>
    <w:rsid w:val="009372E3"/>
    <w:rsid w:val="00937344"/>
    <w:rsid w:val="009373A9"/>
    <w:rsid w:val="00937424"/>
    <w:rsid w:val="0093742C"/>
    <w:rsid w:val="009375EB"/>
    <w:rsid w:val="00937709"/>
    <w:rsid w:val="009377E5"/>
    <w:rsid w:val="0093781F"/>
    <w:rsid w:val="009378DF"/>
    <w:rsid w:val="00937B7E"/>
    <w:rsid w:val="00937D42"/>
    <w:rsid w:val="00937DC1"/>
    <w:rsid w:val="00937DDE"/>
    <w:rsid w:val="00937DE0"/>
    <w:rsid w:val="00937DF7"/>
    <w:rsid w:val="00937E5D"/>
    <w:rsid w:val="00940313"/>
    <w:rsid w:val="0094033D"/>
    <w:rsid w:val="009404BF"/>
    <w:rsid w:val="0094061D"/>
    <w:rsid w:val="00940740"/>
    <w:rsid w:val="00940911"/>
    <w:rsid w:val="009409B7"/>
    <w:rsid w:val="00940A56"/>
    <w:rsid w:val="00940AD6"/>
    <w:rsid w:val="00940C22"/>
    <w:rsid w:val="00940D73"/>
    <w:rsid w:val="00940D87"/>
    <w:rsid w:val="00940D8F"/>
    <w:rsid w:val="00940E08"/>
    <w:rsid w:val="00940E44"/>
    <w:rsid w:val="00940E59"/>
    <w:rsid w:val="0094108F"/>
    <w:rsid w:val="009410CB"/>
    <w:rsid w:val="009411F4"/>
    <w:rsid w:val="00941255"/>
    <w:rsid w:val="009412F4"/>
    <w:rsid w:val="009413D9"/>
    <w:rsid w:val="0094142F"/>
    <w:rsid w:val="00941454"/>
    <w:rsid w:val="009414D6"/>
    <w:rsid w:val="00941529"/>
    <w:rsid w:val="00941565"/>
    <w:rsid w:val="009416DD"/>
    <w:rsid w:val="0094183D"/>
    <w:rsid w:val="00941878"/>
    <w:rsid w:val="00941AB3"/>
    <w:rsid w:val="00941CF4"/>
    <w:rsid w:val="00941FAA"/>
    <w:rsid w:val="00941FD7"/>
    <w:rsid w:val="009421EC"/>
    <w:rsid w:val="009422CA"/>
    <w:rsid w:val="00942388"/>
    <w:rsid w:val="009423BD"/>
    <w:rsid w:val="009424A6"/>
    <w:rsid w:val="00942608"/>
    <w:rsid w:val="009427E8"/>
    <w:rsid w:val="009428A4"/>
    <w:rsid w:val="00942947"/>
    <w:rsid w:val="009429F5"/>
    <w:rsid w:val="00942A60"/>
    <w:rsid w:val="00942AB0"/>
    <w:rsid w:val="00942BE0"/>
    <w:rsid w:val="00942E40"/>
    <w:rsid w:val="00942E4A"/>
    <w:rsid w:val="00942E83"/>
    <w:rsid w:val="00942F15"/>
    <w:rsid w:val="00942F88"/>
    <w:rsid w:val="00943078"/>
    <w:rsid w:val="00943160"/>
    <w:rsid w:val="009432A0"/>
    <w:rsid w:val="009433AE"/>
    <w:rsid w:val="00943430"/>
    <w:rsid w:val="00943476"/>
    <w:rsid w:val="009434B7"/>
    <w:rsid w:val="00943527"/>
    <w:rsid w:val="009435BF"/>
    <w:rsid w:val="00943629"/>
    <w:rsid w:val="009438F3"/>
    <w:rsid w:val="009439D1"/>
    <w:rsid w:val="00943B2F"/>
    <w:rsid w:val="00943C53"/>
    <w:rsid w:val="00943E1B"/>
    <w:rsid w:val="00943F6A"/>
    <w:rsid w:val="00943FF0"/>
    <w:rsid w:val="0094403A"/>
    <w:rsid w:val="0094403E"/>
    <w:rsid w:val="00944153"/>
    <w:rsid w:val="009441DB"/>
    <w:rsid w:val="00944218"/>
    <w:rsid w:val="00944220"/>
    <w:rsid w:val="00944333"/>
    <w:rsid w:val="009443B5"/>
    <w:rsid w:val="0094446B"/>
    <w:rsid w:val="00944504"/>
    <w:rsid w:val="00944517"/>
    <w:rsid w:val="009445D9"/>
    <w:rsid w:val="009446C5"/>
    <w:rsid w:val="00944755"/>
    <w:rsid w:val="009447E0"/>
    <w:rsid w:val="0094486A"/>
    <w:rsid w:val="009448FE"/>
    <w:rsid w:val="00944923"/>
    <w:rsid w:val="00944958"/>
    <w:rsid w:val="009449C0"/>
    <w:rsid w:val="009449E0"/>
    <w:rsid w:val="00944AB4"/>
    <w:rsid w:val="00944B4D"/>
    <w:rsid w:val="00944BBB"/>
    <w:rsid w:val="00944BE3"/>
    <w:rsid w:val="00944BF5"/>
    <w:rsid w:val="00944D03"/>
    <w:rsid w:val="00944E8F"/>
    <w:rsid w:val="00944ED7"/>
    <w:rsid w:val="00944F8A"/>
    <w:rsid w:val="0094508B"/>
    <w:rsid w:val="009451C7"/>
    <w:rsid w:val="009452DB"/>
    <w:rsid w:val="00945300"/>
    <w:rsid w:val="00945322"/>
    <w:rsid w:val="009453E2"/>
    <w:rsid w:val="0094546A"/>
    <w:rsid w:val="00945486"/>
    <w:rsid w:val="0094549E"/>
    <w:rsid w:val="00945549"/>
    <w:rsid w:val="00945676"/>
    <w:rsid w:val="00945677"/>
    <w:rsid w:val="009456AA"/>
    <w:rsid w:val="009456FA"/>
    <w:rsid w:val="00945795"/>
    <w:rsid w:val="0094593D"/>
    <w:rsid w:val="00945967"/>
    <w:rsid w:val="009459B3"/>
    <w:rsid w:val="009459C6"/>
    <w:rsid w:val="009459C8"/>
    <w:rsid w:val="00945AFC"/>
    <w:rsid w:val="00945BEF"/>
    <w:rsid w:val="00945D23"/>
    <w:rsid w:val="00945D7B"/>
    <w:rsid w:val="00945E7F"/>
    <w:rsid w:val="00945EAB"/>
    <w:rsid w:val="00945EF8"/>
    <w:rsid w:val="0094602F"/>
    <w:rsid w:val="00946199"/>
    <w:rsid w:val="00946325"/>
    <w:rsid w:val="009464B3"/>
    <w:rsid w:val="009464FB"/>
    <w:rsid w:val="00946517"/>
    <w:rsid w:val="0094658F"/>
    <w:rsid w:val="009465E5"/>
    <w:rsid w:val="0094660D"/>
    <w:rsid w:val="00946AF2"/>
    <w:rsid w:val="00946D46"/>
    <w:rsid w:val="00946D6C"/>
    <w:rsid w:val="00946D98"/>
    <w:rsid w:val="00946E13"/>
    <w:rsid w:val="00946EAF"/>
    <w:rsid w:val="00946EF1"/>
    <w:rsid w:val="00946F44"/>
    <w:rsid w:val="00946FA7"/>
    <w:rsid w:val="00946FDA"/>
    <w:rsid w:val="0094704D"/>
    <w:rsid w:val="009471BB"/>
    <w:rsid w:val="00947208"/>
    <w:rsid w:val="00947244"/>
    <w:rsid w:val="009472DE"/>
    <w:rsid w:val="00947336"/>
    <w:rsid w:val="00947609"/>
    <w:rsid w:val="0094762C"/>
    <w:rsid w:val="009478B2"/>
    <w:rsid w:val="009479EE"/>
    <w:rsid w:val="009479F3"/>
    <w:rsid w:val="00947A4C"/>
    <w:rsid w:val="00947C1C"/>
    <w:rsid w:val="00947C3C"/>
    <w:rsid w:val="00947C6D"/>
    <w:rsid w:val="00947C75"/>
    <w:rsid w:val="00947C87"/>
    <w:rsid w:val="00947C8F"/>
    <w:rsid w:val="00947CF8"/>
    <w:rsid w:val="00947D41"/>
    <w:rsid w:val="00947EF3"/>
    <w:rsid w:val="00947F04"/>
    <w:rsid w:val="00947F4D"/>
    <w:rsid w:val="00950043"/>
    <w:rsid w:val="00950066"/>
    <w:rsid w:val="0095008F"/>
    <w:rsid w:val="00950171"/>
    <w:rsid w:val="00950175"/>
    <w:rsid w:val="00950295"/>
    <w:rsid w:val="00950298"/>
    <w:rsid w:val="00950418"/>
    <w:rsid w:val="009505F5"/>
    <w:rsid w:val="009507B2"/>
    <w:rsid w:val="009507B6"/>
    <w:rsid w:val="00950884"/>
    <w:rsid w:val="009508C1"/>
    <w:rsid w:val="00950961"/>
    <w:rsid w:val="009509EA"/>
    <w:rsid w:val="00950A4F"/>
    <w:rsid w:val="00950AD6"/>
    <w:rsid w:val="00950ADA"/>
    <w:rsid w:val="00950BF6"/>
    <w:rsid w:val="00950DD2"/>
    <w:rsid w:val="00950F04"/>
    <w:rsid w:val="00950F1C"/>
    <w:rsid w:val="0095106E"/>
    <w:rsid w:val="0095108B"/>
    <w:rsid w:val="009510EA"/>
    <w:rsid w:val="009510F2"/>
    <w:rsid w:val="009514C0"/>
    <w:rsid w:val="00951646"/>
    <w:rsid w:val="00951808"/>
    <w:rsid w:val="009519C0"/>
    <w:rsid w:val="00951AB0"/>
    <w:rsid w:val="00951BED"/>
    <w:rsid w:val="00951BFB"/>
    <w:rsid w:val="00951CCB"/>
    <w:rsid w:val="00951EA0"/>
    <w:rsid w:val="009520EE"/>
    <w:rsid w:val="009521C6"/>
    <w:rsid w:val="009522E0"/>
    <w:rsid w:val="009526DD"/>
    <w:rsid w:val="00952790"/>
    <w:rsid w:val="00952898"/>
    <w:rsid w:val="009528D6"/>
    <w:rsid w:val="009528DA"/>
    <w:rsid w:val="00952909"/>
    <w:rsid w:val="00952926"/>
    <w:rsid w:val="00952975"/>
    <w:rsid w:val="009529A0"/>
    <w:rsid w:val="00952AA5"/>
    <w:rsid w:val="00952AC9"/>
    <w:rsid w:val="00952C0C"/>
    <w:rsid w:val="00952C6A"/>
    <w:rsid w:val="00952D7D"/>
    <w:rsid w:val="00952DA1"/>
    <w:rsid w:val="00952E23"/>
    <w:rsid w:val="00952E36"/>
    <w:rsid w:val="00952E38"/>
    <w:rsid w:val="00952EBA"/>
    <w:rsid w:val="00952F17"/>
    <w:rsid w:val="00953083"/>
    <w:rsid w:val="009531AD"/>
    <w:rsid w:val="009532A9"/>
    <w:rsid w:val="00953379"/>
    <w:rsid w:val="009533D1"/>
    <w:rsid w:val="0095359B"/>
    <w:rsid w:val="009535D5"/>
    <w:rsid w:val="0095399D"/>
    <w:rsid w:val="009539A3"/>
    <w:rsid w:val="009539F6"/>
    <w:rsid w:val="00953A16"/>
    <w:rsid w:val="00953A4A"/>
    <w:rsid w:val="00953D6D"/>
    <w:rsid w:val="00953E97"/>
    <w:rsid w:val="00953FC8"/>
    <w:rsid w:val="00953FF7"/>
    <w:rsid w:val="00954018"/>
    <w:rsid w:val="0095403B"/>
    <w:rsid w:val="00954051"/>
    <w:rsid w:val="00954073"/>
    <w:rsid w:val="0095410A"/>
    <w:rsid w:val="0095417D"/>
    <w:rsid w:val="009541C6"/>
    <w:rsid w:val="00954406"/>
    <w:rsid w:val="009544AC"/>
    <w:rsid w:val="00954503"/>
    <w:rsid w:val="00954535"/>
    <w:rsid w:val="00954768"/>
    <w:rsid w:val="009547A2"/>
    <w:rsid w:val="00954837"/>
    <w:rsid w:val="00954847"/>
    <w:rsid w:val="009548C8"/>
    <w:rsid w:val="00954AA6"/>
    <w:rsid w:val="00954AD0"/>
    <w:rsid w:val="00954B3D"/>
    <w:rsid w:val="00954B7A"/>
    <w:rsid w:val="00954BB1"/>
    <w:rsid w:val="00954C7B"/>
    <w:rsid w:val="00954CD0"/>
    <w:rsid w:val="00954F75"/>
    <w:rsid w:val="00955018"/>
    <w:rsid w:val="00955080"/>
    <w:rsid w:val="00955266"/>
    <w:rsid w:val="009552E7"/>
    <w:rsid w:val="00955328"/>
    <w:rsid w:val="009553DB"/>
    <w:rsid w:val="00955407"/>
    <w:rsid w:val="009555AD"/>
    <w:rsid w:val="00955662"/>
    <w:rsid w:val="009557C1"/>
    <w:rsid w:val="0095581F"/>
    <w:rsid w:val="00955861"/>
    <w:rsid w:val="00955906"/>
    <w:rsid w:val="00955920"/>
    <w:rsid w:val="00955928"/>
    <w:rsid w:val="00955AFA"/>
    <w:rsid w:val="00955B62"/>
    <w:rsid w:val="00955D2A"/>
    <w:rsid w:val="00955DA9"/>
    <w:rsid w:val="00955DC4"/>
    <w:rsid w:val="00955E45"/>
    <w:rsid w:val="00955ED2"/>
    <w:rsid w:val="00955F98"/>
    <w:rsid w:val="00956012"/>
    <w:rsid w:val="009560DE"/>
    <w:rsid w:val="00956132"/>
    <w:rsid w:val="0095626A"/>
    <w:rsid w:val="0095631B"/>
    <w:rsid w:val="00956399"/>
    <w:rsid w:val="00956604"/>
    <w:rsid w:val="009566CF"/>
    <w:rsid w:val="00956701"/>
    <w:rsid w:val="00956935"/>
    <w:rsid w:val="00956A47"/>
    <w:rsid w:val="00956B32"/>
    <w:rsid w:val="00956B57"/>
    <w:rsid w:val="00956BD9"/>
    <w:rsid w:val="00956C09"/>
    <w:rsid w:val="00956D13"/>
    <w:rsid w:val="00956D31"/>
    <w:rsid w:val="00956DD6"/>
    <w:rsid w:val="00956DEC"/>
    <w:rsid w:val="00956E22"/>
    <w:rsid w:val="00956E25"/>
    <w:rsid w:val="00956E2C"/>
    <w:rsid w:val="00956E5D"/>
    <w:rsid w:val="00956EA4"/>
    <w:rsid w:val="00956EC5"/>
    <w:rsid w:val="00956F31"/>
    <w:rsid w:val="00956F8B"/>
    <w:rsid w:val="00956FCC"/>
    <w:rsid w:val="009570F6"/>
    <w:rsid w:val="00957247"/>
    <w:rsid w:val="00957314"/>
    <w:rsid w:val="0095740E"/>
    <w:rsid w:val="0095741D"/>
    <w:rsid w:val="0095757E"/>
    <w:rsid w:val="00957767"/>
    <w:rsid w:val="00957895"/>
    <w:rsid w:val="00957AA6"/>
    <w:rsid w:val="00957ADB"/>
    <w:rsid w:val="00957AFB"/>
    <w:rsid w:val="00957B87"/>
    <w:rsid w:val="00957D27"/>
    <w:rsid w:val="00957D9B"/>
    <w:rsid w:val="00957DF2"/>
    <w:rsid w:val="00957E5A"/>
    <w:rsid w:val="00957F1D"/>
    <w:rsid w:val="00957F3D"/>
    <w:rsid w:val="00957F40"/>
    <w:rsid w:val="00957F71"/>
    <w:rsid w:val="00957F7F"/>
    <w:rsid w:val="00957F92"/>
    <w:rsid w:val="0096000A"/>
    <w:rsid w:val="009601BF"/>
    <w:rsid w:val="009601FF"/>
    <w:rsid w:val="00960202"/>
    <w:rsid w:val="009602AB"/>
    <w:rsid w:val="009602DC"/>
    <w:rsid w:val="00960325"/>
    <w:rsid w:val="0096040A"/>
    <w:rsid w:val="00960545"/>
    <w:rsid w:val="009606F5"/>
    <w:rsid w:val="00960768"/>
    <w:rsid w:val="0096088A"/>
    <w:rsid w:val="0096089A"/>
    <w:rsid w:val="00960A0E"/>
    <w:rsid w:val="00960A6A"/>
    <w:rsid w:val="00960ACF"/>
    <w:rsid w:val="00960B0F"/>
    <w:rsid w:val="00960C36"/>
    <w:rsid w:val="00960C51"/>
    <w:rsid w:val="00960CC7"/>
    <w:rsid w:val="00960D6E"/>
    <w:rsid w:val="00960EE3"/>
    <w:rsid w:val="00960F35"/>
    <w:rsid w:val="0096105B"/>
    <w:rsid w:val="009611BC"/>
    <w:rsid w:val="00961299"/>
    <w:rsid w:val="009613B0"/>
    <w:rsid w:val="009613E6"/>
    <w:rsid w:val="00961484"/>
    <w:rsid w:val="0096155C"/>
    <w:rsid w:val="00961569"/>
    <w:rsid w:val="00961578"/>
    <w:rsid w:val="00961935"/>
    <w:rsid w:val="009619D6"/>
    <w:rsid w:val="00961B09"/>
    <w:rsid w:val="00961B4E"/>
    <w:rsid w:val="00961C58"/>
    <w:rsid w:val="00961E9B"/>
    <w:rsid w:val="00961F29"/>
    <w:rsid w:val="00961F7A"/>
    <w:rsid w:val="00961F99"/>
    <w:rsid w:val="00962009"/>
    <w:rsid w:val="0096205E"/>
    <w:rsid w:val="009620DE"/>
    <w:rsid w:val="009622FB"/>
    <w:rsid w:val="00962839"/>
    <w:rsid w:val="0096294C"/>
    <w:rsid w:val="00962B30"/>
    <w:rsid w:val="00962BAA"/>
    <w:rsid w:val="00962BBF"/>
    <w:rsid w:val="00962D86"/>
    <w:rsid w:val="00962D90"/>
    <w:rsid w:val="00962D9C"/>
    <w:rsid w:val="00962DA2"/>
    <w:rsid w:val="00963121"/>
    <w:rsid w:val="009631E3"/>
    <w:rsid w:val="00963206"/>
    <w:rsid w:val="00963333"/>
    <w:rsid w:val="00963343"/>
    <w:rsid w:val="0096347C"/>
    <w:rsid w:val="009634CB"/>
    <w:rsid w:val="0096355C"/>
    <w:rsid w:val="0096361C"/>
    <w:rsid w:val="00963688"/>
    <w:rsid w:val="00963713"/>
    <w:rsid w:val="009638F9"/>
    <w:rsid w:val="0096390D"/>
    <w:rsid w:val="00963923"/>
    <w:rsid w:val="00963998"/>
    <w:rsid w:val="00963A37"/>
    <w:rsid w:val="00963A48"/>
    <w:rsid w:val="00963AB6"/>
    <w:rsid w:val="00963ADE"/>
    <w:rsid w:val="00963AEB"/>
    <w:rsid w:val="00963BCB"/>
    <w:rsid w:val="00963C1A"/>
    <w:rsid w:val="00963C20"/>
    <w:rsid w:val="00963CB1"/>
    <w:rsid w:val="00963DB2"/>
    <w:rsid w:val="00963DE0"/>
    <w:rsid w:val="00963E24"/>
    <w:rsid w:val="00963F9C"/>
    <w:rsid w:val="00963FD4"/>
    <w:rsid w:val="009640AE"/>
    <w:rsid w:val="00964101"/>
    <w:rsid w:val="00964122"/>
    <w:rsid w:val="0096415D"/>
    <w:rsid w:val="00964184"/>
    <w:rsid w:val="009641BD"/>
    <w:rsid w:val="009641C2"/>
    <w:rsid w:val="00964264"/>
    <w:rsid w:val="009642FC"/>
    <w:rsid w:val="009643C4"/>
    <w:rsid w:val="00964482"/>
    <w:rsid w:val="00964532"/>
    <w:rsid w:val="009646C8"/>
    <w:rsid w:val="009647A4"/>
    <w:rsid w:val="009648BF"/>
    <w:rsid w:val="00964AF3"/>
    <w:rsid w:val="00964D6F"/>
    <w:rsid w:val="00964E90"/>
    <w:rsid w:val="00964EB0"/>
    <w:rsid w:val="00964F33"/>
    <w:rsid w:val="00964FDD"/>
    <w:rsid w:val="0096514C"/>
    <w:rsid w:val="00965168"/>
    <w:rsid w:val="00965221"/>
    <w:rsid w:val="0096537C"/>
    <w:rsid w:val="009653A8"/>
    <w:rsid w:val="009653D8"/>
    <w:rsid w:val="009653E9"/>
    <w:rsid w:val="00965663"/>
    <w:rsid w:val="0096587E"/>
    <w:rsid w:val="009658A6"/>
    <w:rsid w:val="009658CC"/>
    <w:rsid w:val="0096593D"/>
    <w:rsid w:val="00965971"/>
    <w:rsid w:val="00965B6E"/>
    <w:rsid w:val="00965DE9"/>
    <w:rsid w:val="00965F02"/>
    <w:rsid w:val="00965F0F"/>
    <w:rsid w:val="00966042"/>
    <w:rsid w:val="00966089"/>
    <w:rsid w:val="00966094"/>
    <w:rsid w:val="009661F7"/>
    <w:rsid w:val="009663BD"/>
    <w:rsid w:val="00966457"/>
    <w:rsid w:val="00966468"/>
    <w:rsid w:val="00966482"/>
    <w:rsid w:val="00966598"/>
    <w:rsid w:val="0096672F"/>
    <w:rsid w:val="009667C3"/>
    <w:rsid w:val="009667CC"/>
    <w:rsid w:val="009667F6"/>
    <w:rsid w:val="0096683F"/>
    <w:rsid w:val="0096685F"/>
    <w:rsid w:val="0096689E"/>
    <w:rsid w:val="00966C19"/>
    <w:rsid w:val="00966CC4"/>
    <w:rsid w:val="00966D3F"/>
    <w:rsid w:val="00966D78"/>
    <w:rsid w:val="00966DC8"/>
    <w:rsid w:val="00966DCB"/>
    <w:rsid w:val="00966E27"/>
    <w:rsid w:val="00966E41"/>
    <w:rsid w:val="00966FC6"/>
    <w:rsid w:val="00967022"/>
    <w:rsid w:val="0096712A"/>
    <w:rsid w:val="00967198"/>
    <w:rsid w:val="0096733F"/>
    <w:rsid w:val="00967349"/>
    <w:rsid w:val="009673C0"/>
    <w:rsid w:val="009673E5"/>
    <w:rsid w:val="00967470"/>
    <w:rsid w:val="0096749C"/>
    <w:rsid w:val="009676F3"/>
    <w:rsid w:val="00967711"/>
    <w:rsid w:val="00967758"/>
    <w:rsid w:val="0096786C"/>
    <w:rsid w:val="009679A5"/>
    <w:rsid w:val="009679A6"/>
    <w:rsid w:val="009679CC"/>
    <w:rsid w:val="00967AB2"/>
    <w:rsid w:val="00967B55"/>
    <w:rsid w:val="00967B7C"/>
    <w:rsid w:val="00967B8F"/>
    <w:rsid w:val="00967C90"/>
    <w:rsid w:val="00967C9B"/>
    <w:rsid w:val="00967CF9"/>
    <w:rsid w:val="00967D3B"/>
    <w:rsid w:val="00967D7F"/>
    <w:rsid w:val="00967DC8"/>
    <w:rsid w:val="00967EB2"/>
    <w:rsid w:val="00967F82"/>
    <w:rsid w:val="00967F83"/>
    <w:rsid w:val="0096A93A"/>
    <w:rsid w:val="00970000"/>
    <w:rsid w:val="00970009"/>
    <w:rsid w:val="0097013A"/>
    <w:rsid w:val="00970185"/>
    <w:rsid w:val="00970385"/>
    <w:rsid w:val="009703B8"/>
    <w:rsid w:val="009704F7"/>
    <w:rsid w:val="0097074E"/>
    <w:rsid w:val="00970848"/>
    <w:rsid w:val="00970862"/>
    <w:rsid w:val="00970929"/>
    <w:rsid w:val="00970B5D"/>
    <w:rsid w:val="00970B82"/>
    <w:rsid w:val="00970BA6"/>
    <w:rsid w:val="00970D4A"/>
    <w:rsid w:val="00970D92"/>
    <w:rsid w:val="00970E55"/>
    <w:rsid w:val="009710F5"/>
    <w:rsid w:val="0097115C"/>
    <w:rsid w:val="0097116B"/>
    <w:rsid w:val="00971275"/>
    <w:rsid w:val="009713F5"/>
    <w:rsid w:val="00971561"/>
    <w:rsid w:val="0097166E"/>
    <w:rsid w:val="009716BB"/>
    <w:rsid w:val="009719E5"/>
    <w:rsid w:val="00971A21"/>
    <w:rsid w:val="00971A89"/>
    <w:rsid w:val="00971B91"/>
    <w:rsid w:val="00971C72"/>
    <w:rsid w:val="00971CA2"/>
    <w:rsid w:val="00971CF3"/>
    <w:rsid w:val="00971CFE"/>
    <w:rsid w:val="00971DDF"/>
    <w:rsid w:val="00971EB9"/>
    <w:rsid w:val="00971F6E"/>
    <w:rsid w:val="00971FA2"/>
    <w:rsid w:val="00972057"/>
    <w:rsid w:val="009720E3"/>
    <w:rsid w:val="009723B7"/>
    <w:rsid w:val="009725DF"/>
    <w:rsid w:val="0097267A"/>
    <w:rsid w:val="00972709"/>
    <w:rsid w:val="00972920"/>
    <w:rsid w:val="009729AF"/>
    <w:rsid w:val="009729C0"/>
    <w:rsid w:val="009729C5"/>
    <w:rsid w:val="00972A1F"/>
    <w:rsid w:val="00972A7B"/>
    <w:rsid w:val="00972A84"/>
    <w:rsid w:val="00972AA8"/>
    <w:rsid w:val="00972B37"/>
    <w:rsid w:val="00972B43"/>
    <w:rsid w:val="00972B81"/>
    <w:rsid w:val="00972BB1"/>
    <w:rsid w:val="00972E5A"/>
    <w:rsid w:val="00972F83"/>
    <w:rsid w:val="00972FFD"/>
    <w:rsid w:val="009730A4"/>
    <w:rsid w:val="009731A8"/>
    <w:rsid w:val="00973337"/>
    <w:rsid w:val="00973375"/>
    <w:rsid w:val="009733DE"/>
    <w:rsid w:val="009734D2"/>
    <w:rsid w:val="009734E2"/>
    <w:rsid w:val="009736C0"/>
    <w:rsid w:val="00973717"/>
    <w:rsid w:val="00973821"/>
    <w:rsid w:val="0097387A"/>
    <w:rsid w:val="00973886"/>
    <w:rsid w:val="009738AF"/>
    <w:rsid w:val="009738DA"/>
    <w:rsid w:val="00973939"/>
    <w:rsid w:val="0097398B"/>
    <w:rsid w:val="00973BB9"/>
    <w:rsid w:val="00973C3C"/>
    <w:rsid w:val="00973C43"/>
    <w:rsid w:val="00973D13"/>
    <w:rsid w:val="00973E4A"/>
    <w:rsid w:val="0097403E"/>
    <w:rsid w:val="00974098"/>
    <w:rsid w:val="009740EC"/>
    <w:rsid w:val="00974186"/>
    <w:rsid w:val="009742C7"/>
    <w:rsid w:val="0097440B"/>
    <w:rsid w:val="00974419"/>
    <w:rsid w:val="00974547"/>
    <w:rsid w:val="009746D5"/>
    <w:rsid w:val="00974903"/>
    <w:rsid w:val="00974956"/>
    <w:rsid w:val="00974AC3"/>
    <w:rsid w:val="00974B1C"/>
    <w:rsid w:val="00974B26"/>
    <w:rsid w:val="00974B59"/>
    <w:rsid w:val="00974BD7"/>
    <w:rsid w:val="00974C53"/>
    <w:rsid w:val="00974D36"/>
    <w:rsid w:val="00974D81"/>
    <w:rsid w:val="00974F27"/>
    <w:rsid w:val="00974FC9"/>
    <w:rsid w:val="00974FFA"/>
    <w:rsid w:val="00975037"/>
    <w:rsid w:val="009750CA"/>
    <w:rsid w:val="00975121"/>
    <w:rsid w:val="0097518B"/>
    <w:rsid w:val="00975391"/>
    <w:rsid w:val="009753BB"/>
    <w:rsid w:val="00975430"/>
    <w:rsid w:val="009754F8"/>
    <w:rsid w:val="009754FF"/>
    <w:rsid w:val="00975584"/>
    <w:rsid w:val="00975660"/>
    <w:rsid w:val="00975753"/>
    <w:rsid w:val="009757F5"/>
    <w:rsid w:val="00975817"/>
    <w:rsid w:val="00975861"/>
    <w:rsid w:val="009758EC"/>
    <w:rsid w:val="00975971"/>
    <w:rsid w:val="00975A1A"/>
    <w:rsid w:val="00975B14"/>
    <w:rsid w:val="00975B39"/>
    <w:rsid w:val="00975C42"/>
    <w:rsid w:val="00975C64"/>
    <w:rsid w:val="00975CB5"/>
    <w:rsid w:val="00975D2B"/>
    <w:rsid w:val="00975D99"/>
    <w:rsid w:val="00975DFE"/>
    <w:rsid w:val="00975FC8"/>
    <w:rsid w:val="00975FCD"/>
    <w:rsid w:val="00975FF7"/>
    <w:rsid w:val="009760EE"/>
    <w:rsid w:val="00976274"/>
    <w:rsid w:val="00976378"/>
    <w:rsid w:val="009763B8"/>
    <w:rsid w:val="009764BC"/>
    <w:rsid w:val="009764D2"/>
    <w:rsid w:val="009768CF"/>
    <w:rsid w:val="009768E4"/>
    <w:rsid w:val="009769A4"/>
    <w:rsid w:val="00976A67"/>
    <w:rsid w:val="00976B83"/>
    <w:rsid w:val="00976BE3"/>
    <w:rsid w:val="00976C19"/>
    <w:rsid w:val="00976C4A"/>
    <w:rsid w:val="00976C54"/>
    <w:rsid w:val="00976D6E"/>
    <w:rsid w:val="00976DF3"/>
    <w:rsid w:val="00976E54"/>
    <w:rsid w:val="00976E55"/>
    <w:rsid w:val="00976EDE"/>
    <w:rsid w:val="00976EE7"/>
    <w:rsid w:val="00976FD0"/>
    <w:rsid w:val="00977063"/>
    <w:rsid w:val="0097707F"/>
    <w:rsid w:val="009771A0"/>
    <w:rsid w:val="009772C1"/>
    <w:rsid w:val="00977326"/>
    <w:rsid w:val="00977375"/>
    <w:rsid w:val="00977426"/>
    <w:rsid w:val="00977493"/>
    <w:rsid w:val="00977528"/>
    <w:rsid w:val="00977558"/>
    <w:rsid w:val="00977635"/>
    <w:rsid w:val="00977763"/>
    <w:rsid w:val="00977888"/>
    <w:rsid w:val="009778B4"/>
    <w:rsid w:val="009778EE"/>
    <w:rsid w:val="00977A8D"/>
    <w:rsid w:val="00977E0A"/>
    <w:rsid w:val="00977F39"/>
    <w:rsid w:val="00977F9D"/>
    <w:rsid w:val="00977FEF"/>
    <w:rsid w:val="009801DA"/>
    <w:rsid w:val="009801E2"/>
    <w:rsid w:val="009804CB"/>
    <w:rsid w:val="009804EE"/>
    <w:rsid w:val="0098054B"/>
    <w:rsid w:val="009805BD"/>
    <w:rsid w:val="009805ED"/>
    <w:rsid w:val="00980786"/>
    <w:rsid w:val="009807DC"/>
    <w:rsid w:val="0098085F"/>
    <w:rsid w:val="009808A2"/>
    <w:rsid w:val="009809F8"/>
    <w:rsid w:val="00980A42"/>
    <w:rsid w:val="00980B34"/>
    <w:rsid w:val="00980B54"/>
    <w:rsid w:val="00980B68"/>
    <w:rsid w:val="00980BB9"/>
    <w:rsid w:val="00980C48"/>
    <w:rsid w:val="00980D8A"/>
    <w:rsid w:val="00980D93"/>
    <w:rsid w:val="00980DCF"/>
    <w:rsid w:val="00980F41"/>
    <w:rsid w:val="00980F72"/>
    <w:rsid w:val="00980FD7"/>
    <w:rsid w:val="009810ED"/>
    <w:rsid w:val="00981112"/>
    <w:rsid w:val="0098118B"/>
    <w:rsid w:val="00981260"/>
    <w:rsid w:val="009813A8"/>
    <w:rsid w:val="009813B7"/>
    <w:rsid w:val="009813CD"/>
    <w:rsid w:val="009813FC"/>
    <w:rsid w:val="00981628"/>
    <w:rsid w:val="00981649"/>
    <w:rsid w:val="0098176B"/>
    <w:rsid w:val="009818A6"/>
    <w:rsid w:val="009819B7"/>
    <w:rsid w:val="00981A65"/>
    <w:rsid w:val="00981B13"/>
    <w:rsid w:val="00981B9C"/>
    <w:rsid w:val="00981BE1"/>
    <w:rsid w:val="00981DF7"/>
    <w:rsid w:val="00981F4D"/>
    <w:rsid w:val="00982392"/>
    <w:rsid w:val="00982508"/>
    <w:rsid w:val="00982523"/>
    <w:rsid w:val="00982682"/>
    <w:rsid w:val="00982712"/>
    <w:rsid w:val="00982908"/>
    <w:rsid w:val="009829B6"/>
    <w:rsid w:val="009829BB"/>
    <w:rsid w:val="00982A4E"/>
    <w:rsid w:val="00982A67"/>
    <w:rsid w:val="00982A90"/>
    <w:rsid w:val="00982C0A"/>
    <w:rsid w:val="00982CCD"/>
    <w:rsid w:val="00982D17"/>
    <w:rsid w:val="00982D7E"/>
    <w:rsid w:val="00982D8C"/>
    <w:rsid w:val="00982DA6"/>
    <w:rsid w:val="00982E61"/>
    <w:rsid w:val="009831FF"/>
    <w:rsid w:val="0098321C"/>
    <w:rsid w:val="0098338A"/>
    <w:rsid w:val="0098338F"/>
    <w:rsid w:val="0098340B"/>
    <w:rsid w:val="00983590"/>
    <w:rsid w:val="009835D7"/>
    <w:rsid w:val="0098360E"/>
    <w:rsid w:val="009839B3"/>
    <w:rsid w:val="009839BB"/>
    <w:rsid w:val="00983A5A"/>
    <w:rsid w:val="00983CD8"/>
    <w:rsid w:val="00983D72"/>
    <w:rsid w:val="00983E8F"/>
    <w:rsid w:val="00983F02"/>
    <w:rsid w:val="00983F43"/>
    <w:rsid w:val="00983FD5"/>
    <w:rsid w:val="00984037"/>
    <w:rsid w:val="009840BF"/>
    <w:rsid w:val="009840F8"/>
    <w:rsid w:val="00984118"/>
    <w:rsid w:val="0098414B"/>
    <w:rsid w:val="009841AC"/>
    <w:rsid w:val="00984241"/>
    <w:rsid w:val="009844BF"/>
    <w:rsid w:val="009845C3"/>
    <w:rsid w:val="0098461F"/>
    <w:rsid w:val="00984643"/>
    <w:rsid w:val="009846E4"/>
    <w:rsid w:val="0098496A"/>
    <w:rsid w:val="009849B3"/>
    <w:rsid w:val="009849C7"/>
    <w:rsid w:val="00984B45"/>
    <w:rsid w:val="00984B99"/>
    <w:rsid w:val="00984BE6"/>
    <w:rsid w:val="00984C45"/>
    <w:rsid w:val="00984D11"/>
    <w:rsid w:val="00984D3E"/>
    <w:rsid w:val="00984E9D"/>
    <w:rsid w:val="00985022"/>
    <w:rsid w:val="009850BE"/>
    <w:rsid w:val="0098517A"/>
    <w:rsid w:val="00985262"/>
    <w:rsid w:val="00985289"/>
    <w:rsid w:val="00985414"/>
    <w:rsid w:val="00985490"/>
    <w:rsid w:val="009855AD"/>
    <w:rsid w:val="009855B0"/>
    <w:rsid w:val="00985733"/>
    <w:rsid w:val="0098579A"/>
    <w:rsid w:val="00985A05"/>
    <w:rsid w:val="00985AE0"/>
    <w:rsid w:val="00985D5F"/>
    <w:rsid w:val="00985D9C"/>
    <w:rsid w:val="00985E5A"/>
    <w:rsid w:val="00985EC0"/>
    <w:rsid w:val="00985F33"/>
    <w:rsid w:val="00986052"/>
    <w:rsid w:val="00986276"/>
    <w:rsid w:val="00986359"/>
    <w:rsid w:val="00986441"/>
    <w:rsid w:val="0098649B"/>
    <w:rsid w:val="009865C7"/>
    <w:rsid w:val="009865D8"/>
    <w:rsid w:val="009866A9"/>
    <w:rsid w:val="0098670A"/>
    <w:rsid w:val="009867BA"/>
    <w:rsid w:val="00986830"/>
    <w:rsid w:val="009868B4"/>
    <w:rsid w:val="009868E4"/>
    <w:rsid w:val="00986AFB"/>
    <w:rsid w:val="00986B92"/>
    <w:rsid w:val="00986C67"/>
    <w:rsid w:val="00986D5B"/>
    <w:rsid w:val="00986D6F"/>
    <w:rsid w:val="00986D92"/>
    <w:rsid w:val="00986DC0"/>
    <w:rsid w:val="00986E11"/>
    <w:rsid w:val="00986E53"/>
    <w:rsid w:val="00986F0C"/>
    <w:rsid w:val="00986F14"/>
    <w:rsid w:val="00986FD3"/>
    <w:rsid w:val="00987038"/>
    <w:rsid w:val="0098708D"/>
    <w:rsid w:val="00987186"/>
    <w:rsid w:val="009871DD"/>
    <w:rsid w:val="00987398"/>
    <w:rsid w:val="00987421"/>
    <w:rsid w:val="00987445"/>
    <w:rsid w:val="00987480"/>
    <w:rsid w:val="00987489"/>
    <w:rsid w:val="00987493"/>
    <w:rsid w:val="009874FB"/>
    <w:rsid w:val="0098753B"/>
    <w:rsid w:val="009875AA"/>
    <w:rsid w:val="009876BC"/>
    <w:rsid w:val="009877E2"/>
    <w:rsid w:val="0098790B"/>
    <w:rsid w:val="00987AE2"/>
    <w:rsid w:val="00987C1F"/>
    <w:rsid w:val="00987DA5"/>
    <w:rsid w:val="00987E93"/>
    <w:rsid w:val="00987EE7"/>
    <w:rsid w:val="00987EF1"/>
    <w:rsid w:val="00987F07"/>
    <w:rsid w:val="00987F6B"/>
    <w:rsid w:val="009901F7"/>
    <w:rsid w:val="00990258"/>
    <w:rsid w:val="009902F0"/>
    <w:rsid w:val="00990323"/>
    <w:rsid w:val="00990402"/>
    <w:rsid w:val="009904B2"/>
    <w:rsid w:val="009905C6"/>
    <w:rsid w:val="009905C9"/>
    <w:rsid w:val="009905CF"/>
    <w:rsid w:val="009905FC"/>
    <w:rsid w:val="00990634"/>
    <w:rsid w:val="00990793"/>
    <w:rsid w:val="009907F1"/>
    <w:rsid w:val="00990885"/>
    <w:rsid w:val="009908AB"/>
    <w:rsid w:val="009908F0"/>
    <w:rsid w:val="0099093C"/>
    <w:rsid w:val="00990C1B"/>
    <w:rsid w:val="00990D94"/>
    <w:rsid w:val="00990DCD"/>
    <w:rsid w:val="00990DE8"/>
    <w:rsid w:val="00990E84"/>
    <w:rsid w:val="00991003"/>
    <w:rsid w:val="00991010"/>
    <w:rsid w:val="0099109D"/>
    <w:rsid w:val="00991196"/>
    <w:rsid w:val="0099129E"/>
    <w:rsid w:val="009912B5"/>
    <w:rsid w:val="00991421"/>
    <w:rsid w:val="00991501"/>
    <w:rsid w:val="009915C3"/>
    <w:rsid w:val="009915CF"/>
    <w:rsid w:val="009916F1"/>
    <w:rsid w:val="0099171C"/>
    <w:rsid w:val="00991785"/>
    <w:rsid w:val="009917AE"/>
    <w:rsid w:val="009918FD"/>
    <w:rsid w:val="00991912"/>
    <w:rsid w:val="0099199D"/>
    <w:rsid w:val="00991A5C"/>
    <w:rsid w:val="00991A70"/>
    <w:rsid w:val="00991ABB"/>
    <w:rsid w:val="00991AEC"/>
    <w:rsid w:val="00991BAA"/>
    <w:rsid w:val="00991BC9"/>
    <w:rsid w:val="00991D26"/>
    <w:rsid w:val="00991D96"/>
    <w:rsid w:val="00991F9C"/>
    <w:rsid w:val="0099202D"/>
    <w:rsid w:val="00992042"/>
    <w:rsid w:val="00992162"/>
    <w:rsid w:val="0099216F"/>
    <w:rsid w:val="009921FD"/>
    <w:rsid w:val="00992239"/>
    <w:rsid w:val="009924C3"/>
    <w:rsid w:val="009924D6"/>
    <w:rsid w:val="00992543"/>
    <w:rsid w:val="00992833"/>
    <w:rsid w:val="009928D6"/>
    <w:rsid w:val="0099290D"/>
    <w:rsid w:val="00992980"/>
    <w:rsid w:val="00992998"/>
    <w:rsid w:val="00992A5E"/>
    <w:rsid w:val="00992B5B"/>
    <w:rsid w:val="00992BB4"/>
    <w:rsid w:val="00992BC5"/>
    <w:rsid w:val="00992CB9"/>
    <w:rsid w:val="00992D96"/>
    <w:rsid w:val="00992DF9"/>
    <w:rsid w:val="00992E50"/>
    <w:rsid w:val="00992FBB"/>
    <w:rsid w:val="00993102"/>
    <w:rsid w:val="00993121"/>
    <w:rsid w:val="009931B9"/>
    <w:rsid w:val="009931C2"/>
    <w:rsid w:val="009932B4"/>
    <w:rsid w:val="00993367"/>
    <w:rsid w:val="009933B8"/>
    <w:rsid w:val="00993446"/>
    <w:rsid w:val="00993474"/>
    <w:rsid w:val="0099355B"/>
    <w:rsid w:val="0099357D"/>
    <w:rsid w:val="00993588"/>
    <w:rsid w:val="0099376E"/>
    <w:rsid w:val="00993770"/>
    <w:rsid w:val="00993814"/>
    <w:rsid w:val="009938E7"/>
    <w:rsid w:val="009939D5"/>
    <w:rsid w:val="00993AC3"/>
    <w:rsid w:val="00993C73"/>
    <w:rsid w:val="00993CE0"/>
    <w:rsid w:val="00993DC5"/>
    <w:rsid w:val="00993FA6"/>
    <w:rsid w:val="0099406C"/>
    <w:rsid w:val="0099407B"/>
    <w:rsid w:val="00994364"/>
    <w:rsid w:val="009943D8"/>
    <w:rsid w:val="009944D8"/>
    <w:rsid w:val="009946A2"/>
    <w:rsid w:val="009948EE"/>
    <w:rsid w:val="0099492A"/>
    <w:rsid w:val="00994A87"/>
    <w:rsid w:val="00994B0D"/>
    <w:rsid w:val="00994CD0"/>
    <w:rsid w:val="00994D44"/>
    <w:rsid w:val="00994E01"/>
    <w:rsid w:val="00994E4B"/>
    <w:rsid w:val="00994EC3"/>
    <w:rsid w:val="00994F53"/>
    <w:rsid w:val="00994FB1"/>
    <w:rsid w:val="00995015"/>
    <w:rsid w:val="0099518D"/>
    <w:rsid w:val="00995258"/>
    <w:rsid w:val="009952B1"/>
    <w:rsid w:val="009952CE"/>
    <w:rsid w:val="009953DB"/>
    <w:rsid w:val="009954DF"/>
    <w:rsid w:val="009954E7"/>
    <w:rsid w:val="00995540"/>
    <w:rsid w:val="00995547"/>
    <w:rsid w:val="009955DA"/>
    <w:rsid w:val="00995683"/>
    <w:rsid w:val="00995705"/>
    <w:rsid w:val="0099575F"/>
    <w:rsid w:val="00995865"/>
    <w:rsid w:val="0099587A"/>
    <w:rsid w:val="009958D9"/>
    <w:rsid w:val="009958E2"/>
    <w:rsid w:val="00995984"/>
    <w:rsid w:val="00995B5D"/>
    <w:rsid w:val="00995BCE"/>
    <w:rsid w:val="00995CA1"/>
    <w:rsid w:val="00995D9A"/>
    <w:rsid w:val="00995E04"/>
    <w:rsid w:val="00995FCF"/>
    <w:rsid w:val="009960D4"/>
    <w:rsid w:val="0099613F"/>
    <w:rsid w:val="00996190"/>
    <w:rsid w:val="009962CC"/>
    <w:rsid w:val="009964A2"/>
    <w:rsid w:val="0099651A"/>
    <w:rsid w:val="009965C8"/>
    <w:rsid w:val="009966DE"/>
    <w:rsid w:val="00996742"/>
    <w:rsid w:val="00996788"/>
    <w:rsid w:val="00996861"/>
    <w:rsid w:val="009968D0"/>
    <w:rsid w:val="00996A03"/>
    <w:rsid w:val="00996AD5"/>
    <w:rsid w:val="00996BAC"/>
    <w:rsid w:val="00996E56"/>
    <w:rsid w:val="009970EE"/>
    <w:rsid w:val="009970F0"/>
    <w:rsid w:val="00997126"/>
    <w:rsid w:val="00997170"/>
    <w:rsid w:val="00997283"/>
    <w:rsid w:val="0099729D"/>
    <w:rsid w:val="009973F7"/>
    <w:rsid w:val="00997484"/>
    <w:rsid w:val="009974F3"/>
    <w:rsid w:val="00997547"/>
    <w:rsid w:val="00997603"/>
    <w:rsid w:val="0099760C"/>
    <w:rsid w:val="0099769C"/>
    <w:rsid w:val="009976CF"/>
    <w:rsid w:val="009976DF"/>
    <w:rsid w:val="00997706"/>
    <w:rsid w:val="009977AB"/>
    <w:rsid w:val="0099780F"/>
    <w:rsid w:val="00997A3A"/>
    <w:rsid w:val="00997A75"/>
    <w:rsid w:val="00997AB4"/>
    <w:rsid w:val="00997DA4"/>
    <w:rsid w:val="00997E93"/>
    <w:rsid w:val="00997EF1"/>
    <w:rsid w:val="009A0012"/>
    <w:rsid w:val="009A0047"/>
    <w:rsid w:val="009A0057"/>
    <w:rsid w:val="009A0061"/>
    <w:rsid w:val="009A00DA"/>
    <w:rsid w:val="009A0112"/>
    <w:rsid w:val="009A0236"/>
    <w:rsid w:val="009A03F1"/>
    <w:rsid w:val="009A0484"/>
    <w:rsid w:val="009A04B9"/>
    <w:rsid w:val="009A05EA"/>
    <w:rsid w:val="009A05F3"/>
    <w:rsid w:val="009A05F5"/>
    <w:rsid w:val="009A0634"/>
    <w:rsid w:val="009A08DA"/>
    <w:rsid w:val="009A0B66"/>
    <w:rsid w:val="009A0C50"/>
    <w:rsid w:val="009A0D39"/>
    <w:rsid w:val="009A0D89"/>
    <w:rsid w:val="009A0E47"/>
    <w:rsid w:val="009A0E52"/>
    <w:rsid w:val="009A0FA6"/>
    <w:rsid w:val="009A1056"/>
    <w:rsid w:val="009A107C"/>
    <w:rsid w:val="009A11E7"/>
    <w:rsid w:val="009A11F2"/>
    <w:rsid w:val="009A1288"/>
    <w:rsid w:val="009A12DD"/>
    <w:rsid w:val="009A1436"/>
    <w:rsid w:val="009A156C"/>
    <w:rsid w:val="009A15C1"/>
    <w:rsid w:val="009A166E"/>
    <w:rsid w:val="009A17AD"/>
    <w:rsid w:val="009A17E8"/>
    <w:rsid w:val="009A17F6"/>
    <w:rsid w:val="009A185D"/>
    <w:rsid w:val="009A188E"/>
    <w:rsid w:val="009A1B01"/>
    <w:rsid w:val="009A1B60"/>
    <w:rsid w:val="009A1D21"/>
    <w:rsid w:val="009A1E2F"/>
    <w:rsid w:val="009A1F92"/>
    <w:rsid w:val="009A1FC3"/>
    <w:rsid w:val="009A2005"/>
    <w:rsid w:val="009A20B2"/>
    <w:rsid w:val="009A2126"/>
    <w:rsid w:val="009A228F"/>
    <w:rsid w:val="009A229B"/>
    <w:rsid w:val="009A22A3"/>
    <w:rsid w:val="009A22D4"/>
    <w:rsid w:val="009A23B0"/>
    <w:rsid w:val="009A23C3"/>
    <w:rsid w:val="009A23EE"/>
    <w:rsid w:val="009A24BA"/>
    <w:rsid w:val="009A24D7"/>
    <w:rsid w:val="009A24E4"/>
    <w:rsid w:val="009A25A0"/>
    <w:rsid w:val="009A268F"/>
    <w:rsid w:val="009A26E3"/>
    <w:rsid w:val="009A2817"/>
    <w:rsid w:val="009A281F"/>
    <w:rsid w:val="009A28CA"/>
    <w:rsid w:val="009A2968"/>
    <w:rsid w:val="009A2A3F"/>
    <w:rsid w:val="009A2BA7"/>
    <w:rsid w:val="009A2D2C"/>
    <w:rsid w:val="009A2DC1"/>
    <w:rsid w:val="009A2E5B"/>
    <w:rsid w:val="009A2F05"/>
    <w:rsid w:val="009A2F3F"/>
    <w:rsid w:val="009A2FE9"/>
    <w:rsid w:val="009A2FF4"/>
    <w:rsid w:val="009A3264"/>
    <w:rsid w:val="009A32AF"/>
    <w:rsid w:val="009A331D"/>
    <w:rsid w:val="009A3363"/>
    <w:rsid w:val="009A3427"/>
    <w:rsid w:val="009A3434"/>
    <w:rsid w:val="009A3510"/>
    <w:rsid w:val="009A35A3"/>
    <w:rsid w:val="009A35E4"/>
    <w:rsid w:val="009A35EA"/>
    <w:rsid w:val="009A3824"/>
    <w:rsid w:val="009A3896"/>
    <w:rsid w:val="009A3A77"/>
    <w:rsid w:val="009A3AC8"/>
    <w:rsid w:val="009A3AE9"/>
    <w:rsid w:val="009A3C48"/>
    <w:rsid w:val="009A3C7F"/>
    <w:rsid w:val="009A3D1B"/>
    <w:rsid w:val="009A3D37"/>
    <w:rsid w:val="009A3DB9"/>
    <w:rsid w:val="009A3DC0"/>
    <w:rsid w:val="009A3DFA"/>
    <w:rsid w:val="009A3EC0"/>
    <w:rsid w:val="009A4092"/>
    <w:rsid w:val="009A40EB"/>
    <w:rsid w:val="009A414A"/>
    <w:rsid w:val="009A4281"/>
    <w:rsid w:val="009A431E"/>
    <w:rsid w:val="009A44EF"/>
    <w:rsid w:val="009A452F"/>
    <w:rsid w:val="009A45C9"/>
    <w:rsid w:val="009A45D7"/>
    <w:rsid w:val="009A4706"/>
    <w:rsid w:val="009A48EE"/>
    <w:rsid w:val="009A4904"/>
    <w:rsid w:val="009A4935"/>
    <w:rsid w:val="009A4988"/>
    <w:rsid w:val="009A49B9"/>
    <w:rsid w:val="009A4B44"/>
    <w:rsid w:val="009A4C44"/>
    <w:rsid w:val="009A4C84"/>
    <w:rsid w:val="009A4C9C"/>
    <w:rsid w:val="009A4CC7"/>
    <w:rsid w:val="009A4CE6"/>
    <w:rsid w:val="009A4D05"/>
    <w:rsid w:val="009A4E33"/>
    <w:rsid w:val="009A4EF4"/>
    <w:rsid w:val="009A52BB"/>
    <w:rsid w:val="009A5307"/>
    <w:rsid w:val="009A53B9"/>
    <w:rsid w:val="009A53BB"/>
    <w:rsid w:val="009A53DB"/>
    <w:rsid w:val="009A5410"/>
    <w:rsid w:val="009A549E"/>
    <w:rsid w:val="009A5528"/>
    <w:rsid w:val="009A593E"/>
    <w:rsid w:val="009A5B70"/>
    <w:rsid w:val="009A5C38"/>
    <w:rsid w:val="009A5CA3"/>
    <w:rsid w:val="009A5F4A"/>
    <w:rsid w:val="009A5FC9"/>
    <w:rsid w:val="009A607B"/>
    <w:rsid w:val="009A60E3"/>
    <w:rsid w:val="009A6133"/>
    <w:rsid w:val="009A613E"/>
    <w:rsid w:val="009A62B8"/>
    <w:rsid w:val="009A62DE"/>
    <w:rsid w:val="009A6467"/>
    <w:rsid w:val="009A64E1"/>
    <w:rsid w:val="009A6526"/>
    <w:rsid w:val="009A6591"/>
    <w:rsid w:val="009A65AA"/>
    <w:rsid w:val="009A6701"/>
    <w:rsid w:val="009A67E5"/>
    <w:rsid w:val="009A687C"/>
    <w:rsid w:val="009A68F6"/>
    <w:rsid w:val="009A695E"/>
    <w:rsid w:val="009A6BB6"/>
    <w:rsid w:val="009A6C53"/>
    <w:rsid w:val="009A6C5D"/>
    <w:rsid w:val="009A6D87"/>
    <w:rsid w:val="009A6DFA"/>
    <w:rsid w:val="009A6EB1"/>
    <w:rsid w:val="009A6FF5"/>
    <w:rsid w:val="009A7493"/>
    <w:rsid w:val="009A75D5"/>
    <w:rsid w:val="009A7631"/>
    <w:rsid w:val="009A76BA"/>
    <w:rsid w:val="009A7845"/>
    <w:rsid w:val="009A7867"/>
    <w:rsid w:val="009A7872"/>
    <w:rsid w:val="009A791A"/>
    <w:rsid w:val="009A7A77"/>
    <w:rsid w:val="009A7B38"/>
    <w:rsid w:val="009A7C21"/>
    <w:rsid w:val="009A7D2F"/>
    <w:rsid w:val="009A7E21"/>
    <w:rsid w:val="009A7EC6"/>
    <w:rsid w:val="009A7FE2"/>
    <w:rsid w:val="009B0024"/>
    <w:rsid w:val="009B0060"/>
    <w:rsid w:val="009B0117"/>
    <w:rsid w:val="009B017C"/>
    <w:rsid w:val="009B019A"/>
    <w:rsid w:val="009B01CE"/>
    <w:rsid w:val="009B01EF"/>
    <w:rsid w:val="009B0347"/>
    <w:rsid w:val="009B0374"/>
    <w:rsid w:val="009B03C1"/>
    <w:rsid w:val="009B03EF"/>
    <w:rsid w:val="009B0415"/>
    <w:rsid w:val="009B041D"/>
    <w:rsid w:val="009B0592"/>
    <w:rsid w:val="009B05B4"/>
    <w:rsid w:val="009B0669"/>
    <w:rsid w:val="009B0773"/>
    <w:rsid w:val="009B07D0"/>
    <w:rsid w:val="009B0899"/>
    <w:rsid w:val="009B0AA3"/>
    <w:rsid w:val="009B0AB3"/>
    <w:rsid w:val="009B0C9F"/>
    <w:rsid w:val="009B0D04"/>
    <w:rsid w:val="009B0D7F"/>
    <w:rsid w:val="009B0DA4"/>
    <w:rsid w:val="009B11A2"/>
    <w:rsid w:val="009B11EB"/>
    <w:rsid w:val="009B1360"/>
    <w:rsid w:val="009B13A0"/>
    <w:rsid w:val="009B14AD"/>
    <w:rsid w:val="009B14E5"/>
    <w:rsid w:val="009B1570"/>
    <w:rsid w:val="009B1587"/>
    <w:rsid w:val="009B16C4"/>
    <w:rsid w:val="009B1857"/>
    <w:rsid w:val="009B198B"/>
    <w:rsid w:val="009B19D6"/>
    <w:rsid w:val="009B19FC"/>
    <w:rsid w:val="009B1A14"/>
    <w:rsid w:val="009B1BA4"/>
    <w:rsid w:val="009B1BCB"/>
    <w:rsid w:val="009B1C7C"/>
    <w:rsid w:val="009B1CCE"/>
    <w:rsid w:val="009B1D4B"/>
    <w:rsid w:val="009B1EEA"/>
    <w:rsid w:val="009B1F89"/>
    <w:rsid w:val="009B2135"/>
    <w:rsid w:val="009B22A7"/>
    <w:rsid w:val="009B2320"/>
    <w:rsid w:val="009B2455"/>
    <w:rsid w:val="009B259F"/>
    <w:rsid w:val="009B26CE"/>
    <w:rsid w:val="009B26E5"/>
    <w:rsid w:val="009B2704"/>
    <w:rsid w:val="009B2751"/>
    <w:rsid w:val="009B2816"/>
    <w:rsid w:val="009B29B5"/>
    <w:rsid w:val="009B2B31"/>
    <w:rsid w:val="009B2C3E"/>
    <w:rsid w:val="009B2D42"/>
    <w:rsid w:val="009B2EE8"/>
    <w:rsid w:val="009B2F0F"/>
    <w:rsid w:val="009B2F4E"/>
    <w:rsid w:val="009B300D"/>
    <w:rsid w:val="009B3055"/>
    <w:rsid w:val="009B3120"/>
    <w:rsid w:val="009B32BA"/>
    <w:rsid w:val="009B33BD"/>
    <w:rsid w:val="009B34CA"/>
    <w:rsid w:val="009B3818"/>
    <w:rsid w:val="009B3825"/>
    <w:rsid w:val="009B388C"/>
    <w:rsid w:val="009B3B8A"/>
    <w:rsid w:val="009B3B9B"/>
    <w:rsid w:val="009B3CA7"/>
    <w:rsid w:val="009B3EBA"/>
    <w:rsid w:val="009B40DF"/>
    <w:rsid w:val="009B414C"/>
    <w:rsid w:val="009B4221"/>
    <w:rsid w:val="009B43C4"/>
    <w:rsid w:val="009B43F4"/>
    <w:rsid w:val="009B4401"/>
    <w:rsid w:val="009B4412"/>
    <w:rsid w:val="009B4525"/>
    <w:rsid w:val="009B4707"/>
    <w:rsid w:val="009B47AF"/>
    <w:rsid w:val="009B483E"/>
    <w:rsid w:val="009B492F"/>
    <w:rsid w:val="009B4983"/>
    <w:rsid w:val="009B498E"/>
    <w:rsid w:val="009B49B6"/>
    <w:rsid w:val="009B49F0"/>
    <w:rsid w:val="009B4A92"/>
    <w:rsid w:val="009B4C45"/>
    <w:rsid w:val="009B4DC3"/>
    <w:rsid w:val="009B4E5E"/>
    <w:rsid w:val="009B4E91"/>
    <w:rsid w:val="009B4E9B"/>
    <w:rsid w:val="009B4ED3"/>
    <w:rsid w:val="009B4F9A"/>
    <w:rsid w:val="009B50DD"/>
    <w:rsid w:val="009B5168"/>
    <w:rsid w:val="009B51AC"/>
    <w:rsid w:val="009B5287"/>
    <w:rsid w:val="009B52E4"/>
    <w:rsid w:val="009B5349"/>
    <w:rsid w:val="009B53AA"/>
    <w:rsid w:val="009B5583"/>
    <w:rsid w:val="009B55D4"/>
    <w:rsid w:val="009B5649"/>
    <w:rsid w:val="009B567B"/>
    <w:rsid w:val="009B56EB"/>
    <w:rsid w:val="009B5783"/>
    <w:rsid w:val="009B57DA"/>
    <w:rsid w:val="009B5812"/>
    <w:rsid w:val="009B5826"/>
    <w:rsid w:val="009B593B"/>
    <w:rsid w:val="009B5958"/>
    <w:rsid w:val="009B5967"/>
    <w:rsid w:val="009B59A2"/>
    <w:rsid w:val="009B59A7"/>
    <w:rsid w:val="009B5A3D"/>
    <w:rsid w:val="009B5AD6"/>
    <w:rsid w:val="009B5B2B"/>
    <w:rsid w:val="009B5C4E"/>
    <w:rsid w:val="009B5D9E"/>
    <w:rsid w:val="009B5E11"/>
    <w:rsid w:val="009B5E7D"/>
    <w:rsid w:val="009B5EAD"/>
    <w:rsid w:val="009B5EC8"/>
    <w:rsid w:val="009B5EE7"/>
    <w:rsid w:val="009B5EFC"/>
    <w:rsid w:val="009B5F18"/>
    <w:rsid w:val="009B5F62"/>
    <w:rsid w:val="009B5FA6"/>
    <w:rsid w:val="009B601C"/>
    <w:rsid w:val="009B6440"/>
    <w:rsid w:val="009B64DA"/>
    <w:rsid w:val="009B660A"/>
    <w:rsid w:val="009B668A"/>
    <w:rsid w:val="009B6729"/>
    <w:rsid w:val="009B68F8"/>
    <w:rsid w:val="009B6903"/>
    <w:rsid w:val="009B6916"/>
    <w:rsid w:val="009B6953"/>
    <w:rsid w:val="009B695D"/>
    <w:rsid w:val="009B6993"/>
    <w:rsid w:val="009B6A1E"/>
    <w:rsid w:val="009B6A3F"/>
    <w:rsid w:val="009B6AC3"/>
    <w:rsid w:val="009B6AFE"/>
    <w:rsid w:val="009B6C77"/>
    <w:rsid w:val="009B6DFB"/>
    <w:rsid w:val="009B6E56"/>
    <w:rsid w:val="009B6F2A"/>
    <w:rsid w:val="009B6F3D"/>
    <w:rsid w:val="009B6F41"/>
    <w:rsid w:val="009B6F52"/>
    <w:rsid w:val="009B6FF1"/>
    <w:rsid w:val="009B7098"/>
    <w:rsid w:val="009B7100"/>
    <w:rsid w:val="009B7126"/>
    <w:rsid w:val="009B713C"/>
    <w:rsid w:val="009B7171"/>
    <w:rsid w:val="009B7336"/>
    <w:rsid w:val="009B738D"/>
    <w:rsid w:val="009B73FE"/>
    <w:rsid w:val="009B74F9"/>
    <w:rsid w:val="009B758E"/>
    <w:rsid w:val="009B766C"/>
    <w:rsid w:val="009B77A4"/>
    <w:rsid w:val="009B77B7"/>
    <w:rsid w:val="009B78EE"/>
    <w:rsid w:val="009B792F"/>
    <w:rsid w:val="009B79D2"/>
    <w:rsid w:val="009B7B0B"/>
    <w:rsid w:val="009B7B1C"/>
    <w:rsid w:val="009B7E2F"/>
    <w:rsid w:val="009B7E7B"/>
    <w:rsid w:val="009B7EE3"/>
    <w:rsid w:val="009C00F5"/>
    <w:rsid w:val="009C01DB"/>
    <w:rsid w:val="009C032D"/>
    <w:rsid w:val="009C041C"/>
    <w:rsid w:val="009C04C9"/>
    <w:rsid w:val="009C0665"/>
    <w:rsid w:val="009C07C5"/>
    <w:rsid w:val="009C07FA"/>
    <w:rsid w:val="009C087A"/>
    <w:rsid w:val="009C08D7"/>
    <w:rsid w:val="009C09E3"/>
    <w:rsid w:val="009C0A96"/>
    <w:rsid w:val="009C0ABB"/>
    <w:rsid w:val="009C0CBA"/>
    <w:rsid w:val="009C0D1D"/>
    <w:rsid w:val="009C0D45"/>
    <w:rsid w:val="009C0DA7"/>
    <w:rsid w:val="009C0FAB"/>
    <w:rsid w:val="009C1088"/>
    <w:rsid w:val="009C1202"/>
    <w:rsid w:val="009C1219"/>
    <w:rsid w:val="009C14AD"/>
    <w:rsid w:val="009C14CA"/>
    <w:rsid w:val="009C1766"/>
    <w:rsid w:val="009C186A"/>
    <w:rsid w:val="009C1875"/>
    <w:rsid w:val="009C1978"/>
    <w:rsid w:val="009C1ADB"/>
    <w:rsid w:val="009C1B24"/>
    <w:rsid w:val="009C1C9D"/>
    <w:rsid w:val="009C1D30"/>
    <w:rsid w:val="009C1D9E"/>
    <w:rsid w:val="009C1F3A"/>
    <w:rsid w:val="009C1F8A"/>
    <w:rsid w:val="009C2031"/>
    <w:rsid w:val="009C20C4"/>
    <w:rsid w:val="009C23BD"/>
    <w:rsid w:val="009C2456"/>
    <w:rsid w:val="009C246B"/>
    <w:rsid w:val="009C24B5"/>
    <w:rsid w:val="009C253B"/>
    <w:rsid w:val="009C25F2"/>
    <w:rsid w:val="009C262E"/>
    <w:rsid w:val="009C268F"/>
    <w:rsid w:val="009C275D"/>
    <w:rsid w:val="009C27C6"/>
    <w:rsid w:val="009C2835"/>
    <w:rsid w:val="009C2851"/>
    <w:rsid w:val="009C2873"/>
    <w:rsid w:val="009C292C"/>
    <w:rsid w:val="009C2987"/>
    <w:rsid w:val="009C29EA"/>
    <w:rsid w:val="009C2D52"/>
    <w:rsid w:val="009C2FA5"/>
    <w:rsid w:val="009C3051"/>
    <w:rsid w:val="009C3457"/>
    <w:rsid w:val="009C3475"/>
    <w:rsid w:val="009C34ED"/>
    <w:rsid w:val="009C356E"/>
    <w:rsid w:val="009C36A3"/>
    <w:rsid w:val="009C37CF"/>
    <w:rsid w:val="009C39A6"/>
    <w:rsid w:val="009C3A4E"/>
    <w:rsid w:val="009C3ADC"/>
    <w:rsid w:val="009C3BB2"/>
    <w:rsid w:val="009C3BF2"/>
    <w:rsid w:val="009C3C13"/>
    <w:rsid w:val="009C3C9D"/>
    <w:rsid w:val="009C3EC2"/>
    <w:rsid w:val="009C4242"/>
    <w:rsid w:val="009C42AD"/>
    <w:rsid w:val="009C4304"/>
    <w:rsid w:val="009C4462"/>
    <w:rsid w:val="009C4475"/>
    <w:rsid w:val="009C44BC"/>
    <w:rsid w:val="009C44DC"/>
    <w:rsid w:val="009C4512"/>
    <w:rsid w:val="009C457F"/>
    <w:rsid w:val="009C4751"/>
    <w:rsid w:val="009C47D8"/>
    <w:rsid w:val="009C481E"/>
    <w:rsid w:val="009C4870"/>
    <w:rsid w:val="009C49FF"/>
    <w:rsid w:val="009C4A05"/>
    <w:rsid w:val="009C4A1A"/>
    <w:rsid w:val="009C4B65"/>
    <w:rsid w:val="009C4BB3"/>
    <w:rsid w:val="009C4C8A"/>
    <w:rsid w:val="009C4CF0"/>
    <w:rsid w:val="009C4CFA"/>
    <w:rsid w:val="009C4D22"/>
    <w:rsid w:val="009C4D91"/>
    <w:rsid w:val="009C4DDA"/>
    <w:rsid w:val="009C4E2D"/>
    <w:rsid w:val="009C5026"/>
    <w:rsid w:val="009C502C"/>
    <w:rsid w:val="009C50BB"/>
    <w:rsid w:val="009C50BF"/>
    <w:rsid w:val="009C516E"/>
    <w:rsid w:val="009C51ED"/>
    <w:rsid w:val="009C5212"/>
    <w:rsid w:val="009C567C"/>
    <w:rsid w:val="009C574B"/>
    <w:rsid w:val="009C578F"/>
    <w:rsid w:val="009C57C0"/>
    <w:rsid w:val="009C57F5"/>
    <w:rsid w:val="009C57F6"/>
    <w:rsid w:val="009C5873"/>
    <w:rsid w:val="009C58C9"/>
    <w:rsid w:val="009C590F"/>
    <w:rsid w:val="009C5A30"/>
    <w:rsid w:val="009C5B05"/>
    <w:rsid w:val="009C5BD4"/>
    <w:rsid w:val="009C5CE1"/>
    <w:rsid w:val="009C5D0A"/>
    <w:rsid w:val="009C5D3D"/>
    <w:rsid w:val="009C5E41"/>
    <w:rsid w:val="009C5F7A"/>
    <w:rsid w:val="009C5FCA"/>
    <w:rsid w:val="009C60C6"/>
    <w:rsid w:val="009C612A"/>
    <w:rsid w:val="009C6397"/>
    <w:rsid w:val="009C63F3"/>
    <w:rsid w:val="009C6405"/>
    <w:rsid w:val="009C6411"/>
    <w:rsid w:val="009C6430"/>
    <w:rsid w:val="009C6510"/>
    <w:rsid w:val="009C6559"/>
    <w:rsid w:val="009C65C3"/>
    <w:rsid w:val="009C67CA"/>
    <w:rsid w:val="009C67CB"/>
    <w:rsid w:val="009C67D8"/>
    <w:rsid w:val="009C68AC"/>
    <w:rsid w:val="009C68BB"/>
    <w:rsid w:val="009C6920"/>
    <w:rsid w:val="009C69CB"/>
    <w:rsid w:val="009C6AF2"/>
    <w:rsid w:val="009C6C4F"/>
    <w:rsid w:val="009C6D8C"/>
    <w:rsid w:val="009C6EC6"/>
    <w:rsid w:val="009C6F10"/>
    <w:rsid w:val="009C705E"/>
    <w:rsid w:val="009C7155"/>
    <w:rsid w:val="009C71EF"/>
    <w:rsid w:val="009C720B"/>
    <w:rsid w:val="009C72E7"/>
    <w:rsid w:val="009C737E"/>
    <w:rsid w:val="009C7445"/>
    <w:rsid w:val="009C749B"/>
    <w:rsid w:val="009C7526"/>
    <w:rsid w:val="009C7592"/>
    <w:rsid w:val="009C76E0"/>
    <w:rsid w:val="009C76E6"/>
    <w:rsid w:val="009C778E"/>
    <w:rsid w:val="009C77E7"/>
    <w:rsid w:val="009C780D"/>
    <w:rsid w:val="009C78A1"/>
    <w:rsid w:val="009C78B9"/>
    <w:rsid w:val="009C7909"/>
    <w:rsid w:val="009C7915"/>
    <w:rsid w:val="009C7919"/>
    <w:rsid w:val="009C7C59"/>
    <w:rsid w:val="009C7DE8"/>
    <w:rsid w:val="009C7E47"/>
    <w:rsid w:val="009C7EB3"/>
    <w:rsid w:val="009C7F56"/>
    <w:rsid w:val="009C7FDC"/>
    <w:rsid w:val="009D003C"/>
    <w:rsid w:val="009D00A6"/>
    <w:rsid w:val="009D01AA"/>
    <w:rsid w:val="009D022A"/>
    <w:rsid w:val="009D032B"/>
    <w:rsid w:val="009D034A"/>
    <w:rsid w:val="009D043D"/>
    <w:rsid w:val="009D072E"/>
    <w:rsid w:val="009D076F"/>
    <w:rsid w:val="009D07AD"/>
    <w:rsid w:val="009D0811"/>
    <w:rsid w:val="009D082F"/>
    <w:rsid w:val="009D0A1B"/>
    <w:rsid w:val="009D0A6F"/>
    <w:rsid w:val="009D0AA4"/>
    <w:rsid w:val="009D0B3D"/>
    <w:rsid w:val="009D0C5D"/>
    <w:rsid w:val="009D0C8F"/>
    <w:rsid w:val="009D0CA8"/>
    <w:rsid w:val="009D0E3E"/>
    <w:rsid w:val="009D0F30"/>
    <w:rsid w:val="009D0FA8"/>
    <w:rsid w:val="009D1157"/>
    <w:rsid w:val="009D1171"/>
    <w:rsid w:val="009D138E"/>
    <w:rsid w:val="009D13EA"/>
    <w:rsid w:val="009D148F"/>
    <w:rsid w:val="009D14B6"/>
    <w:rsid w:val="009D1722"/>
    <w:rsid w:val="009D1728"/>
    <w:rsid w:val="009D1825"/>
    <w:rsid w:val="009D18DB"/>
    <w:rsid w:val="009D18EC"/>
    <w:rsid w:val="009D190B"/>
    <w:rsid w:val="009D194E"/>
    <w:rsid w:val="009D1967"/>
    <w:rsid w:val="009D19CC"/>
    <w:rsid w:val="009D1AEE"/>
    <w:rsid w:val="009D1B31"/>
    <w:rsid w:val="009D1C71"/>
    <w:rsid w:val="009D1D1E"/>
    <w:rsid w:val="009D1DE6"/>
    <w:rsid w:val="009D206D"/>
    <w:rsid w:val="009D2153"/>
    <w:rsid w:val="009D215A"/>
    <w:rsid w:val="009D22D4"/>
    <w:rsid w:val="009D242D"/>
    <w:rsid w:val="009D24B7"/>
    <w:rsid w:val="009D2528"/>
    <w:rsid w:val="009D260D"/>
    <w:rsid w:val="009D2672"/>
    <w:rsid w:val="009D27F1"/>
    <w:rsid w:val="009D297C"/>
    <w:rsid w:val="009D29A5"/>
    <w:rsid w:val="009D2A96"/>
    <w:rsid w:val="009D2BC4"/>
    <w:rsid w:val="009D2C42"/>
    <w:rsid w:val="009D2CC5"/>
    <w:rsid w:val="009D2D81"/>
    <w:rsid w:val="009D2DFA"/>
    <w:rsid w:val="009D2EAF"/>
    <w:rsid w:val="009D2F91"/>
    <w:rsid w:val="009D3027"/>
    <w:rsid w:val="009D307C"/>
    <w:rsid w:val="009D31B6"/>
    <w:rsid w:val="009D3297"/>
    <w:rsid w:val="009D341B"/>
    <w:rsid w:val="009D35F1"/>
    <w:rsid w:val="009D3601"/>
    <w:rsid w:val="009D3620"/>
    <w:rsid w:val="009D36DD"/>
    <w:rsid w:val="009D3715"/>
    <w:rsid w:val="009D373F"/>
    <w:rsid w:val="009D3828"/>
    <w:rsid w:val="009D384C"/>
    <w:rsid w:val="009D389B"/>
    <w:rsid w:val="009D394C"/>
    <w:rsid w:val="009D39E3"/>
    <w:rsid w:val="009D3A10"/>
    <w:rsid w:val="009D3C15"/>
    <w:rsid w:val="009D3C6B"/>
    <w:rsid w:val="009D3CAA"/>
    <w:rsid w:val="009D3D70"/>
    <w:rsid w:val="009D3DD2"/>
    <w:rsid w:val="009D3E48"/>
    <w:rsid w:val="009D4008"/>
    <w:rsid w:val="009D42EF"/>
    <w:rsid w:val="009D45C2"/>
    <w:rsid w:val="009D4655"/>
    <w:rsid w:val="009D4832"/>
    <w:rsid w:val="009D499E"/>
    <w:rsid w:val="009D4B20"/>
    <w:rsid w:val="009D4B46"/>
    <w:rsid w:val="009D4BEA"/>
    <w:rsid w:val="009D4D01"/>
    <w:rsid w:val="009D4DD3"/>
    <w:rsid w:val="009D4E29"/>
    <w:rsid w:val="009D4E5B"/>
    <w:rsid w:val="009D4EB6"/>
    <w:rsid w:val="009D4EDB"/>
    <w:rsid w:val="009D4F41"/>
    <w:rsid w:val="009D5349"/>
    <w:rsid w:val="009D53DF"/>
    <w:rsid w:val="009D5427"/>
    <w:rsid w:val="009D5433"/>
    <w:rsid w:val="009D574F"/>
    <w:rsid w:val="009D5932"/>
    <w:rsid w:val="009D598A"/>
    <w:rsid w:val="009D5A79"/>
    <w:rsid w:val="009D5CE1"/>
    <w:rsid w:val="009D5DBD"/>
    <w:rsid w:val="009D5E0E"/>
    <w:rsid w:val="009D5E29"/>
    <w:rsid w:val="009D5E8D"/>
    <w:rsid w:val="009D602D"/>
    <w:rsid w:val="009D6082"/>
    <w:rsid w:val="009D6124"/>
    <w:rsid w:val="009D6154"/>
    <w:rsid w:val="009D6388"/>
    <w:rsid w:val="009D63EC"/>
    <w:rsid w:val="009D6414"/>
    <w:rsid w:val="009D658D"/>
    <w:rsid w:val="009D6642"/>
    <w:rsid w:val="009D677F"/>
    <w:rsid w:val="009D6881"/>
    <w:rsid w:val="009D6AF9"/>
    <w:rsid w:val="009D6B61"/>
    <w:rsid w:val="009D6C95"/>
    <w:rsid w:val="009D6DD4"/>
    <w:rsid w:val="009D6E31"/>
    <w:rsid w:val="009D6EE6"/>
    <w:rsid w:val="009D7038"/>
    <w:rsid w:val="009D711D"/>
    <w:rsid w:val="009D717A"/>
    <w:rsid w:val="009D743D"/>
    <w:rsid w:val="009D748D"/>
    <w:rsid w:val="009D75DD"/>
    <w:rsid w:val="009D75F9"/>
    <w:rsid w:val="009D75FF"/>
    <w:rsid w:val="009D7680"/>
    <w:rsid w:val="009D76D9"/>
    <w:rsid w:val="009D76E5"/>
    <w:rsid w:val="009D77AF"/>
    <w:rsid w:val="009D77CD"/>
    <w:rsid w:val="009D77F4"/>
    <w:rsid w:val="009D7938"/>
    <w:rsid w:val="009D7969"/>
    <w:rsid w:val="009D7A23"/>
    <w:rsid w:val="009D7A4B"/>
    <w:rsid w:val="009D7A61"/>
    <w:rsid w:val="009D7A9A"/>
    <w:rsid w:val="009D7B78"/>
    <w:rsid w:val="009D7B8D"/>
    <w:rsid w:val="009D7BCF"/>
    <w:rsid w:val="009D7C9C"/>
    <w:rsid w:val="009D7CD3"/>
    <w:rsid w:val="009D7CF1"/>
    <w:rsid w:val="009D7D4D"/>
    <w:rsid w:val="009D7D83"/>
    <w:rsid w:val="009D7E7B"/>
    <w:rsid w:val="009D7F94"/>
    <w:rsid w:val="009E004F"/>
    <w:rsid w:val="009E00FD"/>
    <w:rsid w:val="009E02C6"/>
    <w:rsid w:val="009E0334"/>
    <w:rsid w:val="009E0528"/>
    <w:rsid w:val="009E0535"/>
    <w:rsid w:val="009E056B"/>
    <w:rsid w:val="009E0571"/>
    <w:rsid w:val="009E05C7"/>
    <w:rsid w:val="009E05FB"/>
    <w:rsid w:val="009E0633"/>
    <w:rsid w:val="009E064E"/>
    <w:rsid w:val="009E06E7"/>
    <w:rsid w:val="009E0740"/>
    <w:rsid w:val="009E075A"/>
    <w:rsid w:val="009E0903"/>
    <w:rsid w:val="009E0A4C"/>
    <w:rsid w:val="009E0A9C"/>
    <w:rsid w:val="009E0B16"/>
    <w:rsid w:val="009E0B76"/>
    <w:rsid w:val="009E0BB1"/>
    <w:rsid w:val="009E0C99"/>
    <w:rsid w:val="009E0CAB"/>
    <w:rsid w:val="009E0D40"/>
    <w:rsid w:val="009E0E0D"/>
    <w:rsid w:val="009E0EBE"/>
    <w:rsid w:val="009E0ECD"/>
    <w:rsid w:val="009E0F79"/>
    <w:rsid w:val="009E0FDF"/>
    <w:rsid w:val="009E1054"/>
    <w:rsid w:val="009E11DB"/>
    <w:rsid w:val="009E1229"/>
    <w:rsid w:val="009E1280"/>
    <w:rsid w:val="009E1451"/>
    <w:rsid w:val="009E1475"/>
    <w:rsid w:val="009E1480"/>
    <w:rsid w:val="009E15E8"/>
    <w:rsid w:val="009E1632"/>
    <w:rsid w:val="009E1768"/>
    <w:rsid w:val="009E17D6"/>
    <w:rsid w:val="009E18C4"/>
    <w:rsid w:val="009E18C9"/>
    <w:rsid w:val="009E1AD3"/>
    <w:rsid w:val="009E1BDC"/>
    <w:rsid w:val="009E1DAD"/>
    <w:rsid w:val="009E1DB7"/>
    <w:rsid w:val="009E1EB8"/>
    <w:rsid w:val="009E1ECE"/>
    <w:rsid w:val="009E1EEB"/>
    <w:rsid w:val="009E1EF5"/>
    <w:rsid w:val="009E1FB8"/>
    <w:rsid w:val="009E203D"/>
    <w:rsid w:val="009E20A1"/>
    <w:rsid w:val="009E21A2"/>
    <w:rsid w:val="009E2252"/>
    <w:rsid w:val="009E22BD"/>
    <w:rsid w:val="009E2341"/>
    <w:rsid w:val="009E238F"/>
    <w:rsid w:val="009E2424"/>
    <w:rsid w:val="009E2648"/>
    <w:rsid w:val="009E2833"/>
    <w:rsid w:val="009E2839"/>
    <w:rsid w:val="009E2936"/>
    <w:rsid w:val="009E29A2"/>
    <w:rsid w:val="009E2AEF"/>
    <w:rsid w:val="009E2B1C"/>
    <w:rsid w:val="009E2B72"/>
    <w:rsid w:val="009E2D2A"/>
    <w:rsid w:val="009E2EA2"/>
    <w:rsid w:val="009E2EA8"/>
    <w:rsid w:val="009E2F4A"/>
    <w:rsid w:val="009E3133"/>
    <w:rsid w:val="009E3179"/>
    <w:rsid w:val="009E31E0"/>
    <w:rsid w:val="009E31E4"/>
    <w:rsid w:val="009E322F"/>
    <w:rsid w:val="009E3237"/>
    <w:rsid w:val="009E3524"/>
    <w:rsid w:val="009E356A"/>
    <w:rsid w:val="009E35D5"/>
    <w:rsid w:val="009E3700"/>
    <w:rsid w:val="009E3745"/>
    <w:rsid w:val="009E384F"/>
    <w:rsid w:val="009E3914"/>
    <w:rsid w:val="009E3B03"/>
    <w:rsid w:val="009E3C59"/>
    <w:rsid w:val="009E3EA2"/>
    <w:rsid w:val="009E40FE"/>
    <w:rsid w:val="009E41E5"/>
    <w:rsid w:val="009E4316"/>
    <w:rsid w:val="009E43B5"/>
    <w:rsid w:val="009E4400"/>
    <w:rsid w:val="009E4477"/>
    <w:rsid w:val="009E47B4"/>
    <w:rsid w:val="009E47B9"/>
    <w:rsid w:val="009E488B"/>
    <w:rsid w:val="009E4932"/>
    <w:rsid w:val="009E49AC"/>
    <w:rsid w:val="009E4A26"/>
    <w:rsid w:val="009E4AC0"/>
    <w:rsid w:val="009E4E3A"/>
    <w:rsid w:val="009E4E57"/>
    <w:rsid w:val="009E4E8A"/>
    <w:rsid w:val="009E4E9E"/>
    <w:rsid w:val="009E50C1"/>
    <w:rsid w:val="009E50CD"/>
    <w:rsid w:val="009E50FB"/>
    <w:rsid w:val="009E5273"/>
    <w:rsid w:val="009E52AF"/>
    <w:rsid w:val="009E52B8"/>
    <w:rsid w:val="009E543B"/>
    <w:rsid w:val="009E550B"/>
    <w:rsid w:val="009E5561"/>
    <w:rsid w:val="009E55F5"/>
    <w:rsid w:val="009E564F"/>
    <w:rsid w:val="009E5A01"/>
    <w:rsid w:val="009E5B10"/>
    <w:rsid w:val="009E5B5E"/>
    <w:rsid w:val="009E5C04"/>
    <w:rsid w:val="009E5CB6"/>
    <w:rsid w:val="009E5D21"/>
    <w:rsid w:val="009E5EB2"/>
    <w:rsid w:val="009E5EC5"/>
    <w:rsid w:val="009E5F35"/>
    <w:rsid w:val="009E60DE"/>
    <w:rsid w:val="009E61F8"/>
    <w:rsid w:val="009E62A7"/>
    <w:rsid w:val="009E6538"/>
    <w:rsid w:val="009E65B8"/>
    <w:rsid w:val="009E65E1"/>
    <w:rsid w:val="009E66DA"/>
    <w:rsid w:val="009E6799"/>
    <w:rsid w:val="009E6AC2"/>
    <w:rsid w:val="009E6B96"/>
    <w:rsid w:val="009E6BC1"/>
    <w:rsid w:val="009E6C5F"/>
    <w:rsid w:val="009E6C89"/>
    <w:rsid w:val="009E6CEA"/>
    <w:rsid w:val="009E6D18"/>
    <w:rsid w:val="009E6D53"/>
    <w:rsid w:val="009E6E2D"/>
    <w:rsid w:val="009E6E38"/>
    <w:rsid w:val="009E6F15"/>
    <w:rsid w:val="009E6F7E"/>
    <w:rsid w:val="009E6FBC"/>
    <w:rsid w:val="009E7218"/>
    <w:rsid w:val="009E73A4"/>
    <w:rsid w:val="009E74D0"/>
    <w:rsid w:val="009E773D"/>
    <w:rsid w:val="009E77A2"/>
    <w:rsid w:val="009E77CD"/>
    <w:rsid w:val="009E77F6"/>
    <w:rsid w:val="009E7885"/>
    <w:rsid w:val="009E7886"/>
    <w:rsid w:val="009E78D0"/>
    <w:rsid w:val="009E79C2"/>
    <w:rsid w:val="009E79F5"/>
    <w:rsid w:val="009E7A06"/>
    <w:rsid w:val="009E7A57"/>
    <w:rsid w:val="009E7B43"/>
    <w:rsid w:val="009E7BE5"/>
    <w:rsid w:val="009E7C5B"/>
    <w:rsid w:val="009E7C9B"/>
    <w:rsid w:val="009E7D10"/>
    <w:rsid w:val="009E7E5C"/>
    <w:rsid w:val="009E7F0D"/>
    <w:rsid w:val="009E7F39"/>
    <w:rsid w:val="009E7FE5"/>
    <w:rsid w:val="009ECEA2"/>
    <w:rsid w:val="009EDF1B"/>
    <w:rsid w:val="009F0147"/>
    <w:rsid w:val="009F0149"/>
    <w:rsid w:val="009F018C"/>
    <w:rsid w:val="009F01E6"/>
    <w:rsid w:val="009F0430"/>
    <w:rsid w:val="009F046B"/>
    <w:rsid w:val="009F0530"/>
    <w:rsid w:val="009F05BA"/>
    <w:rsid w:val="009F064E"/>
    <w:rsid w:val="009F066C"/>
    <w:rsid w:val="009F06C6"/>
    <w:rsid w:val="009F0703"/>
    <w:rsid w:val="009F074D"/>
    <w:rsid w:val="009F075C"/>
    <w:rsid w:val="009F081A"/>
    <w:rsid w:val="009F0860"/>
    <w:rsid w:val="009F0874"/>
    <w:rsid w:val="009F08BB"/>
    <w:rsid w:val="009F0937"/>
    <w:rsid w:val="009F0943"/>
    <w:rsid w:val="009F0A2B"/>
    <w:rsid w:val="009F0BD6"/>
    <w:rsid w:val="009F0E7F"/>
    <w:rsid w:val="009F0F3C"/>
    <w:rsid w:val="009F0F76"/>
    <w:rsid w:val="009F0F77"/>
    <w:rsid w:val="009F0F7B"/>
    <w:rsid w:val="009F1042"/>
    <w:rsid w:val="009F1324"/>
    <w:rsid w:val="009F1413"/>
    <w:rsid w:val="009F1853"/>
    <w:rsid w:val="009F1975"/>
    <w:rsid w:val="009F1A11"/>
    <w:rsid w:val="009F1A4F"/>
    <w:rsid w:val="009F1A60"/>
    <w:rsid w:val="009F1BCC"/>
    <w:rsid w:val="009F1BD7"/>
    <w:rsid w:val="009F1CC5"/>
    <w:rsid w:val="009F1CFC"/>
    <w:rsid w:val="009F1E0C"/>
    <w:rsid w:val="009F1E3A"/>
    <w:rsid w:val="009F1F5D"/>
    <w:rsid w:val="009F1FA1"/>
    <w:rsid w:val="009F2069"/>
    <w:rsid w:val="009F20C0"/>
    <w:rsid w:val="009F20D7"/>
    <w:rsid w:val="009F218A"/>
    <w:rsid w:val="009F2281"/>
    <w:rsid w:val="009F22B1"/>
    <w:rsid w:val="009F234E"/>
    <w:rsid w:val="009F250A"/>
    <w:rsid w:val="009F25F9"/>
    <w:rsid w:val="009F260E"/>
    <w:rsid w:val="009F2633"/>
    <w:rsid w:val="009F278A"/>
    <w:rsid w:val="009F2795"/>
    <w:rsid w:val="009F27DA"/>
    <w:rsid w:val="009F2845"/>
    <w:rsid w:val="009F28BD"/>
    <w:rsid w:val="009F29E8"/>
    <w:rsid w:val="009F2E3E"/>
    <w:rsid w:val="009F2ECC"/>
    <w:rsid w:val="009F2F54"/>
    <w:rsid w:val="009F3129"/>
    <w:rsid w:val="009F3138"/>
    <w:rsid w:val="009F315F"/>
    <w:rsid w:val="009F31C7"/>
    <w:rsid w:val="009F31D1"/>
    <w:rsid w:val="009F324A"/>
    <w:rsid w:val="009F32CB"/>
    <w:rsid w:val="009F339F"/>
    <w:rsid w:val="009F3515"/>
    <w:rsid w:val="009F356D"/>
    <w:rsid w:val="009F3616"/>
    <w:rsid w:val="009F3742"/>
    <w:rsid w:val="009F3760"/>
    <w:rsid w:val="009F379C"/>
    <w:rsid w:val="009F37C7"/>
    <w:rsid w:val="009F37F8"/>
    <w:rsid w:val="009F38A2"/>
    <w:rsid w:val="009F3A00"/>
    <w:rsid w:val="009F3A1F"/>
    <w:rsid w:val="009F3A5C"/>
    <w:rsid w:val="009F3BBC"/>
    <w:rsid w:val="009F3BE7"/>
    <w:rsid w:val="009F3C16"/>
    <w:rsid w:val="009F3D04"/>
    <w:rsid w:val="009F3D11"/>
    <w:rsid w:val="009F3E58"/>
    <w:rsid w:val="009F3F7F"/>
    <w:rsid w:val="009F3FCA"/>
    <w:rsid w:val="009F404B"/>
    <w:rsid w:val="009F4075"/>
    <w:rsid w:val="009F4472"/>
    <w:rsid w:val="009F447D"/>
    <w:rsid w:val="009F44C2"/>
    <w:rsid w:val="009F44D7"/>
    <w:rsid w:val="009F47A5"/>
    <w:rsid w:val="009F47A7"/>
    <w:rsid w:val="009F4803"/>
    <w:rsid w:val="009F4836"/>
    <w:rsid w:val="009F4916"/>
    <w:rsid w:val="009F491D"/>
    <w:rsid w:val="009F4992"/>
    <w:rsid w:val="009F49E2"/>
    <w:rsid w:val="009F4A40"/>
    <w:rsid w:val="009F4A64"/>
    <w:rsid w:val="009F4B9C"/>
    <w:rsid w:val="009F4BCA"/>
    <w:rsid w:val="009F4C68"/>
    <w:rsid w:val="009F4CCB"/>
    <w:rsid w:val="009F4CDC"/>
    <w:rsid w:val="009F4D77"/>
    <w:rsid w:val="009F4DCC"/>
    <w:rsid w:val="009F4E9D"/>
    <w:rsid w:val="009F4F4F"/>
    <w:rsid w:val="009F4F6A"/>
    <w:rsid w:val="009F4FAF"/>
    <w:rsid w:val="009F5284"/>
    <w:rsid w:val="009F52D7"/>
    <w:rsid w:val="009F55B2"/>
    <w:rsid w:val="009F5624"/>
    <w:rsid w:val="009F577F"/>
    <w:rsid w:val="009F5ADA"/>
    <w:rsid w:val="009F5B49"/>
    <w:rsid w:val="009F5C91"/>
    <w:rsid w:val="009F5EC1"/>
    <w:rsid w:val="009F5FDC"/>
    <w:rsid w:val="009F6217"/>
    <w:rsid w:val="009F6364"/>
    <w:rsid w:val="009F639C"/>
    <w:rsid w:val="009F6531"/>
    <w:rsid w:val="009F6537"/>
    <w:rsid w:val="009F6571"/>
    <w:rsid w:val="009F65AA"/>
    <w:rsid w:val="009F65DB"/>
    <w:rsid w:val="009F66B0"/>
    <w:rsid w:val="009F6718"/>
    <w:rsid w:val="009F6730"/>
    <w:rsid w:val="009F6795"/>
    <w:rsid w:val="009F6A23"/>
    <w:rsid w:val="009F6B3F"/>
    <w:rsid w:val="009F6B64"/>
    <w:rsid w:val="009F6D09"/>
    <w:rsid w:val="009F6D60"/>
    <w:rsid w:val="009F6D80"/>
    <w:rsid w:val="009F6ED7"/>
    <w:rsid w:val="009F707D"/>
    <w:rsid w:val="009F71E0"/>
    <w:rsid w:val="009F7245"/>
    <w:rsid w:val="009F724A"/>
    <w:rsid w:val="009F7619"/>
    <w:rsid w:val="009F7660"/>
    <w:rsid w:val="009F7695"/>
    <w:rsid w:val="009F7808"/>
    <w:rsid w:val="009F7888"/>
    <w:rsid w:val="009F7921"/>
    <w:rsid w:val="009F7A4E"/>
    <w:rsid w:val="009F7AD6"/>
    <w:rsid w:val="009F7B6D"/>
    <w:rsid w:val="009F7C1E"/>
    <w:rsid w:val="009F7DC5"/>
    <w:rsid w:val="009F7EA8"/>
    <w:rsid w:val="009F7EAE"/>
    <w:rsid w:val="009F7F16"/>
    <w:rsid w:val="009F7F48"/>
    <w:rsid w:val="009FD3C3"/>
    <w:rsid w:val="00A000B7"/>
    <w:rsid w:val="00A00166"/>
    <w:rsid w:val="00A0020D"/>
    <w:rsid w:val="00A0030C"/>
    <w:rsid w:val="00A005C5"/>
    <w:rsid w:val="00A00666"/>
    <w:rsid w:val="00A0082A"/>
    <w:rsid w:val="00A00884"/>
    <w:rsid w:val="00A00A29"/>
    <w:rsid w:val="00A00A48"/>
    <w:rsid w:val="00A00BAF"/>
    <w:rsid w:val="00A00C5D"/>
    <w:rsid w:val="00A00D46"/>
    <w:rsid w:val="00A00E7B"/>
    <w:rsid w:val="00A00FFB"/>
    <w:rsid w:val="00A01036"/>
    <w:rsid w:val="00A0120F"/>
    <w:rsid w:val="00A01277"/>
    <w:rsid w:val="00A012E8"/>
    <w:rsid w:val="00A01347"/>
    <w:rsid w:val="00A01396"/>
    <w:rsid w:val="00A0143A"/>
    <w:rsid w:val="00A01722"/>
    <w:rsid w:val="00A01780"/>
    <w:rsid w:val="00A01808"/>
    <w:rsid w:val="00A01869"/>
    <w:rsid w:val="00A01B62"/>
    <w:rsid w:val="00A01E9A"/>
    <w:rsid w:val="00A01EFF"/>
    <w:rsid w:val="00A01F57"/>
    <w:rsid w:val="00A01FA9"/>
    <w:rsid w:val="00A01FB3"/>
    <w:rsid w:val="00A02141"/>
    <w:rsid w:val="00A021E7"/>
    <w:rsid w:val="00A022C3"/>
    <w:rsid w:val="00A022F4"/>
    <w:rsid w:val="00A02436"/>
    <w:rsid w:val="00A02844"/>
    <w:rsid w:val="00A02867"/>
    <w:rsid w:val="00A02A2D"/>
    <w:rsid w:val="00A02A7B"/>
    <w:rsid w:val="00A02B67"/>
    <w:rsid w:val="00A02C69"/>
    <w:rsid w:val="00A02FE5"/>
    <w:rsid w:val="00A03060"/>
    <w:rsid w:val="00A031D5"/>
    <w:rsid w:val="00A032E9"/>
    <w:rsid w:val="00A03372"/>
    <w:rsid w:val="00A033E9"/>
    <w:rsid w:val="00A03447"/>
    <w:rsid w:val="00A03538"/>
    <w:rsid w:val="00A035AE"/>
    <w:rsid w:val="00A0369F"/>
    <w:rsid w:val="00A03838"/>
    <w:rsid w:val="00A038F1"/>
    <w:rsid w:val="00A03959"/>
    <w:rsid w:val="00A03A85"/>
    <w:rsid w:val="00A03B09"/>
    <w:rsid w:val="00A03C5B"/>
    <w:rsid w:val="00A03D23"/>
    <w:rsid w:val="00A03D28"/>
    <w:rsid w:val="00A03E49"/>
    <w:rsid w:val="00A04051"/>
    <w:rsid w:val="00A04196"/>
    <w:rsid w:val="00A042D6"/>
    <w:rsid w:val="00A043C7"/>
    <w:rsid w:val="00A043E3"/>
    <w:rsid w:val="00A043F6"/>
    <w:rsid w:val="00A04624"/>
    <w:rsid w:val="00A04682"/>
    <w:rsid w:val="00A046FB"/>
    <w:rsid w:val="00A04704"/>
    <w:rsid w:val="00A047C7"/>
    <w:rsid w:val="00A0499C"/>
    <w:rsid w:val="00A04AE7"/>
    <w:rsid w:val="00A04B39"/>
    <w:rsid w:val="00A04C73"/>
    <w:rsid w:val="00A04D8A"/>
    <w:rsid w:val="00A04E2E"/>
    <w:rsid w:val="00A04EE0"/>
    <w:rsid w:val="00A04F7E"/>
    <w:rsid w:val="00A0516C"/>
    <w:rsid w:val="00A0517B"/>
    <w:rsid w:val="00A0518B"/>
    <w:rsid w:val="00A051F2"/>
    <w:rsid w:val="00A0556B"/>
    <w:rsid w:val="00A055CE"/>
    <w:rsid w:val="00A0573E"/>
    <w:rsid w:val="00A0576D"/>
    <w:rsid w:val="00A058A7"/>
    <w:rsid w:val="00A059C7"/>
    <w:rsid w:val="00A05A71"/>
    <w:rsid w:val="00A05BFE"/>
    <w:rsid w:val="00A05CE6"/>
    <w:rsid w:val="00A05D30"/>
    <w:rsid w:val="00A05EA4"/>
    <w:rsid w:val="00A060C9"/>
    <w:rsid w:val="00A060CD"/>
    <w:rsid w:val="00A06119"/>
    <w:rsid w:val="00A06150"/>
    <w:rsid w:val="00A0622B"/>
    <w:rsid w:val="00A06230"/>
    <w:rsid w:val="00A06330"/>
    <w:rsid w:val="00A06564"/>
    <w:rsid w:val="00A0664B"/>
    <w:rsid w:val="00A066EE"/>
    <w:rsid w:val="00A06706"/>
    <w:rsid w:val="00A069E3"/>
    <w:rsid w:val="00A069FD"/>
    <w:rsid w:val="00A06A36"/>
    <w:rsid w:val="00A06D2B"/>
    <w:rsid w:val="00A06D4B"/>
    <w:rsid w:val="00A06D4D"/>
    <w:rsid w:val="00A06DC5"/>
    <w:rsid w:val="00A06E6F"/>
    <w:rsid w:val="00A06FB6"/>
    <w:rsid w:val="00A0717C"/>
    <w:rsid w:val="00A071AA"/>
    <w:rsid w:val="00A0720B"/>
    <w:rsid w:val="00A07343"/>
    <w:rsid w:val="00A074BE"/>
    <w:rsid w:val="00A076A0"/>
    <w:rsid w:val="00A076A3"/>
    <w:rsid w:val="00A076CC"/>
    <w:rsid w:val="00A07745"/>
    <w:rsid w:val="00A0778B"/>
    <w:rsid w:val="00A0792C"/>
    <w:rsid w:val="00A07981"/>
    <w:rsid w:val="00A07A46"/>
    <w:rsid w:val="00A07B49"/>
    <w:rsid w:val="00A07CA8"/>
    <w:rsid w:val="00A07CCF"/>
    <w:rsid w:val="00A07CFE"/>
    <w:rsid w:val="00A07DF7"/>
    <w:rsid w:val="00A07EB5"/>
    <w:rsid w:val="00A07F70"/>
    <w:rsid w:val="00A08A74"/>
    <w:rsid w:val="00A10033"/>
    <w:rsid w:val="00A1008D"/>
    <w:rsid w:val="00A100A2"/>
    <w:rsid w:val="00A10120"/>
    <w:rsid w:val="00A102C2"/>
    <w:rsid w:val="00A102EC"/>
    <w:rsid w:val="00A1039E"/>
    <w:rsid w:val="00A10562"/>
    <w:rsid w:val="00A1059C"/>
    <w:rsid w:val="00A10899"/>
    <w:rsid w:val="00A108F9"/>
    <w:rsid w:val="00A10919"/>
    <w:rsid w:val="00A109C0"/>
    <w:rsid w:val="00A109F4"/>
    <w:rsid w:val="00A10A1D"/>
    <w:rsid w:val="00A10AE9"/>
    <w:rsid w:val="00A10B47"/>
    <w:rsid w:val="00A10C0C"/>
    <w:rsid w:val="00A10D29"/>
    <w:rsid w:val="00A10E68"/>
    <w:rsid w:val="00A10E85"/>
    <w:rsid w:val="00A10F75"/>
    <w:rsid w:val="00A10FE6"/>
    <w:rsid w:val="00A10FFF"/>
    <w:rsid w:val="00A1126D"/>
    <w:rsid w:val="00A114C3"/>
    <w:rsid w:val="00A1158A"/>
    <w:rsid w:val="00A11657"/>
    <w:rsid w:val="00A11689"/>
    <w:rsid w:val="00A11901"/>
    <w:rsid w:val="00A11A7A"/>
    <w:rsid w:val="00A11AD8"/>
    <w:rsid w:val="00A11AEF"/>
    <w:rsid w:val="00A11BF8"/>
    <w:rsid w:val="00A11C41"/>
    <w:rsid w:val="00A11D7B"/>
    <w:rsid w:val="00A11F17"/>
    <w:rsid w:val="00A11FE8"/>
    <w:rsid w:val="00A123D1"/>
    <w:rsid w:val="00A12458"/>
    <w:rsid w:val="00A124DA"/>
    <w:rsid w:val="00A12547"/>
    <w:rsid w:val="00A1261B"/>
    <w:rsid w:val="00A1269B"/>
    <w:rsid w:val="00A127B6"/>
    <w:rsid w:val="00A12838"/>
    <w:rsid w:val="00A12AC8"/>
    <w:rsid w:val="00A12AD5"/>
    <w:rsid w:val="00A12B09"/>
    <w:rsid w:val="00A12B22"/>
    <w:rsid w:val="00A12C31"/>
    <w:rsid w:val="00A12C4A"/>
    <w:rsid w:val="00A12ED5"/>
    <w:rsid w:val="00A12F27"/>
    <w:rsid w:val="00A132BF"/>
    <w:rsid w:val="00A132DF"/>
    <w:rsid w:val="00A133BE"/>
    <w:rsid w:val="00A13562"/>
    <w:rsid w:val="00A135FF"/>
    <w:rsid w:val="00A13774"/>
    <w:rsid w:val="00A137EA"/>
    <w:rsid w:val="00A13808"/>
    <w:rsid w:val="00A139FA"/>
    <w:rsid w:val="00A13A2D"/>
    <w:rsid w:val="00A13A31"/>
    <w:rsid w:val="00A13AB9"/>
    <w:rsid w:val="00A13B30"/>
    <w:rsid w:val="00A13B47"/>
    <w:rsid w:val="00A13BA7"/>
    <w:rsid w:val="00A13BD4"/>
    <w:rsid w:val="00A13C89"/>
    <w:rsid w:val="00A13EB5"/>
    <w:rsid w:val="00A13F81"/>
    <w:rsid w:val="00A13FFA"/>
    <w:rsid w:val="00A1409B"/>
    <w:rsid w:val="00A14169"/>
    <w:rsid w:val="00A14191"/>
    <w:rsid w:val="00A143FB"/>
    <w:rsid w:val="00A1449A"/>
    <w:rsid w:val="00A146E6"/>
    <w:rsid w:val="00A14759"/>
    <w:rsid w:val="00A14A33"/>
    <w:rsid w:val="00A14ADE"/>
    <w:rsid w:val="00A14C2A"/>
    <w:rsid w:val="00A14C97"/>
    <w:rsid w:val="00A14F92"/>
    <w:rsid w:val="00A1501C"/>
    <w:rsid w:val="00A15557"/>
    <w:rsid w:val="00A156A2"/>
    <w:rsid w:val="00A15845"/>
    <w:rsid w:val="00A15896"/>
    <w:rsid w:val="00A15920"/>
    <w:rsid w:val="00A15CA1"/>
    <w:rsid w:val="00A15E6E"/>
    <w:rsid w:val="00A15EF2"/>
    <w:rsid w:val="00A15F9B"/>
    <w:rsid w:val="00A1602D"/>
    <w:rsid w:val="00A1605F"/>
    <w:rsid w:val="00A1608E"/>
    <w:rsid w:val="00A161E5"/>
    <w:rsid w:val="00A1621F"/>
    <w:rsid w:val="00A16230"/>
    <w:rsid w:val="00A1627E"/>
    <w:rsid w:val="00A16359"/>
    <w:rsid w:val="00A16421"/>
    <w:rsid w:val="00A1651D"/>
    <w:rsid w:val="00A16619"/>
    <w:rsid w:val="00A167AB"/>
    <w:rsid w:val="00A167C9"/>
    <w:rsid w:val="00A167E0"/>
    <w:rsid w:val="00A168CC"/>
    <w:rsid w:val="00A16AA7"/>
    <w:rsid w:val="00A16B2F"/>
    <w:rsid w:val="00A16C98"/>
    <w:rsid w:val="00A16D8B"/>
    <w:rsid w:val="00A16E36"/>
    <w:rsid w:val="00A16F83"/>
    <w:rsid w:val="00A1707E"/>
    <w:rsid w:val="00A170C4"/>
    <w:rsid w:val="00A170F4"/>
    <w:rsid w:val="00A17377"/>
    <w:rsid w:val="00A17380"/>
    <w:rsid w:val="00A1749C"/>
    <w:rsid w:val="00A174B9"/>
    <w:rsid w:val="00A17509"/>
    <w:rsid w:val="00A1752B"/>
    <w:rsid w:val="00A17532"/>
    <w:rsid w:val="00A175A1"/>
    <w:rsid w:val="00A175FC"/>
    <w:rsid w:val="00A1784C"/>
    <w:rsid w:val="00A17A20"/>
    <w:rsid w:val="00A17A92"/>
    <w:rsid w:val="00A17AA9"/>
    <w:rsid w:val="00A17AE7"/>
    <w:rsid w:val="00A17D05"/>
    <w:rsid w:val="00A17D25"/>
    <w:rsid w:val="00A17DF5"/>
    <w:rsid w:val="00A17EE6"/>
    <w:rsid w:val="00A20033"/>
    <w:rsid w:val="00A20066"/>
    <w:rsid w:val="00A200EE"/>
    <w:rsid w:val="00A202D2"/>
    <w:rsid w:val="00A20301"/>
    <w:rsid w:val="00A20305"/>
    <w:rsid w:val="00A20313"/>
    <w:rsid w:val="00A20435"/>
    <w:rsid w:val="00A204E0"/>
    <w:rsid w:val="00A2056B"/>
    <w:rsid w:val="00A20614"/>
    <w:rsid w:val="00A206D7"/>
    <w:rsid w:val="00A206ED"/>
    <w:rsid w:val="00A2078A"/>
    <w:rsid w:val="00A20911"/>
    <w:rsid w:val="00A209E8"/>
    <w:rsid w:val="00A20A98"/>
    <w:rsid w:val="00A20AD3"/>
    <w:rsid w:val="00A20B1E"/>
    <w:rsid w:val="00A20BDC"/>
    <w:rsid w:val="00A20D86"/>
    <w:rsid w:val="00A20DBE"/>
    <w:rsid w:val="00A20FE5"/>
    <w:rsid w:val="00A2105C"/>
    <w:rsid w:val="00A21065"/>
    <w:rsid w:val="00A2121F"/>
    <w:rsid w:val="00A212B1"/>
    <w:rsid w:val="00A212C5"/>
    <w:rsid w:val="00A215D8"/>
    <w:rsid w:val="00A215DF"/>
    <w:rsid w:val="00A21619"/>
    <w:rsid w:val="00A2170A"/>
    <w:rsid w:val="00A21746"/>
    <w:rsid w:val="00A21A51"/>
    <w:rsid w:val="00A21AA1"/>
    <w:rsid w:val="00A21B88"/>
    <w:rsid w:val="00A21BDF"/>
    <w:rsid w:val="00A21D74"/>
    <w:rsid w:val="00A21D94"/>
    <w:rsid w:val="00A21E85"/>
    <w:rsid w:val="00A21E96"/>
    <w:rsid w:val="00A21EA1"/>
    <w:rsid w:val="00A21F44"/>
    <w:rsid w:val="00A22003"/>
    <w:rsid w:val="00A2215C"/>
    <w:rsid w:val="00A222FB"/>
    <w:rsid w:val="00A22301"/>
    <w:rsid w:val="00A22471"/>
    <w:rsid w:val="00A22472"/>
    <w:rsid w:val="00A2267E"/>
    <w:rsid w:val="00A2283C"/>
    <w:rsid w:val="00A2290F"/>
    <w:rsid w:val="00A229C0"/>
    <w:rsid w:val="00A22A54"/>
    <w:rsid w:val="00A22A9A"/>
    <w:rsid w:val="00A22E67"/>
    <w:rsid w:val="00A22F2B"/>
    <w:rsid w:val="00A22F33"/>
    <w:rsid w:val="00A22FDC"/>
    <w:rsid w:val="00A23032"/>
    <w:rsid w:val="00A2304F"/>
    <w:rsid w:val="00A230AD"/>
    <w:rsid w:val="00A230D2"/>
    <w:rsid w:val="00A231B4"/>
    <w:rsid w:val="00A23328"/>
    <w:rsid w:val="00A234A1"/>
    <w:rsid w:val="00A2364D"/>
    <w:rsid w:val="00A236BA"/>
    <w:rsid w:val="00A236D8"/>
    <w:rsid w:val="00A238A4"/>
    <w:rsid w:val="00A23928"/>
    <w:rsid w:val="00A23976"/>
    <w:rsid w:val="00A239B8"/>
    <w:rsid w:val="00A239FD"/>
    <w:rsid w:val="00A23B78"/>
    <w:rsid w:val="00A23BFE"/>
    <w:rsid w:val="00A23C82"/>
    <w:rsid w:val="00A23C9F"/>
    <w:rsid w:val="00A23D4D"/>
    <w:rsid w:val="00A23E7B"/>
    <w:rsid w:val="00A23F66"/>
    <w:rsid w:val="00A24052"/>
    <w:rsid w:val="00A241F1"/>
    <w:rsid w:val="00A24247"/>
    <w:rsid w:val="00A2438D"/>
    <w:rsid w:val="00A244DA"/>
    <w:rsid w:val="00A2458A"/>
    <w:rsid w:val="00A24627"/>
    <w:rsid w:val="00A24638"/>
    <w:rsid w:val="00A2467E"/>
    <w:rsid w:val="00A246CC"/>
    <w:rsid w:val="00A246F3"/>
    <w:rsid w:val="00A247F9"/>
    <w:rsid w:val="00A24874"/>
    <w:rsid w:val="00A24961"/>
    <w:rsid w:val="00A249D0"/>
    <w:rsid w:val="00A249DB"/>
    <w:rsid w:val="00A24AAD"/>
    <w:rsid w:val="00A24B10"/>
    <w:rsid w:val="00A24BAA"/>
    <w:rsid w:val="00A24C37"/>
    <w:rsid w:val="00A24DB4"/>
    <w:rsid w:val="00A24F0C"/>
    <w:rsid w:val="00A2508A"/>
    <w:rsid w:val="00A2511A"/>
    <w:rsid w:val="00A25326"/>
    <w:rsid w:val="00A254B1"/>
    <w:rsid w:val="00A25518"/>
    <w:rsid w:val="00A255A3"/>
    <w:rsid w:val="00A25629"/>
    <w:rsid w:val="00A257C3"/>
    <w:rsid w:val="00A257D3"/>
    <w:rsid w:val="00A257D6"/>
    <w:rsid w:val="00A257DA"/>
    <w:rsid w:val="00A25836"/>
    <w:rsid w:val="00A25945"/>
    <w:rsid w:val="00A25952"/>
    <w:rsid w:val="00A25959"/>
    <w:rsid w:val="00A25A2E"/>
    <w:rsid w:val="00A25A95"/>
    <w:rsid w:val="00A25AE0"/>
    <w:rsid w:val="00A25B0B"/>
    <w:rsid w:val="00A25B86"/>
    <w:rsid w:val="00A25B87"/>
    <w:rsid w:val="00A25C7F"/>
    <w:rsid w:val="00A25C83"/>
    <w:rsid w:val="00A25CE3"/>
    <w:rsid w:val="00A25D01"/>
    <w:rsid w:val="00A25DAE"/>
    <w:rsid w:val="00A25E21"/>
    <w:rsid w:val="00A25EB0"/>
    <w:rsid w:val="00A25F88"/>
    <w:rsid w:val="00A2604F"/>
    <w:rsid w:val="00A26143"/>
    <w:rsid w:val="00A26164"/>
    <w:rsid w:val="00A26426"/>
    <w:rsid w:val="00A265BE"/>
    <w:rsid w:val="00A265FF"/>
    <w:rsid w:val="00A26683"/>
    <w:rsid w:val="00A2668E"/>
    <w:rsid w:val="00A266B5"/>
    <w:rsid w:val="00A26705"/>
    <w:rsid w:val="00A268DE"/>
    <w:rsid w:val="00A268F6"/>
    <w:rsid w:val="00A26913"/>
    <w:rsid w:val="00A269A8"/>
    <w:rsid w:val="00A269D8"/>
    <w:rsid w:val="00A26A20"/>
    <w:rsid w:val="00A26A28"/>
    <w:rsid w:val="00A26B5F"/>
    <w:rsid w:val="00A26D1D"/>
    <w:rsid w:val="00A26FB3"/>
    <w:rsid w:val="00A27108"/>
    <w:rsid w:val="00A2711E"/>
    <w:rsid w:val="00A2717D"/>
    <w:rsid w:val="00A271FC"/>
    <w:rsid w:val="00A27231"/>
    <w:rsid w:val="00A27284"/>
    <w:rsid w:val="00A272CB"/>
    <w:rsid w:val="00A272DE"/>
    <w:rsid w:val="00A273F0"/>
    <w:rsid w:val="00A2749C"/>
    <w:rsid w:val="00A275A3"/>
    <w:rsid w:val="00A27649"/>
    <w:rsid w:val="00A276AA"/>
    <w:rsid w:val="00A27788"/>
    <w:rsid w:val="00A277EF"/>
    <w:rsid w:val="00A27869"/>
    <w:rsid w:val="00A278B1"/>
    <w:rsid w:val="00A27965"/>
    <w:rsid w:val="00A27B88"/>
    <w:rsid w:val="00A27BD6"/>
    <w:rsid w:val="00A27C56"/>
    <w:rsid w:val="00A27D22"/>
    <w:rsid w:val="00A27E4F"/>
    <w:rsid w:val="00A27EE9"/>
    <w:rsid w:val="00A27F30"/>
    <w:rsid w:val="00A27F7C"/>
    <w:rsid w:val="00A27FC1"/>
    <w:rsid w:val="00A27FE6"/>
    <w:rsid w:val="00A30108"/>
    <w:rsid w:val="00A30190"/>
    <w:rsid w:val="00A3023C"/>
    <w:rsid w:val="00A302B5"/>
    <w:rsid w:val="00A303D5"/>
    <w:rsid w:val="00A30416"/>
    <w:rsid w:val="00A30568"/>
    <w:rsid w:val="00A307FB"/>
    <w:rsid w:val="00A3087A"/>
    <w:rsid w:val="00A30895"/>
    <w:rsid w:val="00A309A6"/>
    <w:rsid w:val="00A309C5"/>
    <w:rsid w:val="00A30A75"/>
    <w:rsid w:val="00A30B59"/>
    <w:rsid w:val="00A30C70"/>
    <w:rsid w:val="00A30D22"/>
    <w:rsid w:val="00A30DC7"/>
    <w:rsid w:val="00A30E9B"/>
    <w:rsid w:val="00A30F54"/>
    <w:rsid w:val="00A3100C"/>
    <w:rsid w:val="00A3101D"/>
    <w:rsid w:val="00A31092"/>
    <w:rsid w:val="00A310D5"/>
    <w:rsid w:val="00A31197"/>
    <w:rsid w:val="00A311B0"/>
    <w:rsid w:val="00A31276"/>
    <w:rsid w:val="00A31413"/>
    <w:rsid w:val="00A314F6"/>
    <w:rsid w:val="00A31563"/>
    <w:rsid w:val="00A31581"/>
    <w:rsid w:val="00A317A8"/>
    <w:rsid w:val="00A31812"/>
    <w:rsid w:val="00A31814"/>
    <w:rsid w:val="00A318A0"/>
    <w:rsid w:val="00A318E1"/>
    <w:rsid w:val="00A318F3"/>
    <w:rsid w:val="00A31ADE"/>
    <w:rsid w:val="00A31B63"/>
    <w:rsid w:val="00A31D42"/>
    <w:rsid w:val="00A31D54"/>
    <w:rsid w:val="00A31D86"/>
    <w:rsid w:val="00A31E23"/>
    <w:rsid w:val="00A31E40"/>
    <w:rsid w:val="00A31EAC"/>
    <w:rsid w:val="00A31F73"/>
    <w:rsid w:val="00A32128"/>
    <w:rsid w:val="00A32199"/>
    <w:rsid w:val="00A3224A"/>
    <w:rsid w:val="00A322B0"/>
    <w:rsid w:val="00A32307"/>
    <w:rsid w:val="00A323B0"/>
    <w:rsid w:val="00A325A4"/>
    <w:rsid w:val="00A32813"/>
    <w:rsid w:val="00A32830"/>
    <w:rsid w:val="00A328F3"/>
    <w:rsid w:val="00A3296A"/>
    <w:rsid w:val="00A32BA9"/>
    <w:rsid w:val="00A32C44"/>
    <w:rsid w:val="00A32CF5"/>
    <w:rsid w:val="00A32D72"/>
    <w:rsid w:val="00A32DE0"/>
    <w:rsid w:val="00A32DFC"/>
    <w:rsid w:val="00A32EFE"/>
    <w:rsid w:val="00A32FAF"/>
    <w:rsid w:val="00A32FC6"/>
    <w:rsid w:val="00A32FD8"/>
    <w:rsid w:val="00A33043"/>
    <w:rsid w:val="00A3308D"/>
    <w:rsid w:val="00A33307"/>
    <w:rsid w:val="00A333CD"/>
    <w:rsid w:val="00A33422"/>
    <w:rsid w:val="00A33427"/>
    <w:rsid w:val="00A336DC"/>
    <w:rsid w:val="00A337C8"/>
    <w:rsid w:val="00A33865"/>
    <w:rsid w:val="00A339D2"/>
    <w:rsid w:val="00A33CEA"/>
    <w:rsid w:val="00A33E51"/>
    <w:rsid w:val="00A340A5"/>
    <w:rsid w:val="00A340CD"/>
    <w:rsid w:val="00A3416A"/>
    <w:rsid w:val="00A34188"/>
    <w:rsid w:val="00A341A5"/>
    <w:rsid w:val="00A342A1"/>
    <w:rsid w:val="00A34353"/>
    <w:rsid w:val="00A3440E"/>
    <w:rsid w:val="00A3447E"/>
    <w:rsid w:val="00A344DD"/>
    <w:rsid w:val="00A34534"/>
    <w:rsid w:val="00A34573"/>
    <w:rsid w:val="00A345C6"/>
    <w:rsid w:val="00A348FF"/>
    <w:rsid w:val="00A34AC0"/>
    <w:rsid w:val="00A34B54"/>
    <w:rsid w:val="00A34C76"/>
    <w:rsid w:val="00A34CF6"/>
    <w:rsid w:val="00A34DD4"/>
    <w:rsid w:val="00A34E40"/>
    <w:rsid w:val="00A34FB3"/>
    <w:rsid w:val="00A35060"/>
    <w:rsid w:val="00A351C8"/>
    <w:rsid w:val="00A35402"/>
    <w:rsid w:val="00A3543D"/>
    <w:rsid w:val="00A354C7"/>
    <w:rsid w:val="00A356D3"/>
    <w:rsid w:val="00A35928"/>
    <w:rsid w:val="00A35974"/>
    <w:rsid w:val="00A3599F"/>
    <w:rsid w:val="00A35B7A"/>
    <w:rsid w:val="00A35BE7"/>
    <w:rsid w:val="00A35BF3"/>
    <w:rsid w:val="00A35C1B"/>
    <w:rsid w:val="00A35CD0"/>
    <w:rsid w:val="00A35D22"/>
    <w:rsid w:val="00A35DD1"/>
    <w:rsid w:val="00A35E3F"/>
    <w:rsid w:val="00A35EDF"/>
    <w:rsid w:val="00A35F27"/>
    <w:rsid w:val="00A35F83"/>
    <w:rsid w:val="00A360B7"/>
    <w:rsid w:val="00A364F8"/>
    <w:rsid w:val="00A36512"/>
    <w:rsid w:val="00A365D5"/>
    <w:rsid w:val="00A36973"/>
    <w:rsid w:val="00A36979"/>
    <w:rsid w:val="00A369A6"/>
    <w:rsid w:val="00A369AA"/>
    <w:rsid w:val="00A36A8D"/>
    <w:rsid w:val="00A36C22"/>
    <w:rsid w:val="00A36DE8"/>
    <w:rsid w:val="00A36F7B"/>
    <w:rsid w:val="00A36FB1"/>
    <w:rsid w:val="00A370AB"/>
    <w:rsid w:val="00A3716F"/>
    <w:rsid w:val="00A371DB"/>
    <w:rsid w:val="00A3736E"/>
    <w:rsid w:val="00A37378"/>
    <w:rsid w:val="00A3746A"/>
    <w:rsid w:val="00A37625"/>
    <w:rsid w:val="00A37718"/>
    <w:rsid w:val="00A37760"/>
    <w:rsid w:val="00A378A8"/>
    <w:rsid w:val="00A379CE"/>
    <w:rsid w:val="00A37AC7"/>
    <w:rsid w:val="00A37B2A"/>
    <w:rsid w:val="00A37DDF"/>
    <w:rsid w:val="00A37EBF"/>
    <w:rsid w:val="00A37EEF"/>
    <w:rsid w:val="00A37F94"/>
    <w:rsid w:val="00A37FA3"/>
    <w:rsid w:val="00A40022"/>
    <w:rsid w:val="00A4014A"/>
    <w:rsid w:val="00A40151"/>
    <w:rsid w:val="00A40160"/>
    <w:rsid w:val="00A40229"/>
    <w:rsid w:val="00A402F4"/>
    <w:rsid w:val="00A403E7"/>
    <w:rsid w:val="00A40408"/>
    <w:rsid w:val="00A4042E"/>
    <w:rsid w:val="00A4056B"/>
    <w:rsid w:val="00A40645"/>
    <w:rsid w:val="00A40832"/>
    <w:rsid w:val="00A408A6"/>
    <w:rsid w:val="00A408CE"/>
    <w:rsid w:val="00A40B7A"/>
    <w:rsid w:val="00A40BAD"/>
    <w:rsid w:val="00A40BBA"/>
    <w:rsid w:val="00A40C3C"/>
    <w:rsid w:val="00A40CE1"/>
    <w:rsid w:val="00A40D27"/>
    <w:rsid w:val="00A40E37"/>
    <w:rsid w:val="00A411E7"/>
    <w:rsid w:val="00A411FF"/>
    <w:rsid w:val="00A414A9"/>
    <w:rsid w:val="00A4152C"/>
    <w:rsid w:val="00A4169A"/>
    <w:rsid w:val="00A417C8"/>
    <w:rsid w:val="00A417EF"/>
    <w:rsid w:val="00A41854"/>
    <w:rsid w:val="00A41A30"/>
    <w:rsid w:val="00A41ADA"/>
    <w:rsid w:val="00A41BE7"/>
    <w:rsid w:val="00A41DD2"/>
    <w:rsid w:val="00A41E41"/>
    <w:rsid w:val="00A41E6D"/>
    <w:rsid w:val="00A41E70"/>
    <w:rsid w:val="00A41EB9"/>
    <w:rsid w:val="00A41EC0"/>
    <w:rsid w:val="00A41F0B"/>
    <w:rsid w:val="00A41F83"/>
    <w:rsid w:val="00A41FA6"/>
    <w:rsid w:val="00A41FD0"/>
    <w:rsid w:val="00A42082"/>
    <w:rsid w:val="00A420CB"/>
    <w:rsid w:val="00A420F4"/>
    <w:rsid w:val="00A4218B"/>
    <w:rsid w:val="00A421FF"/>
    <w:rsid w:val="00A42239"/>
    <w:rsid w:val="00A42361"/>
    <w:rsid w:val="00A425AB"/>
    <w:rsid w:val="00A425EF"/>
    <w:rsid w:val="00A42726"/>
    <w:rsid w:val="00A4274E"/>
    <w:rsid w:val="00A427AC"/>
    <w:rsid w:val="00A427BC"/>
    <w:rsid w:val="00A42846"/>
    <w:rsid w:val="00A42998"/>
    <w:rsid w:val="00A42A70"/>
    <w:rsid w:val="00A42B06"/>
    <w:rsid w:val="00A42B14"/>
    <w:rsid w:val="00A42B29"/>
    <w:rsid w:val="00A42BB1"/>
    <w:rsid w:val="00A42C1C"/>
    <w:rsid w:val="00A42D4D"/>
    <w:rsid w:val="00A42D5C"/>
    <w:rsid w:val="00A42D71"/>
    <w:rsid w:val="00A42E62"/>
    <w:rsid w:val="00A42EF6"/>
    <w:rsid w:val="00A4304F"/>
    <w:rsid w:val="00A43304"/>
    <w:rsid w:val="00A4343D"/>
    <w:rsid w:val="00A43454"/>
    <w:rsid w:val="00A43551"/>
    <w:rsid w:val="00A435E3"/>
    <w:rsid w:val="00A435FE"/>
    <w:rsid w:val="00A43616"/>
    <w:rsid w:val="00A43713"/>
    <w:rsid w:val="00A4379D"/>
    <w:rsid w:val="00A437B9"/>
    <w:rsid w:val="00A4385D"/>
    <w:rsid w:val="00A43ADD"/>
    <w:rsid w:val="00A43B2F"/>
    <w:rsid w:val="00A43B31"/>
    <w:rsid w:val="00A43BB0"/>
    <w:rsid w:val="00A43C24"/>
    <w:rsid w:val="00A43C4C"/>
    <w:rsid w:val="00A43CAA"/>
    <w:rsid w:val="00A43DE4"/>
    <w:rsid w:val="00A4402B"/>
    <w:rsid w:val="00A4403D"/>
    <w:rsid w:val="00A4405C"/>
    <w:rsid w:val="00A44060"/>
    <w:rsid w:val="00A4407B"/>
    <w:rsid w:val="00A44118"/>
    <w:rsid w:val="00A4413E"/>
    <w:rsid w:val="00A4417F"/>
    <w:rsid w:val="00A441B3"/>
    <w:rsid w:val="00A44244"/>
    <w:rsid w:val="00A44296"/>
    <w:rsid w:val="00A442D1"/>
    <w:rsid w:val="00A44351"/>
    <w:rsid w:val="00A44369"/>
    <w:rsid w:val="00A443C4"/>
    <w:rsid w:val="00A444CD"/>
    <w:rsid w:val="00A44767"/>
    <w:rsid w:val="00A447CF"/>
    <w:rsid w:val="00A44819"/>
    <w:rsid w:val="00A448EB"/>
    <w:rsid w:val="00A4496A"/>
    <w:rsid w:val="00A44B2E"/>
    <w:rsid w:val="00A44B36"/>
    <w:rsid w:val="00A44C69"/>
    <w:rsid w:val="00A44CA0"/>
    <w:rsid w:val="00A44EC5"/>
    <w:rsid w:val="00A4512D"/>
    <w:rsid w:val="00A45142"/>
    <w:rsid w:val="00A45275"/>
    <w:rsid w:val="00A45356"/>
    <w:rsid w:val="00A453BA"/>
    <w:rsid w:val="00A4545E"/>
    <w:rsid w:val="00A455CD"/>
    <w:rsid w:val="00A4560D"/>
    <w:rsid w:val="00A456B1"/>
    <w:rsid w:val="00A45780"/>
    <w:rsid w:val="00A457EB"/>
    <w:rsid w:val="00A458F4"/>
    <w:rsid w:val="00A45949"/>
    <w:rsid w:val="00A4599F"/>
    <w:rsid w:val="00A45B3B"/>
    <w:rsid w:val="00A45B82"/>
    <w:rsid w:val="00A45BAA"/>
    <w:rsid w:val="00A45EF5"/>
    <w:rsid w:val="00A46041"/>
    <w:rsid w:val="00A46082"/>
    <w:rsid w:val="00A460D4"/>
    <w:rsid w:val="00A46210"/>
    <w:rsid w:val="00A462F3"/>
    <w:rsid w:val="00A463F7"/>
    <w:rsid w:val="00A4640B"/>
    <w:rsid w:val="00A464DA"/>
    <w:rsid w:val="00A46520"/>
    <w:rsid w:val="00A465E7"/>
    <w:rsid w:val="00A4671E"/>
    <w:rsid w:val="00A46720"/>
    <w:rsid w:val="00A4682E"/>
    <w:rsid w:val="00A4695E"/>
    <w:rsid w:val="00A46A81"/>
    <w:rsid w:val="00A46A86"/>
    <w:rsid w:val="00A46ADC"/>
    <w:rsid w:val="00A46B17"/>
    <w:rsid w:val="00A46D5A"/>
    <w:rsid w:val="00A46E80"/>
    <w:rsid w:val="00A46E81"/>
    <w:rsid w:val="00A46F3E"/>
    <w:rsid w:val="00A470BB"/>
    <w:rsid w:val="00A470DA"/>
    <w:rsid w:val="00A4712A"/>
    <w:rsid w:val="00A471EE"/>
    <w:rsid w:val="00A473E2"/>
    <w:rsid w:val="00A47414"/>
    <w:rsid w:val="00A47580"/>
    <w:rsid w:val="00A47778"/>
    <w:rsid w:val="00A47784"/>
    <w:rsid w:val="00A478AD"/>
    <w:rsid w:val="00A4797F"/>
    <w:rsid w:val="00A47AF8"/>
    <w:rsid w:val="00A47B5D"/>
    <w:rsid w:val="00A47BF4"/>
    <w:rsid w:val="00A47CBF"/>
    <w:rsid w:val="00A49BC0"/>
    <w:rsid w:val="00A50223"/>
    <w:rsid w:val="00A50244"/>
    <w:rsid w:val="00A50275"/>
    <w:rsid w:val="00A5028C"/>
    <w:rsid w:val="00A502CA"/>
    <w:rsid w:val="00A503BC"/>
    <w:rsid w:val="00A504F7"/>
    <w:rsid w:val="00A50547"/>
    <w:rsid w:val="00A50582"/>
    <w:rsid w:val="00A505FF"/>
    <w:rsid w:val="00A5066B"/>
    <w:rsid w:val="00A5085F"/>
    <w:rsid w:val="00A508A6"/>
    <w:rsid w:val="00A50B6B"/>
    <w:rsid w:val="00A50B9A"/>
    <w:rsid w:val="00A50C0D"/>
    <w:rsid w:val="00A50E22"/>
    <w:rsid w:val="00A50E45"/>
    <w:rsid w:val="00A50EA2"/>
    <w:rsid w:val="00A50F4D"/>
    <w:rsid w:val="00A50FBD"/>
    <w:rsid w:val="00A51074"/>
    <w:rsid w:val="00A511C7"/>
    <w:rsid w:val="00A51296"/>
    <w:rsid w:val="00A5129B"/>
    <w:rsid w:val="00A51330"/>
    <w:rsid w:val="00A5135F"/>
    <w:rsid w:val="00A514EE"/>
    <w:rsid w:val="00A51513"/>
    <w:rsid w:val="00A5160C"/>
    <w:rsid w:val="00A51791"/>
    <w:rsid w:val="00A5179C"/>
    <w:rsid w:val="00A517D9"/>
    <w:rsid w:val="00A517FD"/>
    <w:rsid w:val="00A51820"/>
    <w:rsid w:val="00A5185C"/>
    <w:rsid w:val="00A518D3"/>
    <w:rsid w:val="00A519E2"/>
    <w:rsid w:val="00A51AC4"/>
    <w:rsid w:val="00A51AD9"/>
    <w:rsid w:val="00A51C09"/>
    <w:rsid w:val="00A51D1C"/>
    <w:rsid w:val="00A51D7F"/>
    <w:rsid w:val="00A51E9B"/>
    <w:rsid w:val="00A51F5F"/>
    <w:rsid w:val="00A52085"/>
    <w:rsid w:val="00A520B0"/>
    <w:rsid w:val="00A520DE"/>
    <w:rsid w:val="00A52189"/>
    <w:rsid w:val="00A521F9"/>
    <w:rsid w:val="00A522B1"/>
    <w:rsid w:val="00A52346"/>
    <w:rsid w:val="00A52471"/>
    <w:rsid w:val="00A5261F"/>
    <w:rsid w:val="00A52661"/>
    <w:rsid w:val="00A52664"/>
    <w:rsid w:val="00A52678"/>
    <w:rsid w:val="00A52773"/>
    <w:rsid w:val="00A52896"/>
    <w:rsid w:val="00A52A26"/>
    <w:rsid w:val="00A52A36"/>
    <w:rsid w:val="00A52AA4"/>
    <w:rsid w:val="00A52AE5"/>
    <w:rsid w:val="00A52BD3"/>
    <w:rsid w:val="00A52CA8"/>
    <w:rsid w:val="00A52CFB"/>
    <w:rsid w:val="00A52D10"/>
    <w:rsid w:val="00A52DCD"/>
    <w:rsid w:val="00A52EF9"/>
    <w:rsid w:val="00A52F71"/>
    <w:rsid w:val="00A530F7"/>
    <w:rsid w:val="00A53169"/>
    <w:rsid w:val="00A5316F"/>
    <w:rsid w:val="00A53170"/>
    <w:rsid w:val="00A531C0"/>
    <w:rsid w:val="00A53226"/>
    <w:rsid w:val="00A532DF"/>
    <w:rsid w:val="00A53491"/>
    <w:rsid w:val="00A535D0"/>
    <w:rsid w:val="00A5360B"/>
    <w:rsid w:val="00A537CD"/>
    <w:rsid w:val="00A53808"/>
    <w:rsid w:val="00A5381A"/>
    <w:rsid w:val="00A53A31"/>
    <w:rsid w:val="00A53AD4"/>
    <w:rsid w:val="00A53BC0"/>
    <w:rsid w:val="00A53C1B"/>
    <w:rsid w:val="00A53C27"/>
    <w:rsid w:val="00A53C88"/>
    <w:rsid w:val="00A53C90"/>
    <w:rsid w:val="00A53D1A"/>
    <w:rsid w:val="00A53F0A"/>
    <w:rsid w:val="00A540FE"/>
    <w:rsid w:val="00A54107"/>
    <w:rsid w:val="00A54125"/>
    <w:rsid w:val="00A54185"/>
    <w:rsid w:val="00A54276"/>
    <w:rsid w:val="00A54379"/>
    <w:rsid w:val="00A54471"/>
    <w:rsid w:val="00A544F6"/>
    <w:rsid w:val="00A5461C"/>
    <w:rsid w:val="00A5467E"/>
    <w:rsid w:val="00A546E2"/>
    <w:rsid w:val="00A54750"/>
    <w:rsid w:val="00A547C2"/>
    <w:rsid w:val="00A547C3"/>
    <w:rsid w:val="00A547FD"/>
    <w:rsid w:val="00A5485F"/>
    <w:rsid w:val="00A548F4"/>
    <w:rsid w:val="00A54A5D"/>
    <w:rsid w:val="00A54AAA"/>
    <w:rsid w:val="00A54B46"/>
    <w:rsid w:val="00A54CF4"/>
    <w:rsid w:val="00A54E0B"/>
    <w:rsid w:val="00A54E6D"/>
    <w:rsid w:val="00A54F47"/>
    <w:rsid w:val="00A55114"/>
    <w:rsid w:val="00A551F1"/>
    <w:rsid w:val="00A55284"/>
    <w:rsid w:val="00A552AB"/>
    <w:rsid w:val="00A552EA"/>
    <w:rsid w:val="00A5532B"/>
    <w:rsid w:val="00A5535C"/>
    <w:rsid w:val="00A553EC"/>
    <w:rsid w:val="00A55685"/>
    <w:rsid w:val="00A556CA"/>
    <w:rsid w:val="00A55716"/>
    <w:rsid w:val="00A55727"/>
    <w:rsid w:val="00A5572E"/>
    <w:rsid w:val="00A55987"/>
    <w:rsid w:val="00A55D34"/>
    <w:rsid w:val="00A55DAD"/>
    <w:rsid w:val="00A55DF8"/>
    <w:rsid w:val="00A56008"/>
    <w:rsid w:val="00A56181"/>
    <w:rsid w:val="00A561AC"/>
    <w:rsid w:val="00A561CE"/>
    <w:rsid w:val="00A56233"/>
    <w:rsid w:val="00A5638D"/>
    <w:rsid w:val="00A564CB"/>
    <w:rsid w:val="00A564D6"/>
    <w:rsid w:val="00A565C2"/>
    <w:rsid w:val="00A56772"/>
    <w:rsid w:val="00A56780"/>
    <w:rsid w:val="00A569DA"/>
    <w:rsid w:val="00A56A0D"/>
    <w:rsid w:val="00A56B48"/>
    <w:rsid w:val="00A56B8D"/>
    <w:rsid w:val="00A56B94"/>
    <w:rsid w:val="00A56C74"/>
    <w:rsid w:val="00A56D9B"/>
    <w:rsid w:val="00A56F40"/>
    <w:rsid w:val="00A56F69"/>
    <w:rsid w:val="00A56FC9"/>
    <w:rsid w:val="00A5700C"/>
    <w:rsid w:val="00A572C5"/>
    <w:rsid w:val="00A5735D"/>
    <w:rsid w:val="00A5739E"/>
    <w:rsid w:val="00A573E4"/>
    <w:rsid w:val="00A5747F"/>
    <w:rsid w:val="00A574A5"/>
    <w:rsid w:val="00A575F1"/>
    <w:rsid w:val="00A57718"/>
    <w:rsid w:val="00A5772C"/>
    <w:rsid w:val="00A5773C"/>
    <w:rsid w:val="00A578CD"/>
    <w:rsid w:val="00A578E1"/>
    <w:rsid w:val="00A57979"/>
    <w:rsid w:val="00A57A21"/>
    <w:rsid w:val="00A57B47"/>
    <w:rsid w:val="00A57B65"/>
    <w:rsid w:val="00A57BE3"/>
    <w:rsid w:val="00A57D02"/>
    <w:rsid w:val="00A57DEE"/>
    <w:rsid w:val="00A57F8C"/>
    <w:rsid w:val="00A57FAF"/>
    <w:rsid w:val="00A58A9E"/>
    <w:rsid w:val="00A601D8"/>
    <w:rsid w:val="00A601EC"/>
    <w:rsid w:val="00A60268"/>
    <w:rsid w:val="00A6031B"/>
    <w:rsid w:val="00A60366"/>
    <w:rsid w:val="00A6038D"/>
    <w:rsid w:val="00A60448"/>
    <w:rsid w:val="00A605F6"/>
    <w:rsid w:val="00A606BA"/>
    <w:rsid w:val="00A606E9"/>
    <w:rsid w:val="00A607DE"/>
    <w:rsid w:val="00A608B8"/>
    <w:rsid w:val="00A6092B"/>
    <w:rsid w:val="00A6094E"/>
    <w:rsid w:val="00A60969"/>
    <w:rsid w:val="00A609B6"/>
    <w:rsid w:val="00A609DB"/>
    <w:rsid w:val="00A60A6F"/>
    <w:rsid w:val="00A60AAA"/>
    <w:rsid w:val="00A60AB8"/>
    <w:rsid w:val="00A60B6E"/>
    <w:rsid w:val="00A60BE5"/>
    <w:rsid w:val="00A60CB8"/>
    <w:rsid w:val="00A60CCA"/>
    <w:rsid w:val="00A60CCC"/>
    <w:rsid w:val="00A60ED5"/>
    <w:rsid w:val="00A60FFE"/>
    <w:rsid w:val="00A610AA"/>
    <w:rsid w:val="00A610D4"/>
    <w:rsid w:val="00A610DF"/>
    <w:rsid w:val="00A6111A"/>
    <w:rsid w:val="00A61170"/>
    <w:rsid w:val="00A611DA"/>
    <w:rsid w:val="00A61313"/>
    <w:rsid w:val="00A614A5"/>
    <w:rsid w:val="00A61566"/>
    <w:rsid w:val="00A61733"/>
    <w:rsid w:val="00A6189D"/>
    <w:rsid w:val="00A61936"/>
    <w:rsid w:val="00A61977"/>
    <w:rsid w:val="00A619A7"/>
    <w:rsid w:val="00A619F6"/>
    <w:rsid w:val="00A61AB2"/>
    <w:rsid w:val="00A61ACC"/>
    <w:rsid w:val="00A61B12"/>
    <w:rsid w:val="00A61D1D"/>
    <w:rsid w:val="00A61E22"/>
    <w:rsid w:val="00A61E4C"/>
    <w:rsid w:val="00A61E9A"/>
    <w:rsid w:val="00A61FD4"/>
    <w:rsid w:val="00A62112"/>
    <w:rsid w:val="00A6212D"/>
    <w:rsid w:val="00A62283"/>
    <w:rsid w:val="00A6233D"/>
    <w:rsid w:val="00A62364"/>
    <w:rsid w:val="00A62373"/>
    <w:rsid w:val="00A623C9"/>
    <w:rsid w:val="00A62454"/>
    <w:rsid w:val="00A624FA"/>
    <w:rsid w:val="00A62588"/>
    <w:rsid w:val="00A625F1"/>
    <w:rsid w:val="00A62723"/>
    <w:rsid w:val="00A62752"/>
    <w:rsid w:val="00A627D7"/>
    <w:rsid w:val="00A62867"/>
    <w:rsid w:val="00A628B5"/>
    <w:rsid w:val="00A628EC"/>
    <w:rsid w:val="00A629B2"/>
    <w:rsid w:val="00A62A46"/>
    <w:rsid w:val="00A62ACC"/>
    <w:rsid w:val="00A62B65"/>
    <w:rsid w:val="00A62BE7"/>
    <w:rsid w:val="00A62C3A"/>
    <w:rsid w:val="00A62C87"/>
    <w:rsid w:val="00A62DDB"/>
    <w:rsid w:val="00A62EBA"/>
    <w:rsid w:val="00A62FBC"/>
    <w:rsid w:val="00A62FE6"/>
    <w:rsid w:val="00A63063"/>
    <w:rsid w:val="00A63067"/>
    <w:rsid w:val="00A6317F"/>
    <w:rsid w:val="00A632F3"/>
    <w:rsid w:val="00A63309"/>
    <w:rsid w:val="00A63369"/>
    <w:rsid w:val="00A63390"/>
    <w:rsid w:val="00A633D9"/>
    <w:rsid w:val="00A63454"/>
    <w:rsid w:val="00A634B4"/>
    <w:rsid w:val="00A635EA"/>
    <w:rsid w:val="00A63634"/>
    <w:rsid w:val="00A6363B"/>
    <w:rsid w:val="00A63646"/>
    <w:rsid w:val="00A63651"/>
    <w:rsid w:val="00A6378F"/>
    <w:rsid w:val="00A637A4"/>
    <w:rsid w:val="00A637AC"/>
    <w:rsid w:val="00A637E5"/>
    <w:rsid w:val="00A63828"/>
    <w:rsid w:val="00A638D9"/>
    <w:rsid w:val="00A63B0D"/>
    <w:rsid w:val="00A63C0F"/>
    <w:rsid w:val="00A63E84"/>
    <w:rsid w:val="00A63E8B"/>
    <w:rsid w:val="00A63EE8"/>
    <w:rsid w:val="00A63F37"/>
    <w:rsid w:val="00A64082"/>
    <w:rsid w:val="00A6409B"/>
    <w:rsid w:val="00A642EE"/>
    <w:rsid w:val="00A647FE"/>
    <w:rsid w:val="00A6488B"/>
    <w:rsid w:val="00A648E3"/>
    <w:rsid w:val="00A6493F"/>
    <w:rsid w:val="00A6494D"/>
    <w:rsid w:val="00A64976"/>
    <w:rsid w:val="00A649A7"/>
    <w:rsid w:val="00A64A50"/>
    <w:rsid w:val="00A64D7B"/>
    <w:rsid w:val="00A64F64"/>
    <w:rsid w:val="00A6501D"/>
    <w:rsid w:val="00A65243"/>
    <w:rsid w:val="00A6532C"/>
    <w:rsid w:val="00A6534A"/>
    <w:rsid w:val="00A6538B"/>
    <w:rsid w:val="00A653E5"/>
    <w:rsid w:val="00A654A4"/>
    <w:rsid w:val="00A6569C"/>
    <w:rsid w:val="00A656A0"/>
    <w:rsid w:val="00A656C7"/>
    <w:rsid w:val="00A656D4"/>
    <w:rsid w:val="00A6577D"/>
    <w:rsid w:val="00A65A6A"/>
    <w:rsid w:val="00A65B77"/>
    <w:rsid w:val="00A65BAC"/>
    <w:rsid w:val="00A65D8F"/>
    <w:rsid w:val="00A65F26"/>
    <w:rsid w:val="00A66006"/>
    <w:rsid w:val="00A66043"/>
    <w:rsid w:val="00A66115"/>
    <w:rsid w:val="00A6617A"/>
    <w:rsid w:val="00A6625E"/>
    <w:rsid w:val="00A66289"/>
    <w:rsid w:val="00A662E9"/>
    <w:rsid w:val="00A6639C"/>
    <w:rsid w:val="00A6647E"/>
    <w:rsid w:val="00A66525"/>
    <w:rsid w:val="00A6665A"/>
    <w:rsid w:val="00A666DE"/>
    <w:rsid w:val="00A66725"/>
    <w:rsid w:val="00A66740"/>
    <w:rsid w:val="00A667B3"/>
    <w:rsid w:val="00A667C0"/>
    <w:rsid w:val="00A6687E"/>
    <w:rsid w:val="00A6693E"/>
    <w:rsid w:val="00A66B15"/>
    <w:rsid w:val="00A66B4F"/>
    <w:rsid w:val="00A66BD8"/>
    <w:rsid w:val="00A66C1B"/>
    <w:rsid w:val="00A66C53"/>
    <w:rsid w:val="00A66C76"/>
    <w:rsid w:val="00A66D6F"/>
    <w:rsid w:val="00A66DB8"/>
    <w:rsid w:val="00A66F0F"/>
    <w:rsid w:val="00A66F3B"/>
    <w:rsid w:val="00A671D8"/>
    <w:rsid w:val="00A6722E"/>
    <w:rsid w:val="00A67240"/>
    <w:rsid w:val="00A67402"/>
    <w:rsid w:val="00A674D0"/>
    <w:rsid w:val="00A6764B"/>
    <w:rsid w:val="00A67830"/>
    <w:rsid w:val="00A67AE7"/>
    <w:rsid w:val="00A67B45"/>
    <w:rsid w:val="00A67CBC"/>
    <w:rsid w:val="00A67CC8"/>
    <w:rsid w:val="00A67CCA"/>
    <w:rsid w:val="00A67E1B"/>
    <w:rsid w:val="00A67E90"/>
    <w:rsid w:val="00A67EC4"/>
    <w:rsid w:val="00A67ED4"/>
    <w:rsid w:val="00A67EEB"/>
    <w:rsid w:val="00A67FF4"/>
    <w:rsid w:val="00A70178"/>
    <w:rsid w:val="00A7023F"/>
    <w:rsid w:val="00A703E9"/>
    <w:rsid w:val="00A70481"/>
    <w:rsid w:val="00A70528"/>
    <w:rsid w:val="00A70578"/>
    <w:rsid w:val="00A705AF"/>
    <w:rsid w:val="00A705D4"/>
    <w:rsid w:val="00A7061D"/>
    <w:rsid w:val="00A70628"/>
    <w:rsid w:val="00A70685"/>
    <w:rsid w:val="00A70737"/>
    <w:rsid w:val="00A709C5"/>
    <w:rsid w:val="00A70A55"/>
    <w:rsid w:val="00A70A5A"/>
    <w:rsid w:val="00A70A67"/>
    <w:rsid w:val="00A70ABA"/>
    <w:rsid w:val="00A70B6D"/>
    <w:rsid w:val="00A70BD2"/>
    <w:rsid w:val="00A70D60"/>
    <w:rsid w:val="00A70DEA"/>
    <w:rsid w:val="00A70E91"/>
    <w:rsid w:val="00A70EDA"/>
    <w:rsid w:val="00A70F30"/>
    <w:rsid w:val="00A71124"/>
    <w:rsid w:val="00A711BE"/>
    <w:rsid w:val="00A7121E"/>
    <w:rsid w:val="00A71226"/>
    <w:rsid w:val="00A712A2"/>
    <w:rsid w:val="00A71303"/>
    <w:rsid w:val="00A71347"/>
    <w:rsid w:val="00A7135E"/>
    <w:rsid w:val="00A71396"/>
    <w:rsid w:val="00A7152C"/>
    <w:rsid w:val="00A7163E"/>
    <w:rsid w:val="00A7164A"/>
    <w:rsid w:val="00A7187A"/>
    <w:rsid w:val="00A71908"/>
    <w:rsid w:val="00A719A6"/>
    <w:rsid w:val="00A719F6"/>
    <w:rsid w:val="00A71A60"/>
    <w:rsid w:val="00A71BA3"/>
    <w:rsid w:val="00A71C3D"/>
    <w:rsid w:val="00A71CD1"/>
    <w:rsid w:val="00A71D64"/>
    <w:rsid w:val="00A71DEE"/>
    <w:rsid w:val="00A71EAD"/>
    <w:rsid w:val="00A71EEB"/>
    <w:rsid w:val="00A71F50"/>
    <w:rsid w:val="00A721D4"/>
    <w:rsid w:val="00A722D2"/>
    <w:rsid w:val="00A723A7"/>
    <w:rsid w:val="00A723E3"/>
    <w:rsid w:val="00A72454"/>
    <w:rsid w:val="00A726BA"/>
    <w:rsid w:val="00A7272A"/>
    <w:rsid w:val="00A7274D"/>
    <w:rsid w:val="00A7286F"/>
    <w:rsid w:val="00A72877"/>
    <w:rsid w:val="00A728CA"/>
    <w:rsid w:val="00A728FB"/>
    <w:rsid w:val="00A72A37"/>
    <w:rsid w:val="00A72AA0"/>
    <w:rsid w:val="00A72AC9"/>
    <w:rsid w:val="00A72B08"/>
    <w:rsid w:val="00A72B9A"/>
    <w:rsid w:val="00A72BBF"/>
    <w:rsid w:val="00A72BC2"/>
    <w:rsid w:val="00A72DB5"/>
    <w:rsid w:val="00A73041"/>
    <w:rsid w:val="00A73165"/>
    <w:rsid w:val="00A732A1"/>
    <w:rsid w:val="00A732E1"/>
    <w:rsid w:val="00A734CA"/>
    <w:rsid w:val="00A7378C"/>
    <w:rsid w:val="00A737AA"/>
    <w:rsid w:val="00A7386C"/>
    <w:rsid w:val="00A73A88"/>
    <w:rsid w:val="00A73A90"/>
    <w:rsid w:val="00A73B74"/>
    <w:rsid w:val="00A73B81"/>
    <w:rsid w:val="00A73C1C"/>
    <w:rsid w:val="00A73CD0"/>
    <w:rsid w:val="00A73CD6"/>
    <w:rsid w:val="00A73FA0"/>
    <w:rsid w:val="00A73FCC"/>
    <w:rsid w:val="00A74283"/>
    <w:rsid w:val="00A74408"/>
    <w:rsid w:val="00A7450A"/>
    <w:rsid w:val="00A74583"/>
    <w:rsid w:val="00A747BE"/>
    <w:rsid w:val="00A74825"/>
    <w:rsid w:val="00A74918"/>
    <w:rsid w:val="00A74977"/>
    <w:rsid w:val="00A749C4"/>
    <w:rsid w:val="00A74A8A"/>
    <w:rsid w:val="00A74AF4"/>
    <w:rsid w:val="00A74BEB"/>
    <w:rsid w:val="00A74BFB"/>
    <w:rsid w:val="00A74CC1"/>
    <w:rsid w:val="00A74EE5"/>
    <w:rsid w:val="00A74F6F"/>
    <w:rsid w:val="00A75184"/>
    <w:rsid w:val="00A751DF"/>
    <w:rsid w:val="00A7523E"/>
    <w:rsid w:val="00A754F4"/>
    <w:rsid w:val="00A75625"/>
    <w:rsid w:val="00A756BA"/>
    <w:rsid w:val="00A756CB"/>
    <w:rsid w:val="00A7574C"/>
    <w:rsid w:val="00A75782"/>
    <w:rsid w:val="00A757A9"/>
    <w:rsid w:val="00A75A34"/>
    <w:rsid w:val="00A75B55"/>
    <w:rsid w:val="00A75C9D"/>
    <w:rsid w:val="00A760C7"/>
    <w:rsid w:val="00A76151"/>
    <w:rsid w:val="00A76394"/>
    <w:rsid w:val="00A764E7"/>
    <w:rsid w:val="00A764F3"/>
    <w:rsid w:val="00A766D5"/>
    <w:rsid w:val="00A766D9"/>
    <w:rsid w:val="00A7677E"/>
    <w:rsid w:val="00A76C1C"/>
    <w:rsid w:val="00A76C32"/>
    <w:rsid w:val="00A76D13"/>
    <w:rsid w:val="00A76E41"/>
    <w:rsid w:val="00A76FCB"/>
    <w:rsid w:val="00A77087"/>
    <w:rsid w:val="00A7712B"/>
    <w:rsid w:val="00A771A1"/>
    <w:rsid w:val="00A77223"/>
    <w:rsid w:val="00A77277"/>
    <w:rsid w:val="00A77327"/>
    <w:rsid w:val="00A77444"/>
    <w:rsid w:val="00A7748A"/>
    <w:rsid w:val="00A77578"/>
    <w:rsid w:val="00A7758E"/>
    <w:rsid w:val="00A77696"/>
    <w:rsid w:val="00A776DF"/>
    <w:rsid w:val="00A7774B"/>
    <w:rsid w:val="00A77892"/>
    <w:rsid w:val="00A77A9F"/>
    <w:rsid w:val="00A77AA4"/>
    <w:rsid w:val="00A77B9C"/>
    <w:rsid w:val="00A77C24"/>
    <w:rsid w:val="00A795B4"/>
    <w:rsid w:val="00A8000A"/>
    <w:rsid w:val="00A8008F"/>
    <w:rsid w:val="00A801AA"/>
    <w:rsid w:val="00A8021E"/>
    <w:rsid w:val="00A80269"/>
    <w:rsid w:val="00A80336"/>
    <w:rsid w:val="00A804F9"/>
    <w:rsid w:val="00A80557"/>
    <w:rsid w:val="00A8070B"/>
    <w:rsid w:val="00A80790"/>
    <w:rsid w:val="00A8082B"/>
    <w:rsid w:val="00A80A3F"/>
    <w:rsid w:val="00A80A84"/>
    <w:rsid w:val="00A80B40"/>
    <w:rsid w:val="00A80C70"/>
    <w:rsid w:val="00A80DEB"/>
    <w:rsid w:val="00A81228"/>
    <w:rsid w:val="00A81243"/>
    <w:rsid w:val="00A8152F"/>
    <w:rsid w:val="00A81538"/>
    <w:rsid w:val="00A815BB"/>
    <w:rsid w:val="00A816B8"/>
    <w:rsid w:val="00A81781"/>
    <w:rsid w:val="00A817A8"/>
    <w:rsid w:val="00A8183B"/>
    <w:rsid w:val="00A81891"/>
    <w:rsid w:val="00A819CA"/>
    <w:rsid w:val="00A81A22"/>
    <w:rsid w:val="00A81A39"/>
    <w:rsid w:val="00A81C19"/>
    <w:rsid w:val="00A81D33"/>
    <w:rsid w:val="00A81D38"/>
    <w:rsid w:val="00A81EE5"/>
    <w:rsid w:val="00A81F60"/>
    <w:rsid w:val="00A8201E"/>
    <w:rsid w:val="00A8228B"/>
    <w:rsid w:val="00A82308"/>
    <w:rsid w:val="00A8245B"/>
    <w:rsid w:val="00A824EA"/>
    <w:rsid w:val="00A826AB"/>
    <w:rsid w:val="00A8277C"/>
    <w:rsid w:val="00A827E5"/>
    <w:rsid w:val="00A828AD"/>
    <w:rsid w:val="00A8297F"/>
    <w:rsid w:val="00A82A1E"/>
    <w:rsid w:val="00A82AEA"/>
    <w:rsid w:val="00A82B24"/>
    <w:rsid w:val="00A82B4F"/>
    <w:rsid w:val="00A82B94"/>
    <w:rsid w:val="00A82BE2"/>
    <w:rsid w:val="00A82C24"/>
    <w:rsid w:val="00A82C3E"/>
    <w:rsid w:val="00A82C76"/>
    <w:rsid w:val="00A82D79"/>
    <w:rsid w:val="00A82D7B"/>
    <w:rsid w:val="00A82E7E"/>
    <w:rsid w:val="00A82EF9"/>
    <w:rsid w:val="00A82F28"/>
    <w:rsid w:val="00A830C1"/>
    <w:rsid w:val="00A830F9"/>
    <w:rsid w:val="00A83185"/>
    <w:rsid w:val="00A83203"/>
    <w:rsid w:val="00A832FC"/>
    <w:rsid w:val="00A8341C"/>
    <w:rsid w:val="00A83446"/>
    <w:rsid w:val="00A8356D"/>
    <w:rsid w:val="00A83573"/>
    <w:rsid w:val="00A8358D"/>
    <w:rsid w:val="00A8362B"/>
    <w:rsid w:val="00A8364A"/>
    <w:rsid w:val="00A8366D"/>
    <w:rsid w:val="00A837B6"/>
    <w:rsid w:val="00A838FA"/>
    <w:rsid w:val="00A8394E"/>
    <w:rsid w:val="00A839E1"/>
    <w:rsid w:val="00A83A18"/>
    <w:rsid w:val="00A83A20"/>
    <w:rsid w:val="00A83ABE"/>
    <w:rsid w:val="00A83AEB"/>
    <w:rsid w:val="00A83C69"/>
    <w:rsid w:val="00A83CE5"/>
    <w:rsid w:val="00A83E7C"/>
    <w:rsid w:val="00A83E85"/>
    <w:rsid w:val="00A83E9D"/>
    <w:rsid w:val="00A83F05"/>
    <w:rsid w:val="00A83FA7"/>
    <w:rsid w:val="00A84010"/>
    <w:rsid w:val="00A84039"/>
    <w:rsid w:val="00A84053"/>
    <w:rsid w:val="00A84097"/>
    <w:rsid w:val="00A84139"/>
    <w:rsid w:val="00A84173"/>
    <w:rsid w:val="00A84385"/>
    <w:rsid w:val="00A843D5"/>
    <w:rsid w:val="00A843D7"/>
    <w:rsid w:val="00A844AA"/>
    <w:rsid w:val="00A8453F"/>
    <w:rsid w:val="00A84661"/>
    <w:rsid w:val="00A846D5"/>
    <w:rsid w:val="00A84705"/>
    <w:rsid w:val="00A8483A"/>
    <w:rsid w:val="00A84894"/>
    <w:rsid w:val="00A8499D"/>
    <w:rsid w:val="00A84A18"/>
    <w:rsid w:val="00A84B5D"/>
    <w:rsid w:val="00A84B68"/>
    <w:rsid w:val="00A84C14"/>
    <w:rsid w:val="00A84C4F"/>
    <w:rsid w:val="00A84C53"/>
    <w:rsid w:val="00A84C9D"/>
    <w:rsid w:val="00A84E17"/>
    <w:rsid w:val="00A84EA1"/>
    <w:rsid w:val="00A850CA"/>
    <w:rsid w:val="00A85147"/>
    <w:rsid w:val="00A8527E"/>
    <w:rsid w:val="00A852E9"/>
    <w:rsid w:val="00A854EB"/>
    <w:rsid w:val="00A85554"/>
    <w:rsid w:val="00A85654"/>
    <w:rsid w:val="00A85671"/>
    <w:rsid w:val="00A85682"/>
    <w:rsid w:val="00A856EF"/>
    <w:rsid w:val="00A856F6"/>
    <w:rsid w:val="00A85AE1"/>
    <w:rsid w:val="00A85B11"/>
    <w:rsid w:val="00A85C2A"/>
    <w:rsid w:val="00A85C5D"/>
    <w:rsid w:val="00A85DB5"/>
    <w:rsid w:val="00A85E9A"/>
    <w:rsid w:val="00A85ECB"/>
    <w:rsid w:val="00A85F14"/>
    <w:rsid w:val="00A86054"/>
    <w:rsid w:val="00A8605B"/>
    <w:rsid w:val="00A8616E"/>
    <w:rsid w:val="00A862DD"/>
    <w:rsid w:val="00A8630E"/>
    <w:rsid w:val="00A863AF"/>
    <w:rsid w:val="00A863D7"/>
    <w:rsid w:val="00A863DA"/>
    <w:rsid w:val="00A8669E"/>
    <w:rsid w:val="00A867D7"/>
    <w:rsid w:val="00A867FF"/>
    <w:rsid w:val="00A86AA4"/>
    <w:rsid w:val="00A86C0A"/>
    <w:rsid w:val="00A86CF0"/>
    <w:rsid w:val="00A86CF6"/>
    <w:rsid w:val="00A86E56"/>
    <w:rsid w:val="00A86F06"/>
    <w:rsid w:val="00A86FEA"/>
    <w:rsid w:val="00A870E4"/>
    <w:rsid w:val="00A87384"/>
    <w:rsid w:val="00A8757C"/>
    <w:rsid w:val="00A87612"/>
    <w:rsid w:val="00A87662"/>
    <w:rsid w:val="00A87665"/>
    <w:rsid w:val="00A87866"/>
    <w:rsid w:val="00A87875"/>
    <w:rsid w:val="00A87A08"/>
    <w:rsid w:val="00A87A15"/>
    <w:rsid w:val="00A87BFC"/>
    <w:rsid w:val="00A87D6C"/>
    <w:rsid w:val="00A87FD4"/>
    <w:rsid w:val="00A901AE"/>
    <w:rsid w:val="00A901FE"/>
    <w:rsid w:val="00A90336"/>
    <w:rsid w:val="00A904D2"/>
    <w:rsid w:val="00A904F3"/>
    <w:rsid w:val="00A905BA"/>
    <w:rsid w:val="00A905F8"/>
    <w:rsid w:val="00A90911"/>
    <w:rsid w:val="00A90ACA"/>
    <w:rsid w:val="00A90AD4"/>
    <w:rsid w:val="00A90B77"/>
    <w:rsid w:val="00A90BB7"/>
    <w:rsid w:val="00A90C21"/>
    <w:rsid w:val="00A90E19"/>
    <w:rsid w:val="00A90FC3"/>
    <w:rsid w:val="00A91091"/>
    <w:rsid w:val="00A911F8"/>
    <w:rsid w:val="00A911FC"/>
    <w:rsid w:val="00A91391"/>
    <w:rsid w:val="00A91477"/>
    <w:rsid w:val="00A914C8"/>
    <w:rsid w:val="00A914DC"/>
    <w:rsid w:val="00A914E2"/>
    <w:rsid w:val="00A914F6"/>
    <w:rsid w:val="00A915D1"/>
    <w:rsid w:val="00A9161D"/>
    <w:rsid w:val="00A91729"/>
    <w:rsid w:val="00A917AD"/>
    <w:rsid w:val="00A917CA"/>
    <w:rsid w:val="00A917E5"/>
    <w:rsid w:val="00A917EC"/>
    <w:rsid w:val="00A91831"/>
    <w:rsid w:val="00A918FE"/>
    <w:rsid w:val="00A9192F"/>
    <w:rsid w:val="00A9196D"/>
    <w:rsid w:val="00A91B31"/>
    <w:rsid w:val="00A91C4F"/>
    <w:rsid w:val="00A91CB3"/>
    <w:rsid w:val="00A91CC1"/>
    <w:rsid w:val="00A91D2D"/>
    <w:rsid w:val="00A91F12"/>
    <w:rsid w:val="00A920FF"/>
    <w:rsid w:val="00A92105"/>
    <w:rsid w:val="00A921F0"/>
    <w:rsid w:val="00A921F3"/>
    <w:rsid w:val="00A922D5"/>
    <w:rsid w:val="00A92336"/>
    <w:rsid w:val="00A924F1"/>
    <w:rsid w:val="00A9258E"/>
    <w:rsid w:val="00A926C9"/>
    <w:rsid w:val="00A92757"/>
    <w:rsid w:val="00A927C0"/>
    <w:rsid w:val="00A92887"/>
    <w:rsid w:val="00A928C1"/>
    <w:rsid w:val="00A9292C"/>
    <w:rsid w:val="00A92970"/>
    <w:rsid w:val="00A929AD"/>
    <w:rsid w:val="00A92A41"/>
    <w:rsid w:val="00A92A72"/>
    <w:rsid w:val="00A92B59"/>
    <w:rsid w:val="00A92BE5"/>
    <w:rsid w:val="00A92BF5"/>
    <w:rsid w:val="00A92C5E"/>
    <w:rsid w:val="00A92D37"/>
    <w:rsid w:val="00A92D58"/>
    <w:rsid w:val="00A92E5C"/>
    <w:rsid w:val="00A92E99"/>
    <w:rsid w:val="00A92F3C"/>
    <w:rsid w:val="00A93087"/>
    <w:rsid w:val="00A930AE"/>
    <w:rsid w:val="00A93108"/>
    <w:rsid w:val="00A931AE"/>
    <w:rsid w:val="00A93262"/>
    <w:rsid w:val="00A93263"/>
    <w:rsid w:val="00A93343"/>
    <w:rsid w:val="00A9345B"/>
    <w:rsid w:val="00A93497"/>
    <w:rsid w:val="00A9364A"/>
    <w:rsid w:val="00A936F3"/>
    <w:rsid w:val="00A93723"/>
    <w:rsid w:val="00A9383C"/>
    <w:rsid w:val="00A93886"/>
    <w:rsid w:val="00A939DB"/>
    <w:rsid w:val="00A93AD5"/>
    <w:rsid w:val="00A93B78"/>
    <w:rsid w:val="00A93C11"/>
    <w:rsid w:val="00A93DDA"/>
    <w:rsid w:val="00A93E5D"/>
    <w:rsid w:val="00A93E64"/>
    <w:rsid w:val="00A93EEA"/>
    <w:rsid w:val="00A93FF9"/>
    <w:rsid w:val="00A940A7"/>
    <w:rsid w:val="00A9414C"/>
    <w:rsid w:val="00A9420C"/>
    <w:rsid w:val="00A94274"/>
    <w:rsid w:val="00A94278"/>
    <w:rsid w:val="00A9429E"/>
    <w:rsid w:val="00A942C7"/>
    <w:rsid w:val="00A9430C"/>
    <w:rsid w:val="00A9439A"/>
    <w:rsid w:val="00A943C7"/>
    <w:rsid w:val="00A94436"/>
    <w:rsid w:val="00A94447"/>
    <w:rsid w:val="00A94489"/>
    <w:rsid w:val="00A945BD"/>
    <w:rsid w:val="00A945D0"/>
    <w:rsid w:val="00A947CA"/>
    <w:rsid w:val="00A9484A"/>
    <w:rsid w:val="00A94888"/>
    <w:rsid w:val="00A949A0"/>
    <w:rsid w:val="00A949B4"/>
    <w:rsid w:val="00A94A4C"/>
    <w:rsid w:val="00A94AC5"/>
    <w:rsid w:val="00A94AF1"/>
    <w:rsid w:val="00A94B7C"/>
    <w:rsid w:val="00A94B7E"/>
    <w:rsid w:val="00A94BD9"/>
    <w:rsid w:val="00A94D43"/>
    <w:rsid w:val="00A94DE4"/>
    <w:rsid w:val="00A94E4E"/>
    <w:rsid w:val="00A94E88"/>
    <w:rsid w:val="00A94FA3"/>
    <w:rsid w:val="00A94FB5"/>
    <w:rsid w:val="00A950C0"/>
    <w:rsid w:val="00A950F7"/>
    <w:rsid w:val="00A95254"/>
    <w:rsid w:val="00A9525E"/>
    <w:rsid w:val="00A95266"/>
    <w:rsid w:val="00A952EB"/>
    <w:rsid w:val="00A95369"/>
    <w:rsid w:val="00A9538E"/>
    <w:rsid w:val="00A953E3"/>
    <w:rsid w:val="00A954DB"/>
    <w:rsid w:val="00A95521"/>
    <w:rsid w:val="00A95715"/>
    <w:rsid w:val="00A959D0"/>
    <w:rsid w:val="00A95CCD"/>
    <w:rsid w:val="00A95D2E"/>
    <w:rsid w:val="00A95DED"/>
    <w:rsid w:val="00A95F08"/>
    <w:rsid w:val="00A95F8C"/>
    <w:rsid w:val="00A95F93"/>
    <w:rsid w:val="00A95FA8"/>
    <w:rsid w:val="00A95FFA"/>
    <w:rsid w:val="00A9600B"/>
    <w:rsid w:val="00A9606B"/>
    <w:rsid w:val="00A9611F"/>
    <w:rsid w:val="00A96237"/>
    <w:rsid w:val="00A96343"/>
    <w:rsid w:val="00A96407"/>
    <w:rsid w:val="00A96429"/>
    <w:rsid w:val="00A966E5"/>
    <w:rsid w:val="00A96757"/>
    <w:rsid w:val="00A9679C"/>
    <w:rsid w:val="00A96889"/>
    <w:rsid w:val="00A96D33"/>
    <w:rsid w:val="00A96F54"/>
    <w:rsid w:val="00A97113"/>
    <w:rsid w:val="00A9728A"/>
    <w:rsid w:val="00A97326"/>
    <w:rsid w:val="00A97483"/>
    <w:rsid w:val="00A974D9"/>
    <w:rsid w:val="00A974F3"/>
    <w:rsid w:val="00A975CB"/>
    <w:rsid w:val="00A9767C"/>
    <w:rsid w:val="00A976B0"/>
    <w:rsid w:val="00A9775C"/>
    <w:rsid w:val="00A977BC"/>
    <w:rsid w:val="00A97809"/>
    <w:rsid w:val="00A9781F"/>
    <w:rsid w:val="00A979A6"/>
    <w:rsid w:val="00A97DDF"/>
    <w:rsid w:val="00A97ECB"/>
    <w:rsid w:val="00A97F7A"/>
    <w:rsid w:val="00AA003C"/>
    <w:rsid w:val="00AA0149"/>
    <w:rsid w:val="00AA01AE"/>
    <w:rsid w:val="00AA0246"/>
    <w:rsid w:val="00AA0248"/>
    <w:rsid w:val="00AA0399"/>
    <w:rsid w:val="00AA03E8"/>
    <w:rsid w:val="00AA0519"/>
    <w:rsid w:val="00AA058D"/>
    <w:rsid w:val="00AA0593"/>
    <w:rsid w:val="00AA05DA"/>
    <w:rsid w:val="00AA062B"/>
    <w:rsid w:val="00AA0670"/>
    <w:rsid w:val="00AA06A8"/>
    <w:rsid w:val="00AA0811"/>
    <w:rsid w:val="00AA0BC6"/>
    <w:rsid w:val="00AA0CAC"/>
    <w:rsid w:val="00AA1106"/>
    <w:rsid w:val="00AA1155"/>
    <w:rsid w:val="00AA12CD"/>
    <w:rsid w:val="00AA1315"/>
    <w:rsid w:val="00AA1499"/>
    <w:rsid w:val="00AA153E"/>
    <w:rsid w:val="00AA156B"/>
    <w:rsid w:val="00AA15D0"/>
    <w:rsid w:val="00AA1613"/>
    <w:rsid w:val="00AA164F"/>
    <w:rsid w:val="00AA174F"/>
    <w:rsid w:val="00AA1765"/>
    <w:rsid w:val="00AA179A"/>
    <w:rsid w:val="00AA179B"/>
    <w:rsid w:val="00AA1886"/>
    <w:rsid w:val="00AA1A2A"/>
    <w:rsid w:val="00AA1A32"/>
    <w:rsid w:val="00AA1A71"/>
    <w:rsid w:val="00AA1A95"/>
    <w:rsid w:val="00AA1AD0"/>
    <w:rsid w:val="00AA1BD8"/>
    <w:rsid w:val="00AA1C25"/>
    <w:rsid w:val="00AA1D10"/>
    <w:rsid w:val="00AA1D5B"/>
    <w:rsid w:val="00AA1E07"/>
    <w:rsid w:val="00AA1E43"/>
    <w:rsid w:val="00AA1E5A"/>
    <w:rsid w:val="00AA1F27"/>
    <w:rsid w:val="00AA1F8F"/>
    <w:rsid w:val="00AA1FB0"/>
    <w:rsid w:val="00AA1FB7"/>
    <w:rsid w:val="00AA1FDF"/>
    <w:rsid w:val="00AA2123"/>
    <w:rsid w:val="00AA2228"/>
    <w:rsid w:val="00AA2248"/>
    <w:rsid w:val="00AA2270"/>
    <w:rsid w:val="00AA22F5"/>
    <w:rsid w:val="00AA23CA"/>
    <w:rsid w:val="00AA2426"/>
    <w:rsid w:val="00AA25A5"/>
    <w:rsid w:val="00AA25CF"/>
    <w:rsid w:val="00AA260F"/>
    <w:rsid w:val="00AA262B"/>
    <w:rsid w:val="00AA2715"/>
    <w:rsid w:val="00AA27B7"/>
    <w:rsid w:val="00AA27D9"/>
    <w:rsid w:val="00AA286A"/>
    <w:rsid w:val="00AA29A8"/>
    <w:rsid w:val="00AA29BA"/>
    <w:rsid w:val="00AA29D0"/>
    <w:rsid w:val="00AA29D7"/>
    <w:rsid w:val="00AA2A4C"/>
    <w:rsid w:val="00AA2AB8"/>
    <w:rsid w:val="00AA2B95"/>
    <w:rsid w:val="00AA2DAD"/>
    <w:rsid w:val="00AA2DE7"/>
    <w:rsid w:val="00AA2E6A"/>
    <w:rsid w:val="00AA2F30"/>
    <w:rsid w:val="00AA2F38"/>
    <w:rsid w:val="00AA2F8E"/>
    <w:rsid w:val="00AA31B9"/>
    <w:rsid w:val="00AA31E6"/>
    <w:rsid w:val="00AA329C"/>
    <w:rsid w:val="00AA33E3"/>
    <w:rsid w:val="00AA3493"/>
    <w:rsid w:val="00AA356E"/>
    <w:rsid w:val="00AA3579"/>
    <w:rsid w:val="00AA3602"/>
    <w:rsid w:val="00AA361F"/>
    <w:rsid w:val="00AA3629"/>
    <w:rsid w:val="00AA378F"/>
    <w:rsid w:val="00AA37D9"/>
    <w:rsid w:val="00AA37F7"/>
    <w:rsid w:val="00AA3861"/>
    <w:rsid w:val="00AA38C3"/>
    <w:rsid w:val="00AA3A1A"/>
    <w:rsid w:val="00AA3B19"/>
    <w:rsid w:val="00AA3B9F"/>
    <w:rsid w:val="00AA3C22"/>
    <w:rsid w:val="00AA3C62"/>
    <w:rsid w:val="00AA3DF8"/>
    <w:rsid w:val="00AA3E48"/>
    <w:rsid w:val="00AA3E8F"/>
    <w:rsid w:val="00AA3F0D"/>
    <w:rsid w:val="00AA3F66"/>
    <w:rsid w:val="00AA406F"/>
    <w:rsid w:val="00AA40D1"/>
    <w:rsid w:val="00AA413B"/>
    <w:rsid w:val="00AA41DB"/>
    <w:rsid w:val="00AA4362"/>
    <w:rsid w:val="00AA4489"/>
    <w:rsid w:val="00AA49A1"/>
    <w:rsid w:val="00AA49B4"/>
    <w:rsid w:val="00AA49DA"/>
    <w:rsid w:val="00AA49DC"/>
    <w:rsid w:val="00AA4B26"/>
    <w:rsid w:val="00AA4C7B"/>
    <w:rsid w:val="00AA4E7D"/>
    <w:rsid w:val="00AA4ECF"/>
    <w:rsid w:val="00AA4F9D"/>
    <w:rsid w:val="00AA4FDB"/>
    <w:rsid w:val="00AA5061"/>
    <w:rsid w:val="00AA5065"/>
    <w:rsid w:val="00AA5097"/>
    <w:rsid w:val="00AA50CE"/>
    <w:rsid w:val="00AA5124"/>
    <w:rsid w:val="00AA5224"/>
    <w:rsid w:val="00AA52E1"/>
    <w:rsid w:val="00AA53F3"/>
    <w:rsid w:val="00AA5531"/>
    <w:rsid w:val="00AA5540"/>
    <w:rsid w:val="00AA5954"/>
    <w:rsid w:val="00AA5A6A"/>
    <w:rsid w:val="00AA5A7D"/>
    <w:rsid w:val="00AA5AB3"/>
    <w:rsid w:val="00AA5C71"/>
    <w:rsid w:val="00AA5DCB"/>
    <w:rsid w:val="00AA5DDB"/>
    <w:rsid w:val="00AA5E21"/>
    <w:rsid w:val="00AA5E90"/>
    <w:rsid w:val="00AA5F3E"/>
    <w:rsid w:val="00AA606C"/>
    <w:rsid w:val="00AA60E6"/>
    <w:rsid w:val="00AA624A"/>
    <w:rsid w:val="00AA62A4"/>
    <w:rsid w:val="00AA63D7"/>
    <w:rsid w:val="00AA6418"/>
    <w:rsid w:val="00AA648B"/>
    <w:rsid w:val="00AA6492"/>
    <w:rsid w:val="00AA650C"/>
    <w:rsid w:val="00AA65B3"/>
    <w:rsid w:val="00AA65CD"/>
    <w:rsid w:val="00AA65D1"/>
    <w:rsid w:val="00AA65D7"/>
    <w:rsid w:val="00AA67B1"/>
    <w:rsid w:val="00AA6A3E"/>
    <w:rsid w:val="00AA6A41"/>
    <w:rsid w:val="00AA6D0D"/>
    <w:rsid w:val="00AA6D3C"/>
    <w:rsid w:val="00AA6D63"/>
    <w:rsid w:val="00AA6D6A"/>
    <w:rsid w:val="00AA6E1C"/>
    <w:rsid w:val="00AA6E1F"/>
    <w:rsid w:val="00AA6E90"/>
    <w:rsid w:val="00AA6F8A"/>
    <w:rsid w:val="00AA700C"/>
    <w:rsid w:val="00AA7029"/>
    <w:rsid w:val="00AA710E"/>
    <w:rsid w:val="00AA71B5"/>
    <w:rsid w:val="00AA7237"/>
    <w:rsid w:val="00AA7242"/>
    <w:rsid w:val="00AA7307"/>
    <w:rsid w:val="00AA7311"/>
    <w:rsid w:val="00AA734E"/>
    <w:rsid w:val="00AA74E7"/>
    <w:rsid w:val="00AA759D"/>
    <w:rsid w:val="00AA7820"/>
    <w:rsid w:val="00AA786F"/>
    <w:rsid w:val="00AA78DA"/>
    <w:rsid w:val="00AA78EA"/>
    <w:rsid w:val="00AA7991"/>
    <w:rsid w:val="00AA7A87"/>
    <w:rsid w:val="00AA7DB0"/>
    <w:rsid w:val="00AA7E78"/>
    <w:rsid w:val="00AAAB9E"/>
    <w:rsid w:val="00AB0120"/>
    <w:rsid w:val="00AB028E"/>
    <w:rsid w:val="00AB02F1"/>
    <w:rsid w:val="00AB032F"/>
    <w:rsid w:val="00AB03E2"/>
    <w:rsid w:val="00AB04A5"/>
    <w:rsid w:val="00AB04AE"/>
    <w:rsid w:val="00AB058C"/>
    <w:rsid w:val="00AB0795"/>
    <w:rsid w:val="00AB082E"/>
    <w:rsid w:val="00AB08C8"/>
    <w:rsid w:val="00AB0964"/>
    <w:rsid w:val="00AB0994"/>
    <w:rsid w:val="00AB0ACA"/>
    <w:rsid w:val="00AB0AF0"/>
    <w:rsid w:val="00AB0B2B"/>
    <w:rsid w:val="00AB0BEF"/>
    <w:rsid w:val="00AB0D54"/>
    <w:rsid w:val="00AB0DAD"/>
    <w:rsid w:val="00AB0E4D"/>
    <w:rsid w:val="00AB0FEC"/>
    <w:rsid w:val="00AB10D1"/>
    <w:rsid w:val="00AB111C"/>
    <w:rsid w:val="00AB114B"/>
    <w:rsid w:val="00AB1196"/>
    <w:rsid w:val="00AB11F6"/>
    <w:rsid w:val="00AB1378"/>
    <w:rsid w:val="00AB13BD"/>
    <w:rsid w:val="00AB1461"/>
    <w:rsid w:val="00AB147A"/>
    <w:rsid w:val="00AB1584"/>
    <w:rsid w:val="00AB16EF"/>
    <w:rsid w:val="00AB1842"/>
    <w:rsid w:val="00AB18AB"/>
    <w:rsid w:val="00AB18D4"/>
    <w:rsid w:val="00AB192D"/>
    <w:rsid w:val="00AB19E7"/>
    <w:rsid w:val="00AB1AC8"/>
    <w:rsid w:val="00AB1AE4"/>
    <w:rsid w:val="00AB1B6E"/>
    <w:rsid w:val="00AB1BAA"/>
    <w:rsid w:val="00AB1CF2"/>
    <w:rsid w:val="00AB1E89"/>
    <w:rsid w:val="00AB1EA5"/>
    <w:rsid w:val="00AB1EE7"/>
    <w:rsid w:val="00AB1F40"/>
    <w:rsid w:val="00AB1F68"/>
    <w:rsid w:val="00AB21C7"/>
    <w:rsid w:val="00AB22A5"/>
    <w:rsid w:val="00AB24A9"/>
    <w:rsid w:val="00AB24E1"/>
    <w:rsid w:val="00AB2645"/>
    <w:rsid w:val="00AB26B8"/>
    <w:rsid w:val="00AB281C"/>
    <w:rsid w:val="00AB282A"/>
    <w:rsid w:val="00AB283C"/>
    <w:rsid w:val="00AB2890"/>
    <w:rsid w:val="00AB2AC2"/>
    <w:rsid w:val="00AB2AE1"/>
    <w:rsid w:val="00AB2B1D"/>
    <w:rsid w:val="00AB2B39"/>
    <w:rsid w:val="00AB2B78"/>
    <w:rsid w:val="00AB2BB7"/>
    <w:rsid w:val="00AB2C0F"/>
    <w:rsid w:val="00AB2CD9"/>
    <w:rsid w:val="00AB2E83"/>
    <w:rsid w:val="00AB2EC2"/>
    <w:rsid w:val="00AB2F3F"/>
    <w:rsid w:val="00AB2FD3"/>
    <w:rsid w:val="00AB3088"/>
    <w:rsid w:val="00AB30EE"/>
    <w:rsid w:val="00AB311B"/>
    <w:rsid w:val="00AB3145"/>
    <w:rsid w:val="00AB31B1"/>
    <w:rsid w:val="00AB322A"/>
    <w:rsid w:val="00AB331E"/>
    <w:rsid w:val="00AB334B"/>
    <w:rsid w:val="00AB3392"/>
    <w:rsid w:val="00AB339E"/>
    <w:rsid w:val="00AB33A9"/>
    <w:rsid w:val="00AB343C"/>
    <w:rsid w:val="00AB34B2"/>
    <w:rsid w:val="00AB355C"/>
    <w:rsid w:val="00AB3565"/>
    <w:rsid w:val="00AB362C"/>
    <w:rsid w:val="00AB3649"/>
    <w:rsid w:val="00AB368C"/>
    <w:rsid w:val="00AB36C7"/>
    <w:rsid w:val="00AB36DE"/>
    <w:rsid w:val="00AB36F5"/>
    <w:rsid w:val="00AB37F8"/>
    <w:rsid w:val="00AB38AB"/>
    <w:rsid w:val="00AB3B9F"/>
    <w:rsid w:val="00AB3C05"/>
    <w:rsid w:val="00AB3C83"/>
    <w:rsid w:val="00AB3CA1"/>
    <w:rsid w:val="00AB3D4F"/>
    <w:rsid w:val="00AB3DAA"/>
    <w:rsid w:val="00AB3DC4"/>
    <w:rsid w:val="00AB3E5A"/>
    <w:rsid w:val="00AB3EC8"/>
    <w:rsid w:val="00AB3FE7"/>
    <w:rsid w:val="00AB402E"/>
    <w:rsid w:val="00AB41D1"/>
    <w:rsid w:val="00AB41E3"/>
    <w:rsid w:val="00AB43D8"/>
    <w:rsid w:val="00AB44B1"/>
    <w:rsid w:val="00AB4518"/>
    <w:rsid w:val="00AB461D"/>
    <w:rsid w:val="00AB4736"/>
    <w:rsid w:val="00AB4767"/>
    <w:rsid w:val="00AB4810"/>
    <w:rsid w:val="00AB491D"/>
    <w:rsid w:val="00AB497D"/>
    <w:rsid w:val="00AB49D6"/>
    <w:rsid w:val="00AB4A54"/>
    <w:rsid w:val="00AB4B1B"/>
    <w:rsid w:val="00AB4B31"/>
    <w:rsid w:val="00AB4B37"/>
    <w:rsid w:val="00AB4C43"/>
    <w:rsid w:val="00AB4CC3"/>
    <w:rsid w:val="00AB4D07"/>
    <w:rsid w:val="00AB4D5F"/>
    <w:rsid w:val="00AB4DA2"/>
    <w:rsid w:val="00AB4DAD"/>
    <w:rsid w:val="00AB4DD0"/>
    <w:rsid w:val="00AB4EB0"/>
    <w:rsid w:val="00AB4F29"/>
    <w:rsid w:val="00AB5479"/>
    <w:rsid w:val="00AB54B0"/>
    <w:rsid w:val="00AB5565"/>
    <w:rsid w:val="00AB5762"/>
    <w:rsid w:val="00AB576B"/>
    <w:rsid w:val="00AB57EB"/>
    <w:rsid w:val="00AB5845"/>
    <w:rsid w:val="00AB589E"/>
    <w:rsid w:val="00AB5AD0"/>
    <w:rsid w:val="00AB5B54"/>
    <w:rsid w:val="00AB5B97"/>
    <w:rsid w:val="00AB5CE4"/>
    <w:rsid w:val="00AB5E5F"/>
    <w:rsid w:val="00AB5FDF"/>
    <w:rsid w:val="00AB6287"/>
    <w:rsid w:val="00AB62B8"/>
    <w:rsid w:val="00AB62D2"/>
    <w:rsid w:val="00AB6320"/>
    <w:rsid w:val="00AB6996"/>
    <w:rsid w:val="00AB6A93"/>
    <w:rsid w:val="00AB6B0D"/>
    <w:rsid w:val="00AB6B3F"/>
    <w:rsid w:val="00AB6CAC"/>
    <w:rsid w:val="00AB6CC0"/>
    <w:rsid w:val="00AB6CED"/>
    <w:rsid w:val="00AB6DCE"/>
    <w:rsid w:val="00AB6E1A"/>
    <w:rsid w:val="00AB6E59"/>
    <w:rsid w:val="00AB6E95"/>
    <w:rsid w:val="00AB6F3A"/>
    <w:rsid w:val="00AB7080"/>
    <w:rsid w:val="00AB70C1"/>
    <w:rsid w:val="00AB70F4"/>
    <w:rsid w:val="00AB7130"/>
    <w:rsid w:val="00AB733B"/>
    <w:rsid w:val="00AB74AE"/>
    <w:rsid w:val="00AB74AF"/>
    <w:rsid w:val="00AB7582"/>
    <w:rsid w:val="00AB75A9"/>
    <w:rsid w:val="00AB75E5"/>
    <w:rsid w:val="00AB774E"/>
    <w:rsid w:val="00AB77C0"/>
    <w:rsid w:val="00AB7822"/>
    <w:rsid w:val="00AB78CB"/>
    <w:rsid w:val="00AB7B69"/>
    <w:rsid w:val="00AB7B79"/>
    <w:rsid w:val="00AB7BCB"/>
    <w:rsid w:val="00AB7CAD"/>
    <w:rsid w:val="00AB7D61"/>
    <w:rsid w:val="00AB7E36"/>
    <w:rsid w:val="00AC0237"/>
    <w:rsid w:val="00AC028E"/>
    <w:rsid w:val="00AC0484"/>
    <w:rsid w:val="00AC0594"/>
    <w:rsid w:val="00AC0631"/>
    <w:rsid w:val="00AC0647"/>
    <w:rsid w:val="00AC07EB"/>
    <w:rsid w:val="00AC08DB"/>
    <w:rsid w:val="00AC08E5"/>
    <w:rsid w:val="00AC09DA"/>
    <w:rsid w:val="00AC0A8C"/>
    <w:rsid w:val="00AC0B06"/>
    <w:rsid w:val="00AC0B50"/>
    <w:rsid w:val="00AC0B9B"/>
    <w:rsid w:val="00AC0BE0"/>
    <w:rsid w:val="00AC0E77"/>
    <w:rsid w:val="00AC0EEC"/>
    <w:rsid w:val="00AC1019"/>
    <w:rsid w:val="00AC10A8"/>
    <w:rsid w:val="00AC1121"/>
    <w:rsid w:val="00AC11DD"/>
    <w:rsid w:val="00AC1216"/>
    <w:rsid w:val="00AC121E"/>
    <w:rsid w:val="00AC146B"/>
    <w:rsid w:val="00AC15F2"/>
    <w:rsid w:val="00AC1605"/>
    <w:rsid w:val="00AC1635"/>
    <w:rsid w:val="00AC16F1"/>
    <w:rsid w:val="00AC17A6"/>
    <w:rsid w:val="00AC1838"/>
    <w:rsid w:val="00AC1963"/>
    <w:rsid w:val="00AC19A5"/>
    <w:rsid w:val="00AC19B8"/>
    <w:rsid w:val="00AC1A51"/>
    <w:rsid w:val="00AC1D70"/>
    <w:rsid w:val="00AC1D75"/>
    <w:rsid w:val="00AC1D77"/>
    <w:rsid w:val="00AC1E83"/>
    <w:rsid w:val="00AC1EBA"/>
    <w:rsid w:val="00AC1ECA"/>
    <w:rsid w:val="00AC202B"/>
    <w:rsid w:val="00AC203A"/>
    <w:rsid w:val="00AC20F2"/>
    <w:rsid w:val="00AC2142"/>
    <w:rsid w:val="00AC2229"/>
    <w:rsid w:val="00AC2264"/>
    <w:rsid w:val="00AC2320"/>
    <w:rsid w:val="00AC2373"/>
    <w:rsid w:val="00AC24C4"/>
    <w:rsid w:val="00AC253E"/>
    <w:rsid w:val="00AC2578"/>
    <w:rsid w:val="00AC25E1"/>
    <w:rsid w:val="00AC25E2"/>
    <w:rsid w:val="00AC2679"/>
    <w:rsid w:val="00AC268E"/>
    <w:rsid w:val="00AC26B8"/>
    <w:rsid w:val="00AC273E"/>
    <w:rsid w:val="00AC27C8"/>
    <w:rsid w:val="00AC27EC"/>
    <w:rsid w:val="00AC280C"/>
    <w:rsid w:val="00AC28EB"/>
    <w:rsid w:val="00AC2993"/>
    <w:rsid w:val="00AC2A4B"/>
    <w:rsid w:val="00AC2DBC"/>
    <w:rsid w:val="00AC2E28"/>
    <w:rsid w:val="00AC2E3D"/>
    <w:rsid w:val="00AC2F42"/>
    <w:rsid w:val="00AC303A"/>
    <w:rsid w:val="00AC32D7"/>
    <w:rsid w:val="00AC33DF"/>
    <w:rsid w:val="00AC3429"/>
    <w:rsid w:val="00AC3468"/>
    <w:rsid w:val="00AC34EE"/>
    <w:rsid w:val="00AC3542"/>
    <w:rsid w:val="00AC3585"/>
    <w:rsid w:val="00AC36BC"/>
    <w:rsid w:val="00AC3765"/>
    <w:rsid w:val="00AC378E"/>
    <w:rsid w:val="00AC38E5"/>
    <w:rsid w:val="00AC3A36"/>
    <w:rsid w:val="00AC3A5E"/>
    <w:rsid w:val="00AC3A86"/>
    <w:rsid w:val="00AC3B32"/>
    <w:rsid w:val="00AC3B36"/>
    <w:rsid w:val="00AC3DA9"/>
    <w:rsid w:val="00AC3E5B"/>
    <w:rsid w:val="00AC3E7F"/>
    <w:rsid w:val="00AC3F7A"/>
    <w:rsid w:val="00AC3F85"/>
    <w:rsid w:val="00AC3F8D"/>
    <w:rsid w:val="00AC408E"/>
    <w:rsid w:val="00AC4099"/>
    <w:rsid w:val="00AC409C"/>
    <w:rsid w:val="00AC4206"/>
    <w:rsid w:val="00AC4230"/>
    <w:rsid w:val="00AC42C9"/>
    <w:rsid w:val="00AC4383"/>
    <w:rsid w:val="00AC4405"/>
    <w:rsid w:val="00AC452A"/>
    <w:rsid w:val="00AC462F"/>
    <w:rsid w:val="00AC493A"/>
    <w:rsid w:val="00AC49A0"/>
    <w:rsid w:val="00AC4B5B"/>
    <w:rsid w:val="00AC4B5C"/>
    <w:rsid w:val="00AC4B62"/>
    <w:rsid w:val="00AC4B81"/>
    <w:rsid w:val="00AC4BE4"/>
    <w:rsid w:val="00AC4BFA"/>
    <w:rsid w:val="00AC4C95"/>
    <w:rsid w:val="00AC4D34"/>
    <w:rsid w:val="00AC4DA7"/>
    <w:rsid w:val="00AC4DD8"/>
    <w:rsid w:val="00AC4DF5"/>
    <w:rsid w:val="00AC4E32"/>
    <w:rsid w:val="00AC4E5D"/>
    <w:rsid w:val="00AC4EEB"/>
    <w:rsid w:val="00AC5018"/>
    <w:rsid w:val="00AC5054"/>
    <w:rsid w:val="00AC50CD"/>
    <w:rsid w:val="00AC518D"/>
    <w:rsid w:val="00AC529D"/>
    <w:rsid w:val="00AC52CA"/>
    <w:rsid w:val="00AC52F0"/>
    <w:rsid w:val="00AC5350"/>
    <w:rsid w:val="00AC539D"/>
    <w:rsid w:val="00AC54DF"/>
    <w:rsid w:val="00AC5535"/>
    <w:rsid w:val="00AC5558"/>
    <w:rsid w:val="00AC5640"/>
    <w:rsid w:val="00AC56EA"/>
    <w:rsid w:val="00AC570A"/>
    <w:rsid w:val="00AC5748"/>
    <w:rsid w:val="00AC576D"/>
    <w:rsid w:val="00AC57A7"/>
    <w:rsid w:val="00AC58F8"/>
    <w:rsid w:val="00AC58FB"/>
    <w:rsid w:val="00AC5ADB"/>
    <w:rsid w:val="00AC5B3E"/>
    <w:rsid w:val="00AC5C78"/>
    <w:rsid w:val="00AC5D51"/>
    <w:rsid w:val="00AC5EB0"/>
    <w:rsid w:val="00AC5F12"/>
    <w:rsid w:val="00AC60E6"/>
    <w:rsid w:val="00AC6187"/>
    <w:rsid w:val="00AC619A"/>
    <w:rsid w:val="00AC61C1"/>
    <w:rsid w:val="00AC61FC"/>
    <w:rsid w:val="00AC6250"/>
    <w:rsid w:val="00AC630D"/>
    <w:rsid w:val="00AC644E"/>
    <w:rsid w:val="00AC6487"/>
    <w:rsid w:val="00AC65EF"/>
    <w:rsid w:val="00AC6673"/>
    <w:rsid w:val="00AC670C"/>
    <w:rsid w:val="00AC6748"/>
    <w:rsid w:val="00AC6798"/>
    <w:rsid w:val="00AC67E6"/>
    <w:rsid w:val="00AC6845"/>
    <w:rsid w:val="00AC684B"/>
    <w:rsid w:val="00AC699B"/>
    <w:rsid w:val="00AC69C6"/>
    <w:rsid w:val="00AC6B16"/>
    <w:rsid w:val="00AC6B80"/>
    <w:rsid w:val="00AC6BF7"/>
    <w:rsid w:val="00AC6CD5"/>
    <w:rsid w:val="00AC6D08"/>
    <w:rsid w:val="00AC6D53"/>
    <w:rsid w:val="00AC6D7D"/>
    <w:rsid w:val="00AC6E73"/>
    <w:rsid w:val="00AC6F4E"/>
    <w:rsid w:val="00AC6F73"/>
    <w:rsid w:val="00AC705A"/>
    <w:rsid w:val="00AC7221"/>
    <w:rsid w:val="00AC7229"/>
    <w:rsid w:val="00AC7276"/>
    <w:rsid w:val="00AC7288"/>
    <w:rsid w:val="00AC72F2"/>
    <w:rsid w:val="00AC736B"/>
    <w:rsid w:val="00AC7428"/>
    <w:rsid w:val="00AC74A4"/>
    <w:rsid w:val="00AC750C"/>
    <w:rsid w:val="00AC750D"/>
    <w:rsid w:val="00AC7514"/>
    <w:rsid w:val="00AC7574"/>
    <w:rsid w:val="00AC7815"/>
    <w:rsid w:val="00AC7924"/>
    <w:rsid w:val="00AC7931"/>
    <w:rsid w:val="00AC79CE"/>
    <w:rsid w:val="00AC7A2F"/>
    <w:rsid w:val="00AC7A45"/>
    <w:rsid w:val="00AC7B30"/>
    <w:rsid w:val="00AC7C38"/>
    <w:rsid w:val="00AC7D1C"/>
    <w:rsid w:val="00AC7E01"/>
    <w:rsid w:val="00AC7E03"/>
    <w:rsid w:val="00AC7E9C"/>
    <w:rsid w:val="00AC7FA1"/>
    <w:rsid w:val="00AD01A7"/>
    <w:rsid w:val="00AD0266"/>
    <w:rsid w:val="00AD02F6"/>
    <w:rsid w:val="00AD0316"/>
    <w:rsid w:val="00AD0398"/>
    <w:rsid w:val="00AD0399"/>
    <w:rsid w:val="00AD041B"/>
    <w:rsid w:val="00AD0472"/>
    <w:rsid w:val="00AD04F4"/>
    <w:rsid w:val="00AD05D8"/>
    <w:rsid w:val="00AD05E6"/>
    <w:rsid w:val="00AD0639"/>
    <w:rsid w:val="00AD0731"/>
    <w:rsid w:val="00AD0A20"/>
    <w:rsid w:val="00AD0A7C"/>
    <w:rsid w:val="00AD0AD0"/>
    <w:rsid w:val="00AD0AD4"/>
    <w:rsid w:val="00AD0B2A"/>
    <w:rsid w:val="00AD0BA3"/>
    <w:rsid w:val="00AD0C31"/>
    <w:rsid w:val="00AD0D3F"/>
    <w:rsid w:val="00AD0DE3"/>
    <w:rsid w:val="00AD0F54"/>
    <w:rsid w:val="00AD0F5B"/>
    <w:rsid w:val="00AD0FD0"/>
    <w:rsid w:val="00AD1006"/>
    <w:rsid w:val="00AD1457"/>
    <w:rsid w:val="00AD1458"/>
    <w:rsid w:val="00AD16BB"/>
    <w:rsid w:val="00AD1773"/>
    <w:rsid w:val="00AD17AA"/>
    <w:rsid w:val="00AD1929"/>
    <w:rsid w:val="00AD19D8"/>
    <w:rsid w:val="00AD1A38"/>
    <w:rsid w:val="00AD1BAA"/>
    <w:rsid w:val="00AD1BCE"/>
    <w:rsid w:val="00AD1BF7"/>
    <w:rsid w:val="00AD1D37"/>
    <w:rsid w:val="00AD1DFB"/>
    <w:rsid w:val="00AD1EB1"/>
    <w:rsid w:val="00AD1F3D"/>
    <w:rsid w:val="00AD1F90"/>
    <w:rsid w:val="00AD1FE2"/>
    <w:rsid w:val="00AD1FFB"/>
    <w:rsid w:val="00AD20CC"/>
    <w:rsid w:val="00AD2141"/>
    <w:rsid w:val="00AD21D8"/>
    <w:rsid w:val="00AD2204"/>
    <w:rsid w:val="00AD2293"/>
    <w:rsid w:val="00AD22E9"/>
    <w:rsid w:val="00AD247B"/>
    <w:rsid w:val="00AD2751"/>
    <w:rsid w:val="00AD2946"/>
    <w:rsid w:val="00AD2AB4"/>
    <w:rsid w:val="00AD2B87"/>
    <w:rsid w:val="00AD2E20"/>
    <w:rsid w:val="00AD2EF4"/>
    <w:rsid w:val="00AD2F09"/>
    <w:rsid w:val="00AD3052"/>
    <w:rsid w:val="00AD34C6"/>
    <w:rsid w:val="00AD3505"/>
    <w:rsid w:val="00AD353F"/>
    <w:rsid w:val="00AD3554"/>
    <w:rsid w:val="00AD3570"/>
    <w:rsid w:val="00AD3629"/>
    <w:rsid w:val="00AD367D"/>
    <w:rsid w:val="00AD36C6"/>
    <w:rsid w:val="00AD36CA"/>
    <w:rsid w:val="00AD38BC"/>
    <w:rsid w:val="00AD3977"/>
    <w:rsid w:val="00AD3ABC"/>
    <w:rsid w:val="00AD3C34"/>
    <w:rsid w:val="00AD3D87"/>
    <w:rsid w:val="00AD3DE5"/>
    <w:rsid w:val="00AD401C"/>
    <w:rsid w:val="00AD4044"/>
    <w:rsid w:val="00AD405D"/>
    <w:rsid w:val="00AD4096"/>
    <w:rsid w:val="00AD40F9"/>
    <w:rsid w:val="00AD411B"/>
    <w:rsid w:val="00AD4319"/>
    <w:rsid w:val="00AD4521"/>
    <w:rsid w:val="00AD4589"/>
    <w:rsid w:val="00AD4835"/>
    <w:rsid w:val="00AD48A7"/>
    <w:rsid w:val="00AD4ADA"/>
    <w:rsid w:val="00AD4B91"/>
    <w:rsid w:val="00AD4D6A"/>
    <w:rsid w:val="00AD4D9E"/>
    <w:rsid w:val="00AD4F3B"/>
    <w:rsid w:val="00AD4F92"/>
    <w:rsid w:val="00AD50D4"/>
    <w:rsid w:val="00AD50F2"/>
    <w:rsid w:val="00AD5224"/>
    <w:rsid w:val="00AD547B"/>
    <w:rsid w:val="00AD5674"/>
    <w:rsid w:val="00AD580D"/>
    <w:rsid w:val="00AD5875"/>
    <w:rsid w:val="00AD58BA"/>
    <w:rsid w:val="00AD58C8"/>
    <w:rsid w:val="00AD5A01"/>
    <w:rsid w:val="00AD5A3D"/>
    <w:rsid w:val="00AD5A52"/>
    <w:rsid w:val="00AD5B20"/>
    <w:rsid w:val="00AD5B53"/>
    <w:rsid w:val="00AD5C32"/>
    <w:rsid w:val="00AD5CC8"/>
    <w:rsid w:val="00AD5D04"/>
    <w:rsid w:val="00AD5DA8"/>
    <w:rsid w:val="00AD6000"/>
    <w:rsid w:val="00AD6046"/>
    <w:rsid w:val="00AD60AD"/>
    <w:rsid w:val="00AD62FF"/>
    <w:rsid w:val="00AD6329"/>
    <w:rsid w:val="00AD63CF"/>
    <w:rsid w:val="00AD6406"/>
    <w:rsid w:val="00AD6420"/>
    <w:rsid w:val="00AD6432"/>
    <w:rsid w:val="00AD6517"/>
    <w:rsid w:val="00AD66B2"/>
    <w:rsid w:val="00AD6788"/>
    <w:rsid w:val="00AD67DD"/>
    <w:rsid w:val="00AD68EE"/>
    <w:rsid w:val="00AD691F"/>
    <w:rsid w:val="00AD697E"/>
    <w:rsid w:val="00AD69A2"/>
    <w:rsid w:val="00AD69D9"/>
    <w:rsid w:val="00AD6AE0"/>
    <w:rsid w:val="00AD6B20"/>
    <w:rsid w:val="00AD6BC8"/>
    <w:rsid w:val="00AD6C6A"/>
    <w:rsid w:val="00AD6C71"/>
    <w:rsid w:val="00AD6D6F"/>
    <w:rsid w:val="00AD6E15"/>
    <w:rsid w:val="00AD6F11"/>
    <w:rsid w:val="00AD6FC4"/>
    <w:rsid w:val="00AD704E"/>
    <w:rsid w:val="00AD7350"/>
    <w:rsid w:val="00AD7380"/>
    <w:rsid w:val="00AD7478"/>
    <w:rsid w:val="00AD74B5"/>
    <w:rsid w:val="00AD74D8"/>
    <w:rsid w:val="00AD7600"/>
    <w:rsid w:val="00AD76A5"/>
    <w:rsid w:val="00AD78B2"/>
    <w:rsid w:val="00AD78F6"/>
    <w:rsid w:val="00AD7983"/>
    <w:rsid w:val="00AD7A48"/>
    <w:rsid w:val="00AD7A60"/>
    <w:rsid w:val="00AD7CD7"/>
    <w:rsid w:val="00AD7EED"/>
    <w:rsid w:val="00AE0147"/>
    <w:rsid w:val="00AE024D"/>
    <w:rsid w:val="00AE026B"/>
    <w:rsid w:val="00AE0295"/>
    <w:rsid w:val="00AE03CE"/>
    <w:rsid w:val="00AE03F2"/>
    <w:rsid w:val="00AE03FD"/>
    <w:rsid w:val="00AE04D9"/>
    <w:rsid w:val="00AE0519"/>
    <w:rsid w:val="00AE057D"/>
    <w:rsid w:val="00AE0613"/>
    <w:rsid w:val="00AE0653"/>
    <w:rsid w:val="00AE06BA"/>
    <w:rsid w:val="00AE0855"/>
    <w:rsid w:val="00AE09E0"/>
    <w:rsid w:val="00AE0A84"/>
    <w:rsid w:val="00AE0ABD"/>
    <w:rsid w:val="00AE0BD5"/>
    <w:rsid w:val="00AE0C57"/>
    <w:rsid w:val="00AE0D80"/>
    <w:rsid w:val="00AE0EFE"/>
    <w:rsid w:val="00AE0F49"/>
    <w:rsid w:val="00AE0F64"/>
    <w:rsid w:val="00AE0FC2"/>
    <w:rsid w:val="00AE101B"/>
    <w:rsid w:val="00AE1053"/>
    <w:rsid w:val="00AE1072"/>
    <w:rsid w:val="00AE10D7"/>
    <w:rsid w:val="00AE114D"/>
    <w:rsid w:val="00AE116E"/>
    <w:rsid w:val="00AE1192"/>
    <w:rsid w:val="00AE1203"/>
    <w:rsid w:val="00AE126A"/>
    <w:rsid w:val="00AE12D3"/>
    <w:rsid w:val="00AE1385"/>
    <w:rsid w:val="00AE13A7"/>
    <w:rsid w:val="00AE13DA"/>
    <w:rsid w:val="00AE1410"/>
    <w:rsid w:val="00AE141D"/>
    <w:rsid w:val="00AE15CE"/>
    <w:rsid w:val="00AE16B8"/>
    <w:rsid w:val="00AE1736"/>
    <w:rsid w:val="00AE1762"/>
    <w:rsid w:val="00AE17AF"/>
    <w:rsid w:val="00AE17C0"/>
    <w:rsid w:val="00AE188E"/>
    <w:rsid w:val="00AE189B"/>
    <w:rsid w:val="00AE1916"/>
    <w:rsid w:val="00AE193B"/>
    <w:rsid w:val="00AE195F"/>
    <w:rsid w:val="00AE1991"/>
    <w:rsid w:val="00AE19E4"/>
    <w:rsid w:val="00AE1A81"/>
    <w:rsid w:val="00AE1A87"/>
    <w:rsid w:val="00AE1D69"/>
    <w:rsid w:val="00AE1D7D"/>
    <w:rsid w:val="00AE1D84"/>
    <w:rsid w:val="00AE1EE9"/>
    <w:rsid w:val="00AE1F27"/>
    <w:rsid w:val="00AE1F40"/>
    <w:rsid w:val="00AE1FB0"/>
    <w:rsid w:val="00AE1FC9"/>
    <w:rsid w:val="00AE2113"/>
    <w:rsid w:val="00AE2248"/>
    <w:rsid w:val="00AE224C"/>
    <w:rsid w:val="00AE27EC"/>
    <w:rsid w:val="00AE294D"/>
    <w:rsid w:val="00AE294F"/>
    <w:rsid w:val="00AE29E5"/>
    <w:rsid w:val="00AE2A6C"/>
    <w:rsid w:val="00AE2A8B"/>
    <w:rsid w:val="00AE2BF4"/>
    <w:rsid w:val="00AE2C9D"/>
    <w:rsid w:val="00AE2CB8"/>
    <w:rsid w:val="00AE2E1D"/>
    <w:rsid w:val="00AE2E5D"/>
    <w:rsid w:val="00AE3290"/>
    <w:rsid w:val="00AE32A0"/>
    <w:rsid w:val="00AE3405"/>
    <w:rsid w:val="00AE3423"/>
    <w:rsid w:val="00AE35C1"/>
    <w:rsid w:val="00AE37CF"/>
    <w:rsid w:val="00AE37DA"/>
    <w:rsid w:val="00AE3845"/>
    <w:rsid w:val="00AE390A"/>
    <w:rsid w:val="00AE39BD"/>
    <w:rsid w:val="00AE3A2B"/>
    <w:rsid w:val="00AE3A92"/>
    <w:rsid w:val="00AE3A98"/>
    <w:rsid w:val="00AE3AA2"/>
    <w:rsid w:val="00AE3AEF"/>
    <w:rsid w:val="00AE3B89"/>
    <w:rsid w:val="00AE3CB9"/>
    <w:rsid w:val="00AE3D28"/>
    <w:rsid w:val="00AE3F3A"/>
    <w:rsid w:val="00AE3F64"/>
    <w:rsid w:val="00AE404C"/>
    <w:rsid w:val="00AE4101"/>
    <w:rsid w:val="00AE4465"/>
    <w:rsid w:val="00AE446B"/>
    <w:rsid w:val="00AE45BC"/>
    <w:rsid w:val="00AE47F1"/>
    <w:rsid w:val="00AE4894"/>
    <w:rsid w:val="00AE4968"/>
    <w:rsid w:val="00AE497C"/>
    <w:rsid w:val="00AE49F3"/>
    <w:rsid w:val="00AE4BD6"/>
    <w:rsid w:val="00AE4BEA"/>
    <w:rsid w:val="00AE4E01"/>
    <w:rsid w:val="00AE4E09"/>
    <w:rsid w:val="00AE4EBA"/>
    <w:rsid w:val="00AE4EFC"/>
    <w:rsid w:val="00AE4FB3"/>
    <w:rsid w:val="00AE4FD1"/>
    <w:rsid w:val="00AE507F"/>
    <w:rsid w:val="00AE5184"/>
    <w:rsid w:val="00AE518B"/>
    <w:rsid w:val="00AE51F0"/>
    <w:rsid w:val="00AE537A"/>
    <w:rsid w:val="00AE5543"/>
    <w:rsid w:val="00AE5724"/>
    <w:rsid w:val="00AE58D8"/>
    <w:rsid w:val="00AE58F0"/>
    <w:rsid w:val="00AE599C"/>
    <w:rsid w:val="00AE5A2B"/>
    <w:rsid w:val="00AE5B1C"/>
    <w:rsid w:val="00AE5B6C"/>
    <w:rsid w:val="00AE5BF9"/>
    <w:rsid w:val="00AE5C7E"/>
    <w:rsid w:val="00AE5D19"/>
    <w:rsid w:val="00AE5D2B"/>
    <w:rsid w:val="00AE5D6A"/>
    <w:rsid w:val="00AE5D96"/>
    <w:rsid w:val="00AE5EDB"/>
    <w:rsid w:val="00AE60C2"/>
    <w:rsid w:val="00AE61C5"/>
    <w:rsid w:val="00AE61DD"/>
    <w:rsid w:val="00AE6290"/>
    <w:rsid w:val="00AE6602"/>
    <w:rsid w:val="00AE6627"/>
    <w:rsid w:val="00AE670C"/>
    <w:rsid w:val="00AE6715"/>
    <w:rsid w:val="00AE68EF"/>
    <w:rsid w:val="00AE692A"/>
    <w:rsid w:val="00AE69D9"/>
    <w:rsid w:val="00AE6D59"/>
    <w:rsid w:val="00AE6D76"/>
    <w:rsid w:val="00AE6DDA"/>
    <w:rsid w:val="00AE6FD7"/>
    <w:rsid w:val="00AE7184"/>
    <w:rsid w:val="00AE730E"/>
    <w:rsid w:val="00AE7508"/>
    <w:rsid w:val="00AE765E"/>
    <w:rsid w:val="00AE7938"/>
    <w:rsid w:val="00AE7A3D"/>
    <w:rsid w:val="00AE7AD7"/>
    <w:rsid w:val="00AE7AED"/>
    <w:rsid w:val="00AE7C12"/>
    <w:rsid w:val="00AE7C20"/>
    <w:rsid w:val="00AE7D0E"/>
    <w:rsid w:val="00AE7D40"/>
    <w:rsid w:val="00AE7E37"/>
    <w:rsid w:val="00AE7F41"/>
    <w:rsid w:val="00AE7F95"/>
    <w:rsid w:val="00AE7FC3"/>
    <w:rsid w:val="00AF0134"/>
    <w:rsid w:val="00AF0143"/>
    <w:rsid w:val="00AF01EE"/>
    <w:rsid w:val="00AF02AB"/>
    <w:rsid w:val="00AF02CB"/>
    <w:rsid w:val="00AF02D9"/>
    <w:rsid w:val="00AF03A3"/>
    <w:rsid w:val="00AF041D"/>
    <w:rsid w:val="00AF064B"/>
    <w:rsid w:val="00AF074F"/>
    <w:rsid w:val="00AF089C"/>
    <w:rsid w:val="00AF08A5"/>
    <w:rsid w:val="00AF0904"/>
    <w:rsid w:val="00AF092F"/>
    <w:rsid w:val="00AF0974"/>
    <w:rsid w:val="00AF0BCA"/>
    <w:rsid w:val="00AF0BF9"/>
    <w:rsid w:val="00AF0C70"/>
    <w:rsid w:val="00AF0DDD"/>
    <w:rsid w:val="00AF0E36"/>
    <w:rsid w:val="00AF0F1D"/>
    <w:rsid w:val="00AF10AC"/>
    <w:rsid w:val="00AF10FF"/>
    <w:rsid w:val="00AF121A"/>
    <w:rsid w:val="00AF1345"/>
    <w:rsid w:val="00AF1370"/>
    <w:rsid w:val="00AF1582"/>
    <w:rsid w:val="00AF1700"/>
    <w:rsid w:val="00AF17DB"/>
    <w:rsid w:val="00AF17E0"/>
    <w:rsid w:val="00AF188E"/>
    <w:rsid w:val="00AF1969"/>
    <w:rsid w:val="00AF19D0"/>
    <w:rsid w:val="00AF1A1C"/>
    <w:rsid w:val="00AF1AFA"/>
    <w:rsid w:val="00AF1B85"/>
    <w:rsid w:val="00AF1B97"/>
    <w:rsid w:val="00AF1BA1"/>
    <w:rsid w:val="00AF1C77"/>
    <w:rsid w:val="00AF1C9F"/>
    <w:rsid w:val="00AF1CD7"/>
    <w:rsid w:val="00AF1E3F"/>
    <w:rsid w:val="00AF1FD7"/>
    <w:rsid w:val="00AF20AE"/>
    <w:rsid w:val="00AF2101"/>
    <w:rsid w:val="00AF2206"/>
    <w:rsid w:val="00AF22A1"/>
    <w:rsid w:val="00AF22B6"/>
    <w:rsid w:val="00AF23BD"/>
    <w:rsid w:val="00AF2442"/>
    <w:rsid w:val="00AF248B"/>
    <w:rsid w:val="00AF2520"/>
    <w:rsid w:val="00AF25A4"/>
    <w:rsid w:val="00AF2604"/>
    <w:rsid w:val="00AF2654"/>
    <w:rsid w:val="00AF2771"/>
    <w:rsid w:val="00AF29FA"/>
    <w:rsid w:val="00AF2B63"/>
    <w:rsid w:val="00AF2B90"/>
    <w:rsid w:val="00AF2BF4"/>
    <w:rsid w:val="00AF2CBB"/>
    <w:rsid w:val="00AF2CE4"/>
    <w:rsid w:val="00AF2DF9"/>
    <w:rsid w:val="00AF2E69"/>
    <w:rsid w:val="00AF2F3A"/>
    <w:rsid w:val="00AF30C3"/>
    <w:rsid w:val="00AF323D"/>
    <w:rsid w:val="00AF326F"/>
    <w:rsid w:val="00AF32DD"/>
    <w:rsid w:val="00AF3304"/>
    <w:rsid w:val="00AF330A"/>
    <w:rsid w:val="00AF335F"/>
    <w:rsid w:val="00AF354B"/>
    <w:rsid w:val="00AF366E"/>
    <w:rsid w:val="00AF3757"/>
    <w:rsid w:val="00AF398B"/>
    <w:rsid w:val="00AF3A28"/>
    <w:rsid w:val="00AF3AAD"/>
    <w:rsid w:val="00AF3B23"/>
    <w:rsid w:val="00AF3C45"/>
    <w:rsid w:val="00AF3D55"/>
    <w:rsid w:val="00AF3E50"/>
    <w:rsid w:val="00AF3EE2"/>
    <w:rsid w:val="00AF3EEB"/>
    <w:rsid w:val="00AF3FB5"/>
    <w:rsid w:val="00AF407C"/>
    <w:rsid w:val="00AF40AE"/>
    <w:rsid w:val="00AF4127"/>
    <w:rsid w:val="00AF415D"/>
    <w:rsid w:val="00AF41B5"/>
    <w:rsid w:val="00AF41E6"/>
    <w:rsid w:val="00AF42EA"/>
    <w:rsid w:val="00AF43D4"/>
    <w:rsid w:val="00AF4439"/>
    <w:rsid w:val="00AF461E"/>
    <w:rsid w:val="00AF479F"/>
    <w:rsid w:val="00AF4854"/>
    <w:rsid w:val="00AF4A10"/>
    <w:rsid w:val="00AF4A2A"/>
    <w:rsid w:val="00AF4AA1"/>
    <w:rsid w:val="00AF4ADB"/>
    <w:rsid w:val="00AF4B0C"/>
    <w:rsid w:val="00AF4BA8"/>
    <w:rsid w:val="00AF4BDD"/>
    <w:rsid w:val="00AF4BF8"/>
    <w:rsid w:val="00AF4C61"/>
    <w:rsid w:val="00AF4C7B"/>
    <w:rsid w:val="00AF4D95"/>
    <w:rsid w:val="00AF502F"/>
    <w:rsid w:val="00AF508D"/>
    <w:rsid w:val="00AF511B"/>
    <w:rsid w:val="00AF5183"/>
    <w:rsid w:val="00AF5286"/>
    <w:rsid w:val="00AF53B2"/>
    <w:rsid w:val="00AF5470"/>
    <w:rsid w:val="00AF548F"/>
    <w:rsid w:val="00AF5507"/>
    <w:rsid w:val="00AF576E"/>
    <w:rsid w:val="00AF581B"/>
    <w:rsid w:val="00AF5A15"/>
    <w:rsid w:val="00AF5A1C"/>
    <w:rsid w:val="00AF5AE9"/>
    <w:rsid w:val="00AF5B4B"/>
    <w:rsid w:val="00AF5B69"/>
    <w:rsid w:val="00AF5BAD"/>
    <w:rsid w:val="00AF5C15"/>
    <w:rsid w:val="00AF5C26"/>
    <w:rsid w:val="00AF5CEF"/>
    <w:rsid w:val="00AF5EB9"/>
    <w:rsid w:val="00AF5EC0"/>
    <w:rsid w:val="00AF5F26"/>
    <w:rsid w:val="00AF5FE2"/>
    <w:rsid w:val="00AF6056"/>
    <w:rsid w:val="00AF6074"/>
    <w:rsid w:val="00AF610D"/>
    <w:rsid w:val="00AF621E"/>
    <w:rsid w:val="00AF6261"/>
    <w:rsid w:val="00AF62AB"/>
    <w:rsid w:val="00AF62ED"/>
    <w:rsid w:val="00AF6306"/>
    <w:rsid w:val="00AF6330"/>
    <w:rsid w:val="00AF656D"/>
    <w:rsid w:val="00AF65E7"/>
    <w:rsid w:val="00AF662A"/>
    <w:rsid w:val="00AF66B9"/>
    <w:rsid w:val="00AF67BD"/>
    <w:rsid w:val="00AF67FA"/>
    <w:rsid w:val="00AF68AE"/>
    <w:rsid w:val="00AF6944"/>
    <w:rsid w:val="00AF694B"/>
    <w:rsid w:val="00AF6AA5"/>
    <w:rsid w:val="00AF6C2E"/>
    <w:rsid w:val="00AF6C5C"/>
    <w:rsid w:val="00AF6D49"/>
    <w:rsid w:val="00AF6EB1"/>
    <w:rsid w:val="00AF6F2F"/>
    <w:rsid w:val="00AF7009"/>
    <w:rsid w:val="00AF7010"/>
    <w:rsid w:val="00AF70D7"/>
    <w:rsid w:val="00AF7284"/>
    <w:rsid w:val="00AF7335"/>
    <w:rsid w:val="00AF7386"/>
    <w:rsid w:val="00AF740F"/>
    <w:rsid w:val="00AF746D"/>
    <w:rsid w:val="00AF7604"/>
    <w:rsid w:val="00AF762D"/>
    <w:rsid w:val="00AF7934"/>
    <w:rsid w:val="00AF797B"/>
    <w:rsid w:val="00AF7995"/>
    <w:rsid w:val="00AF7A20"/>
    <w:rsid w:val="00AF7A30"/>
    <w:rsid w:val="00AF7AAC"/>
    <w:rsid w:val="00AF7AB2"/>
    <w:rsid w:val="00AF7BA8"/>
    <w:rsid w:val="00AF7BE4"/>
    <w:rsid w:val="00AF7C16"/>
    <w:rsid w:val="00AF7C1A"/>
    <w:rsid w:val="00AF7C21"/>
    <w:rsid w:val="00AF7C4A"/>
    <w:rsid w:val="00AF7D46"/>
    <w:rsid w:val="00AF7D69"/>
    <w:rsid w:val="00AF7DC3"/>
    <w:rsid w:val="00AF7DEA"/>
    <w:rsid w:val="00AF7DEC"/>
    <w:rsid w:val="00AF7FEF"/>
    <w:rsid w:val="00B000F9"/>
    <w:rsid w:val="00B000FA"/>
    <w:rsid w:val="00B00115"/>
    <w:rsid w:val="00B001B6"/>
    <w:rsid w:val="00B002C3"/>
    <w:rsid w:val="00B002CC"/>
    <w:rsid w:val="00B0050C"/>
    <w:rsid w:val="00B0062F"/>
    <w:rsid w:val="00B006C2"/>
    <w:rsid w:val="00B009C6"/>
    <w:rsid w:val="00B00A9A"/>
    <w:rsid w:val="00B00B1C"/>
    <w:rsid w:val="00B00B81"/>
    <w:rsid w:val="00B00C72"/>
    <w:rsid w:val="00B00E4C"/>
    <w:rsid w:val="00B00E57"/>
    <w:rsid w:val="00B00F85"/>
    <w:rsid w:val="00B00FAF"/>
    <w:rsid w:val="00B01057"/>
    <w:rsid w:val="00B0108D"/>
    <w:rsid w:val="00B010C8"/>
    <w:rsid w:val="00B01125"/>
    <w:rsid w:val="00B0119D"/>
    <w:rsid w:val="00B0123F"/>
    <w:rsid w:val="00B0129A"/>
    <w:rsid w:val="00B0135C"/>
    <w:rsid w:val="00B01398"/>
    <w:rsid w:val="00B0150F"/>
    <w:rsid w:val="00B0157E"/>
    <w:rsid w:val="00B0158A"/>
    <w:rsid w:val="00B01756"/>
    <w:rsid w:val="00B017F5"/>
    <w:rsid w:val="00B0181F"/>
    <w:rsid w:val="00B01820"/>
    <w:rsid w:val="00B0186E"/>
    <w:rsid w:val="00B0199A"/>
    <w:rsid w:val="00B019E8"/>
    <w:rsid w:val="00B019E9"/>
    <w:rsid w:val="00B01A40"/>
    <w:rsid w:val="00B01A8D"/>
    <w:rsid w:val="00B01C37"/>
    <w:rsid w:val="00B01C66"/>
    <w:rsid w:val="00B01D05"/>
    <w:rsid w:val="00B01E44"/>
    <w:rsid w:val="00B01E59"/>
    <w:rsid w:val="00B01EA2"/>
    <w:rsid w:val="00B01EBA"/>
    <w:rsid w:val="00B01F1C"/>
    <w:rsid w:val="00B0204C"/>
    <w:rsid w:val="00B0220D"/>
    <w:rsid w:val="00B0224B"/>
    <w:rsid w:val="00B022F1"/>
    <w:rsid w:val="00B023AE"/>
    <w:rsid w:val="00B023CF"/>
    <w:rsid w:val="00B02411"/>
    <w:rsid w:val="00B0244B"/>
    <w:rsid w:val="00B024E4"/>
    <w:rsid w:val="00B0260F"/>
    <w:rsid w:val="00B02699"/>
    <w:rsid w:val="00B02826"/>
    <w:rsid w:val="00B02913"/>
    <w:rsid w:val="00B029EB"/>
    <w:rsid w:val="00B02A92"/>
    <w:rsid w:val="00B02CDC"/>
    <w:rsid w:val="00B02F0D"/>
    <w:rsid w:val="00B02F7E"/>
    <w:rsid w:val="00B02FD9"/>
    <w:rsid w:val="00B03123"/>
    <w:rsid w:val="00B031ED"/>
    <w:rsid w:val="00B0322B"/>
    <w:rsid w:val="00B033B2"/>
    <w:rsid w:val="00B033DF"/>
    <w:rsid w:val="00B03689"/>
    <w:rsid w:val="00B03727"/>
    <w:rsid w:val="00B03881"/>
    <w:rsid w:val="00B03A6A"/>
    <w:rsid w:val="00B03B15"/>
    <w:rsid w:val="00B03B1A"/>
    <w:rsid w:val="00B03B88"/>
    <w:rsid w:val="00B03BE6"/>
    <w:rsid w:val="00B03CE3"/>
    <w:rsid w:val="00B03E41"/>
    <w:rsid w:val="00B0442E"/>
    <w:rsid w:val="00B04526"/>
    <w:rsid w:val="00B0457E"/>
    <w:rsid w:val="00B04580"/>
    <w:rsid w:val="00B04608"/>
    <w:rsid w:val="00B0476A"/>
    <w:rsid w:val="00B04A34"/>
    <w:rsid w:val="00B04A45"/>
    <w:rsid w:val="00B04ACB"/>
    <w:rsid w:val="00B04B09"/>
    <w:rsid w:val="00B04B6E"/>
    <w:rsid w:val="00B04B7B"/>
    <w:rsid w:val="00B04B86"/>
    <w:rsid w:val="00B04BA8"/>
    <w:rsid w:val="00B04BD7"/>
    <w:rsid w:val="00B04CE2"/>
    <w:rsid w:val="00B04CFE"/>
    <w:rsid w:val="00B04D2C"/>
    <w:rsid w:val="00B04F42"/>
    <w:rsid w:val="00B04F47"/>
    <w:rsid w:val="00B05155"/>
    <w:rsid w:val="00B05208"/>
    <w:rsid w:val="00B05382"/>
    <w:rsid w:val="00B054B5"/>
    <w:rsid w:val="00B056B8"/>
    <w:rsid w:val="00B05723"/>
    <w:rsid w:val="00B05807"/>
    <w:rsid w:val="00B058A7"/>
    <w:rsid w:val="00B0591D"/>
    <w:rsid w:val="00B05927"/>
    <w:rsid w:val="00B05968"/>
    <w:rsid w:val="00B05AA8"/>
    <w:rsid w:val="00B05B74"/>
    <w:rsid w:val="00B05BE2"/>
    <w:rsid w:val="00B05C96"/>
    <w:rsid w:val="00B05D13"/>
    <w:rsid w:val="00B05D35"/>
    <w:rsid w:val="00B05D7E"/>
    <w:rsid w:val="00B05EFC"/>
    <w:rsid w:val="00B05F72"/>
    <w:rsid w:val="00B05FBC"/>
    <w:rsid w:val="00B060B2"/>
    <w:rsid w:val="00B060D3"/>
    <w:rsid w:val="00B06135"/>
    <w:rsid w:val="00B06166"/>
    <w:rsid w:val="00B061E7"/>
    <w:rsid w:val="00B063C1"/>
    <w:rsid w:val="00B06496"/>
    <w:rsid w:val="00B0653C"/>
    <w:rsid w:val="00B06546"/>
    <w:rsid w:val="00B06568"/>
    <w:rsid w:val="00B065BF"/>
    <w:rsid w:val="00B0665D"/>
    <w:rsid w:val="00B066AF"/>
    <w:rsid w:val="00B066CD"/>
    <w:rsid w:val="00B06810"/>
    <w:rsid w:val="00B06848"/>
    <w:rsid w:val="00B06980"/>
    <w:rsid w:val="00B06A20"/>
    <w:rsid w:val="00B06B46"/>
    <w:rsid w:val="00B06C24"/>
    <w:rsid w:val="00B06C96"/>
    <w:rsid w:val="00B06CF4"/>
    <w:rsid w:val="00B06E3B"/>
    <w:rsid w:val="00B06F07"/>
    <w:rsid w:val="00B0709D"/>
    <w:rsid w:val="00B0714B"/>
    <w:rsid w:val="00B0718C"/>
    <w:rsid w:val="00B071F8"/>
    <w:rsid w:val="00B072A2"/>
    <w:rsid w:val="00B072C5"/>
    <w:rsid w:val="00B07413"/>
    <w:rsid w:val="00B074E3"/>
    <w:rsid w:val="00B0758E"/>
    <w:rsid w:val="00B07603"/>
    <w:rsid w:val="00B0793F"/>
    <w:rsid w:val="00B0794A"/>
    <w:rsid w:val="00B07977"/>
    <w:rsid w:val="00B079E5"/>
    <w:rsid w:val="00B07B2F"/>
    <w:rsid w:val="00B07BFF"/>
    <w:rsid w:val="00B07D26"/>
    <w:rsid w:val="00B07E01"/>
    <w:rsid w:val="00B07E65"/>
    <w:rsid w:val="00B10007"/>
    <w:rsid w:val="00B100EF"/>
    <w:rsid w:val="00B102CC"/>
    <w:rsid w:val="00B1039A"/>
    <w:rsid w:val="00B1049B"/>
    <w:rsid w:val="00B104BB"/>
    <w:rsid w:val="00B1052D"/>
    <w:rsid w:val="00B10552"/>
    <w:rsid w:val="00B105CF"/>
    <w:rsid w:val="00B105E6"/>
    <w:rsid w:val="00B1065F"/>
    <w:rsid w:val="00B107DC"/>
    <w:rsid w:val="00B107E2"/>
    <w:rsid w:val="00B1093F"/>
    <w:rsid w:val="00B10AAD"/>
    <w:rsid w:val="00B10C4A"/>
    <w:rsid w:val="00B10CE7"/>
    <w:rsid w:val="00B10DA7"/>
    <w:rsid w:val="00B10DD2"/>
    <w:rsid w:val="00B116C3"/>
    <w:rsid w:val="00B1188B"/>
    <w:rsid w:val="00B118EB"/>
    <w:rsid w:val="00B119EB"/>
    <w:rsid w:val="00B11C12"/>
    <w:rsid w:val="00B11C17"/>
    <w:rsid w:val="00B11C2A"/>
    <w:rsid w:val="00B11E5A"/>
    <w:rsid w:val="00B12092"/>
    <w:rsid w:val="00B121B7"/>
    <w:rsid w:val="00B1231D"/>
    <w:rsid w:val="00B12424"/>
    <w:rsid w:val="00B1260A"/>
    <w:rsid w:val="00B12652"/>
    <w:rsid w:val="00B126F6"/>
    <w:rsid w:val="00B12770"/>
    <w:rsid w:val="00B1298E"/>
    <w:rsid w:val="00B12994"/>
    <w:rsid w:val="00B12AC7"/>
    <w:rsid w:val="00B12B4B"/>
    <w:rsid w:val="00B12BAC"/>
    <w:rsid w:val="00B12BC9"/>
    <w:rsid w:val="00B12BF7"/>
    <w:rsid w:val="00B12C00"/>
    <w:rsid w:val="00B12C5D"/>
    <w:rsid w:val="00B12D33"/>
    <w:rsid w:val="00B12D38"/>
    <w:rsid w:val="00B12D7E"/>
    <w:rsid w:val="00B12DF5"/>
    <w:rsid w:val="00B12E08"/>
    <w:rsid w:val="00B12EB5"/>
    <w:rsid w:val="00B12F09"/>
    <w:rsid w:val="00B12F6D"/>
    <w:rsid w:val="00B130F1"/>
    <w:rsid w:val="00B131AD"/>
    <w:rsid w:val="00B131B2"/>
    <w:rsid w:val="00B131B4"/>
    <w:rsid w:val="00B131CA"/>
    <w:rsid w:val="00B1326A"/>
    <w:rsid w:val="00B133A0"/>
    <w:rsid w:val="00B133DC"/>
    <w:rsid w:val="00B134ED"/>
    <w:rsid w:val="00B13598"/>
    <w:rsid w:val="00B135CC"/>
    <w:rsid w:val="00B13669"/>
    <w:rsid w:val="00B136C2"/>
    <w:rsid w:val="00B1372E"/>
    <w:rsid w:val="00B137BC"/>
    <w:rsid w:val="00B13818"/>
    <w:rsid w:val="00B13A2F"/>
    <w:rsid w:val="00B13B5A"/>
    <w:rsid w:val="00B13D8F"/>
    <w:rsid w:val="00B13E6D"/>
    <w:rsid w:val="00B14034"/>
    <w:rsid w:val="00B141DF"/>
    <w:rsid w:val="00B1443F"/>
    <w:rsid w:val="00B14458"/>
    <w:rsid w:val="00B14534"/>
    <w:rsid w:val="00B1455D"/>
    <w:rsid w:val="00B145FE"/>
    <w:rsid w:val="00B1467B"/>
    <w:rsid w:val="00B146CF"/>
    <w:rsid w:val="00B146ED"/>
    <w:rsid w:val="00B147D0"/>
    <w:rsid w:val="00B14B13"/>
    <w:rsid w:val="00B14CFC"/>
    <w:rsid w:val="00B14EE5"/>
    <w:rsid w:val="00B150F1"/>
    <w:rsid w:val="00B1528B"/>
    <w:rsid w:val="00B1538B"/>
    <w:rsid w:val="00B153EF"/>
    <w:rsid w:val="00B1541C"/>
    <w:rsid w:val="00B154B1"/>
    <w:rsid w:val="00B1565B"/>
    <w:rsid w:val="00B158A2"/>
    <w:rsid w:val="00B158C0"/>
    <w:rsid w:val="00B159E0"/>
    <w:rsid w:val="00B15AAB"/>
    <w:rsid w:val="00B15ADD"/>
    <w:rsid w:val="00B15B22"/>
    <w:rsid w:val="00B15B48"/>
    <w:rsid w:val="00B15BD5"/>
    <w:rsid w:val="00B15BDA"/>
    <w:rsid w:val="00B15E6D"/>
    <w:rsid w:val="00B16055"/>
    <w:rsid w:val="00B16164"/>
    <w:rsid w:val="00B1618E"/>
    <w:rsid w:val="00B162C9"/>
    <w:rsid w:val="00B16382"/>
    <w:rsid w:val="00B163F6"/>
    <w:rsid w:val="00B1664C"/>
    <w:rsid w:val="00B167E0"/>
    <w:rsid w:val="00B1680D"/>
    <w:rsid w:val="00B16818"/>
    <w:rsid w:val="00B168F0"/>
    <w:rsid w:val="00B16915"/>
    <w:rsid w:val="00B16A26"/>
    <w:rsid w:val="00B16A51"/>
    <w:rsid w:val="00B16A7B"/>
    <w:rsid w:val="00B16ADD"/>
    <w:rsid w:val="00B16B8E"/>
    <w:rsid w:val="00B16DB9"/>
    <w:rsid w:val="00B16DC7"/>
    <w:rsid w:val="00B16F09"/>
    <w:rsid w:val="00B16F39"/>
    <w:rsid w:val="00B16F79"/>
    <w:rsid w:val="00B16FE5"/>
    <w:rsid w:val="00B17009"/>
    <w:rsid w:val="00B173A4"/>
    <w:rsid w:val="00B17458"/>
    <w:rsid w:val="00B174A2"/>
    <w:rsid w:val="00B174C5"/>
    <w:rsid w:val="00B176FF"/>
    <w:rsid w:val="00B17B74"/>
    <w:rsid w:val="00B17C08"/>
    <w:rsid w:val="00B17C44"/>
    <w:rsid w:val="00B17C59"/>
    <w:rsid w:val="00B17D85"/>
    <w:rsid w:val="00B17E12"/>
    <w:rsid w:val="00B17EAF"/>
    <w:rsid w:val="00B17FB1"/>
    <w:rsid w:val="00B2006F"/>
    <w:rsid w:val="00B20127"/>
    <w:rsid w:val="00B20138"/>
    <w:rsid w:val="00B2022C"/>
    <w:rsid w:val="00B2024F"/>
    <w:rsid w:val="00B20271"/>
    <w:rsid w:val="00B204AD"/>
    <w:rsid w:val="00B2053F"/>
    <w:rsid w:val="00B20771"/>
    <w:rsid w:val="00B20872"/>
    <w:rsid w:val="00B2090C"/>
    <w:rsid w:val="00B209E8"/>
    <w:rsid w:val="00B20B1F"/>
    <w:rsid w:val="00B20B32"/>
    <w:rsid w:val="00B20DDB"/>
    <w:rsid w:val="00B20E58"/>
    <w:rsid w:val="00B20EB7"/>
    <w:rsid w:val="00B20ECB"/>
    <w:rsid w:val="00B20EFF"/>
    <w:rsid w:val="00B21018"/>
    <w:rsid w:val="00B21105"/>
    <w:rsid w:val="00B2114A"/>
    <w:rsid w:val="00B2126A"/>
    <w:rsid w:val="00B2139E"/>
    <w:rsid w:val="00B21453"/>
    <w:rsid w:val="00B214D8"/>
    <w:rsid w:val="00B216DD"/>
    <w:rsid w:val="00B217DE"/>
    <w:rsid w:val="00B21900"/>
    <w:rsid w:val="00B21980"/>
    <w:rsid w:val="00B2199A"/>
    <w:rsid w:val="00B21A05"/>
    <w:rsid w:val="00B21A33"/>
    <w:rsid w:val="00B21BAF"/>
    <w:rsid w:val="00B21C60"/>
    <w:rsid w:val="00B21C94"/>
    <w:rsid w:val="00B21D8E"/>
    <w:rsid w:val="00B21E21"/>
    <w:rsid w:val="00B21E82"/>
    <w:rsid w:val="00B21F7D"/>
    <w:rsid w:val="00B22027"/>
    <w:rsid w:val="00B22594"/>
    <w:rsid w:val="00B2259A"/>
    <w:rsid w:val="00B2266F"/>
    <w:rsid w:val="00B2271D"/>
    <w:rsid w:val="00B22BC6"/>
    <w:rsid w:val="00B22BE4"/>
    <w:rsid w:val="00B22C2D"/>
    <w:rsid w:val="00B22C3E"/>
    <w:rsid w:val="00B22CC6"/>
    <w:rsid w:val="00B22DD3"/>
    <w:rsid w:val="00B22DE0"/>
    <w:rsid w:val="00B22E4E"/>
    <w:rsid w:val="00B22EEB"/>
    <w:rsid w:val="00B230F1"/>
    <w:rsid w:val="00B2316A"/>
    <w:rsid w:val="00B231D4"/>
    <w:rsid w:val="00B231E9"/>
    <w:rsid w:val="00B23210"/>
    <w:rsid w:val="00B23221"/>
    <w:rsid w:val="00B232CB"/>
    <w:rsid w:val="00B23355"/>
    <w:rsid w:val="00B23422"/>
    <w:rsid w:val="00B234B1"/>
    <w:rsid w:val="00B23514"/>
    <w:rsid w:val="00B2359C"/>
    <w:rsid w:val="00B23616"/>
    <w:rsid w:val="00B2376F"/>
    <w:rsid w:val="00B2390D"/>
    <w:rsid w:val="00B2391F"/>
    <w:rsid w:val="00B23A03"/>
    <w:rsid w:val="00B23BBD"/>
    <w:rsid w:val="00B23D6E"/>
    <w:rsid w:val="00B23E1B"/>
    <w:rsid w:val="00B23F95"/>
    <w:rsid w:val="00B24197"/>
    <w:rsid w:val="00B2421E"/>
    <w:rsid w:val="00B242E6"/>
    <w:rsid w:val="00B24325"/>
    <w:rsid w:val="00B24347"/>
    <w:rsid w:val="00B2434E"/>
    <w:rsid w:val="00B24476"/>
    <w:rsid w:val="00B244DB"/>
    <w:rsid w:val="00B247B0"/>
    <w:rsid w:val="00B24851"/>
    <w:rsid w:val="00B2486C"/>
    <w:rsid w:val="00B2486D"/>
    <w:rsid w:val="00B2499F"/>
    <w:rsid w:val="00B249BD"/>
    <w:rsid w:val="00B24B6B"/>
    <w:rsid w:val="00B24C3F"/>
    <w:rsid w:val="00B24F2A"/>
    <w:rsid w:val="00B24FD4"/>
    <w:rsid w:val="00B25066"/>
    <w:rsid w:val="00B2511A"/>
    <w:rsid w:val="00B25125"/>
    <w:rsid w:val="00B25162"/>
    <w:rsid w:val="00B2518A"/>
    <w:rsid w:val="00B252C1"/>
    <w:rsid w:val="00B252F2"/>
    <w:rsid w:val="00B25498"/>
    <w:rsid w:val="00B25519"/>
    <w:rsid w:val="00B25555"/>
    <w:rsid w:val="00B255A1"/>
    <w:rsid w:val="00B25619"/>
    <w:rsid w:val="00B2565F"/>
    <w:rsid w:val="00B2582B"/>
    <w:rsid w:val="00B259EE"/>
    <w:rsid w:val="00B25A8A"/>
    <w:rsid w:val="00B25B6B"/>
    <w:rsid w:val="00B25BA3"/>
    <w:rsid w:val="00B25C1A"/>
    <w:rsid w:val="00B25D04"/>
    <w:rsid w:val="00B25D93"/>
    <w:rsid w:val="00B25DA7"/>
    <w:rsid w:val="00B25F58"/>
    <w:rsid w:val="00B26033"/>
    <w:rsid w:val="00B260FF"/>
    <w:rsid w:val="00B2611C"/>
    <w:rsid w:val="00B2626C"/>
    <w:rsid w:val="00B2627B"/>
    <w:rsid w:val="00B26394"/>
    <w:rsid w:val="00B26406"/>
    <w:rsid w:val="00B26454"/>
    <w:rsid w:val="00B26533"/>
    <w:rsid w:val="00B26590"/>
    <w:rsid w:val="00B265D7"/>
    <w:rsid w:val="00B26735"/>
    <w:rsid w:val="00B2676C"/>
    <w:rsid w:val="00B2693E"/>
    <w:rsid w:val="00B26AF7"/>
    <w:rsid w:val="00B26C82"/>
    <w:rsid w:val="00B26C8D"/>
    <w:rsid w:val="00B26CAF"/>
    <w:rsid w:val="00B26CF2"/>
    <w:rsid w:val="00B26D7D"/>
    <w:rsid w:val="00B26F19"/>
    <w:rsid w:val="00B26FDE"/>
    <w:rsid w:val="00B27085"/>
    <w:rsid w:val="00B270FA"/>
    <w:rsid w:val="00B2729E"/>
    <w:rsid w:val="00B2738D"/>
    <w:rsid w:val="00B273EA"/>
    <w:rsid w:val="00B27500"/>
    <w:rsid w:val="00B27559"/>
    <w:rsid w:val="00B27564"/>
    <w:rsid w:val="00B275F1"/>
    <w:rsid w:val="00B27648"/>
    <w:rsid w:val="00B276A9"/>
    <w:rsid w:val="00B27814"/>
    <w:rsid w:val="00B27C82"/>
    <w:rsid w:val="00B27D09"/>
    <w:rsid w:val="00B3006E"/>
    <w:rsid w:val="00B3012B"/>
    <w:rsid w:val="00B3015B"/>
    <w:rsid w:val="00B302D7"/>
    <w:rsid w:val="00B303F7"/>
    <w:rsid w:val="00B306D0"/>
    <w:rsid w:val="00B307C7"/>
    <w:rsid w:val="00B3080D"/>
    <w:rsid w:val="00B308F6"/>
    <w:rsid w:val="00B30922"/>
    <w:rsid w:val="00B30998"/>
    <w:rsid w:val="00B309AB"/>
    <w:rsid w:val="00B309DF"/>
    <w:rsid w:val="00B30AA7"/>
    <w:rsid w:val="00B30B22"/>
    <w:rsid w:val="00B30CF8"/>
    <w:rsid w:val="00B30D45"/>
    <w:rsid w:val="00B30D9B"/>
    <w:rsid w:val="00B30E54"/>
    <w:rsid w:val="00B30E88"/>
    <w:rsid w:val="00B311C1"/>
    <w:rsid w:val="00B311D4"/>
    <w:rsid w:val="00B311FA"/>
    <w:rsid w:val="00B31220"/>
    <w:rsid w:val="00B31253"/>
    <w:rsid w:val="00B312F9"/>
    <w:rsid w:val="00B31317"/>
    <w:rsid w:val="00B3132D"/>
    <w:rsid w:val="00B313DE"/>
    <w:rsid w:val="00B314A8"/>
    <w:rsid w:val="00B31558"/>
    <w:rsid w:val="00B31604"/>
    <w:rsid w:val="00B3161A"/>
    <w:rsid w:val="00B316B0"/>
    <w:rsid w:val="00B3177A"/>
    <w:rsid w:val="00B31809"/>
    <w:rsid w:val="00B3189E"/>
    <w:rsid w:val="00B31A40"/>
    <w:rsid w:val="00B31CE4"/>
    <w:rsid w:val="00B31D90"/>
    <w:rsid w:val="00B3206D"/>
    <w:rsid w:val="00B32173"/>
    <w:rsid w:val="00B32222"/>
    <w:rsid w:val="00B32277"/>
    <w:rsid w:val="00B32577"/>
    <w:rsid w:val="00B325DD"/>
    <w:rsid w:val="00B3268E"/>
    <w:rsid w:val="00B326C4"/>
    <w:rsid w:val="00B32715"/>
    <w:rsid w:val="00B32B24"/>
    <w:rsid w:val="00B32B47"/>
    <w:rsid w:val="00B32CA3"/>
    <w:rsid w:val="00B32EFC"/>
    <w:rsid w:val="00B32F0F"/>
    <w:rsid w:val="00B32F14"/>
    <w:rsid w:val="00B33148"/>
    <w:rsid w:val="00B3314E"/>
    <w:rsid w:val="00B33294"/>
    <w:rsid w:val="00B333E6"/>
    <w:rsid w:val="00B33418"/>
    <w:rsid w:val="00B33538"/>
    <w:rsid w:val="00B335EE"/>
    <w:rsid w:val="00B337C9"/>
    <w:rsid w:val="00B339B5"/>
    <w:rsid w:val="00B339B7"/>
    <w:rsid w:val="00B33AFE"/>
    <w:rsid w:val="00B33B45"/>
    <w:rsid w:val="00B33B93"/>
    <w:rsid w:val="00B33C3D"/>
    <w:rsid w:val="00B33C43"/>
    <w:rsid w:val="00B33CF4"/>
    <w:rsid w:val="00B33D67"/>
    <w:rsid w:val="00B33D8D"/>
    <w:rsid w:val="00B33DB4"/>
    <w:rsid w:val="00B33DC1"/>
    <w:rsid w:val="00B33E0D"/>
    <w:rsid w:val="00B33E30"/>
    <w:rsid w:val="00B33E36"/>
    <w:rsid w:val="00B33E74"/>
    <w:rsid w:val="00B3400C"/>
    <w:rsid w:val="00B34029"/>
    <w:rsid w:val="00B3416C"/>
    <w:rsid w:val="00B3431D"/>
    <w:rsid w:val="00B34389"/>
    <w:rsid w:val="00B343B0"/>
    <w:rsid w:val="00B34404"/>
    <w:rsid w:val="00B34480"/>
    <w:rsid w:val="00B346AE"/>
    <w:rsid w:val="00B34703"/>
    <w:rsid w:val="00B3471B"/>
    <w:rsid w:val="00B348DA"/>
    <w:rsid w:val="00B34905"/>
    <w:rsid w:val="00B34997"/>
    <w:rsid w:val="00B34AE0"/>
    <w:rsid w:val="00B34B11"/>
    <w:rsid w:val="00B34BAE"/>
    <w:rsid w:val="00B34BD6"/>
    <w:rsid w:val="00B34C95"/>
    <w:rsid w:val="00B34E93"/>
    <w:rsid w:val="00B34EC1"/>
    <w:rsid w:val="00B34F03"/>
    <w:rsid w:val="00B34F87"/>
    <w:rsid w:val="00B35013"/>
    <w:rsid w:val="00B350F4"/>
    <w:rsid w:val="00B3515F"/>
    <w:rsid w:val="00B351A3"/>
    <w:rsid w:val="00B352BB"/>
    <w:rsid w:val="00B35326"/>
    <w:rsid w:val="00B35340"/>
    <w:rsid w:val="00B3537B"/>
    <w:rsid w:val="00B35388"/>
    <w:rsid w:val="00B353EF"/>
    <w:rsid w:val="00B354AB"/>
    <w:rsid w:val="00B356C0"/>
    <w:rsid w:val="00B35937"/>
    <w:rsid w:val="00B359D5"/>
    <w:rsid w:val="00B35A74"/>
    <w:rsid w:val="00B35A95"/>
    <w:rsid w:val="00B35B57"/>
    <w:rsid w:val="00B35BD9"/>
    <w:rsid w:val="00B35CA8"/>
    <w:rsid w:val="00B35F69"/>
    <w:rsid w:val="00B35F7C"/>
    <w:rsid w:val="00B35FB3"/>
    <w:rsid w:val="00B3608F"/>
    <w:rsid w:val="00B3612B"/>
    <w:rsid w:val="00B3618D"/>
    <w:rsid w:val="00B36233"/>
    <w:rsid w:val="00B36247"/>
    <w:rsid w:val="00B36406"/>
    <w:rsid w:val="00B364DB"/>
    <w:rsid w:val="00B36523"/>
    <w:rsid w:val="00B36542"/>
    <w:rsid w:val="00B36648"/>
    <w:rsid w:val="00B36657"/>
    <w:rsid w:val="00B36763"/>
    <w:rsid w:val="00B3697D"/>
    <w:rsid w:val="00B36AD7"/>
    <w:rsid w:val="00B36B12"/>
    <w:rsid w:val="00B36D18"/>
    <w:rsid w:val="00B36F9D"/>
    <w:rsid w:val="00B36FDC"/>
    <w:rsid w:val="00B36FE7"/>
    <w:rsid w:val="00B3703C"/>
    <w:rsid w:val="00B3712C"/>
    <w:rsid w:val="00B37165"/>
    <w:rsid w:val="00B373BB"/>
    <w:rsid w:val="00B37431"/>
    <w:rsid w:val="00B37598"/>
    <w:rsid w:val="00B375C9"/>
    <w:rsid w:val="00B3761B"/>
    <w:rsid w:val="00B37691"/>
    <w:rsid w:val="00B378D0"/>
    <w:rsid w:val="00B37938"/>
    <w:rsid w:val="00B37966"/>
    <w:rsid w:val="00B37972"/>
    <w:rsid w:val="00B37C07"/>
    <w:rsid w:val="00B37C21"/>
    <w:rsid w:val="00B37C2C"/>
    <w:rsid w:val="00B37C39"/>
    <w:rsid w:val="00B37C7F"/>
    <w:rsid w:val="00B37CA2"/>
    <w:rsid w:val="00B37CC2"/>
    <w:rsid w:val="00B37E70"/>
    <w:rsid w:val="00B37EE7"/>
    <w:rsid w:val="00B37FF8"/>
    <w:rsid w:val="00B3ADEC"/>
    <w:rsid w:val="00B40061"/>
    <w:rsid w:val="00B40090"/>
    <w:rsid w:val="00B400B9"/>
    <w:rsid w:val="00B4016F"/>
    <w:rsid w:val="00B40284"/>
    <w:rsid w:val="00B40562"/>
    <w:rsid w:val="00B40679"/>
    <w:rsid w:val="00B407D6"/>
    <w:rsid w:val="00B40804"/>
    <w:rsid w:val="00B4092F"/>
    <w:rsid w:val="00B40933"/>
    <w:rsid w:val="00B40A2D"/>
    <w:rsid w:val="00B40BBD"/>
    <w:rsid w:val="00B40EB8"/>
    <w:rsid w:val="00B4112E"/>
    <w:rsid w:val="00B41161"/>
    <w:rsid w:val="00B411BD"/>
    <w:rsid w:val="00B411EF"/>
    <w:rsid w:val="00B41243"/>
    <w:rsid w:val="00B412B3"/>
    <w:rsid w:val="00B41344"/>
    <w:rsid w:val="00B413E1"/>
    <w:rsid w:val="00B4165D"/>
    <w:rsid w:val="00B41663"/>
    <w:rsid w:val="00B416E0"/>
    <w:rsid w:val="00B41709"/>
    <w:rsid w:val="00B41945"/>
    <w:rsid w:val="00B41A3F"/>
    <w:rsid w:val="00B41B7B"/>
    <w:rsid w:val="00B41BD3"/>
    <w:rsid w:val="00B41C31"/>
    <w:rsid w:val="00B41C4D"/>
    <w:rsid w:val="00B41C9C"/>
    <w:rsid w:val="00B41CE4"/>
    <w:rsid w:val="00B41EEF"/>
    <w:rsid w:val="00B41F10"/>
    <w:rsid w:val="00B41F36"/>
    <w:rsid w:val="00B42151"/>
    <w:rsid w:val="00B4215F"/>
    <w:rsid w:val="00B4223B"/>
    <w:rsid w:val="00B4227F"/>
    <w:rsid w:val="00B42402"/>
    <w:rsid w:val="00B42446"/>
    <w:rsid w:val="00B424DD"/>
    <w:rsid w:val="00B42512"/>
    <w:rsid w:val="00B42626"/>
    <w:rsid w:val="00B426E1"/>
    <w:rsid w:val="00B42727"/>
    <w:rsid w:val="00B42851"/>
    <w:rsid w:val="00B42857"/>
    <w:rsid w:val="00B428AC"/>
    <w:rsid w:val="00B428CE"/>
    <w:rsid w:val="00B428DE"/>
    <w:rsid w:val="00B428E0"/>
    <w:rsid w:val="00B429CA"/>
    <w:rsid w:val="00B42BC4"/>
    <w:rsid w:val="00B42BDD"/>
    <w:rsid w:val="00B42CA6"/>
    <w:rsid w:val="00B42CBC"/>
    <w:rsid w:val="00B42DB5"/>
    <w:rsid w:val="00B42E6F"/>
    <w:rsid w:val="00B430A5"/>
    <w:rsid w:val="00B431F4"/>
    <w:rsid w:val="00B43204"/>
    <w:rsid w:val="00B4322C"/>
    <w:rsid w:val="00B432DC"/>
    <w:rsid w:val="00B433C3"/>
    <w:rsid w:val="00B4354B"/>
    <w:rsid w:val="00B4355D"/>
    <w:rsid w:val="00B4358D"/>
    <w:rsid w:val="00B436CB"/>
    <w:rsid w:val="00B43742"/>
    <w:rsid w:val="00B43896"/>
    <w:rsid w:val="00B439C7"/>
    <w:rsid w:val="00B439D6"/>
    <w:rsid w:val="00B43A5B"/>
    <w:rsid w:val="00B43A9F"/>
    <w:rsid w:val="00B43AB6"/>
    <w:rsid w:val="00B43AD2"/>
    <w:rsid w:val="00B43B80"/>
    <w:rsid w:val="00B43C93"/>
    <w:rsid w:val="00B43CCF"/>
    <w:rsid w:val="00B4415C"/>
    <w:rsid w:val="00B44259"/>
    <w:rsid w:val="00B44302"/>
    <w:rsid w:val="00B443DF"/>
    <w:rsid w:val="00B4441C"/>
    <w:rsid w:val="00B444A6"/>
    <w:rsid w:val="00B444C6"/>
    <w:rsid w:val="00B444F8"/>
    <w:rsid w:val="00B4455E"/>
    <w:rsid w:val="00B4460C"/>
    <w:rsid w:val="00B44712"/>
    <w:rsid w:val="00B4473E"/>
    <w:rsid w:val="00B44750"/>
    <w:rsid w:val="00B44798"/>
    <w:rsid w:val="00B44808"/>
    <w:rsid w:val="00B44915"/>
    <w:rsid w:val="00B449E3"/>
    <w:rsid w:val="00B44A4D"/>
    <w:rsid w:val="00B44A9A"/>
    <w:rsid w:val="00B44AFB"/>
    <w:rsid w:val="00B44C74"/>
    <w:rsid w:val="00B44CA3"/>
    <w:rsid w:val="00B44CC6"/>
    <w:rsid w:val="00B44DC4"/>
    <w:rsid w:val="00B44E34"/>
    <w:rsid w:val="00B44E6A"/>
    <w:rsid w:val="00B45001"/>
    <w:rsid w:val="00B45106"/>
    <w:rsid w:val="00B4522F"/>
    <w:rsid w:val="00B45347"/>
    <w:rsid w:val="00B45409"/>
    <w:rsid w:val="00B45454"/>
    <w:rsid w:val="00B454DB"/>
    <w:rsid w:val="00B455AE"/>
    <w:rsid w:val="00B45771"/>
    <w:rsid w:val="00B45890"/>
    <w:rsid w:val="00B459C8"/>
    <w:rsid w:val="00B459E9"/>
    <w:rsid w:val="00B459EC"/>
    <w:rsid w:val="00B459FD"/>
    <w:rsid w:val="00B45AC7"/>
    <w:rsid w:val="00B45B53"/>
    <w:rsid w:val="00B45C2F"/>
    <w:rsid w:val="00B45C37"/>
    <w:rsid w:val="00B45E17"/>
    <w:rsid w:val="00B45E7D"/>
    <w:rsid w:val="00B4603B"/>
    <w:rsid w:val="00B4612F"/>
    <w:rsid w:val="00B461CC"/>
    <w:rsid w:val="00B4628B"/>
    <w:rsid w:val="00B46298"/>
    <w:rsid w:val="00B462BA"/>
    <w:rsid w:val="00B463D6"/>
    <w:rsid w:val="00B46500"/>
    <w:rsid w:val="00B46547"/>
    <w:rsid w:val="00B46557"/>
    <w:rsid w:val="00B465B9"/>
    <w:rsid w:val="00B46620"/>
    <w:rsid w:val="00B46627"/>
    <w:rsid w:val="00B46651"/>
    <w:rsid w:val="00B4686C"/>
    <w:rsid w:val="00B4687C"/>
    <w:rsid w:val="00B46898"/>
    <w:rsid w:val="00B46904"/>
    <w:rsid w:val="00B46963"/>
    <w:rsid w:val="00B46A26"/>
    <w:rsid w:val="00B46B68"/>
    <w:rsid w:val="00B46BCD"/>
    <w:rsid w:val="00B46BCE"/>
    <w:rsid w:val="00B46E6B"/>
    <w:rsid w:val="00B46EF9"/>
    <w:rsid w:val="00B46F11"/>
    <w:rsid w:val="00B46F60"/>
    <w:rsid w:val="00B470B3"/>
    <w:rsid w:val="00B470CA"/>
    <w:rsid w:val="00B47170"/>
    <w:rsid w:val="00B4726A"/>
    <w:rsid w:val="00B472B6"/>
    <w:rsid w:val="00B47344"/>
    <w:rsid w:val="00B47361"/>
    <w:rsid w:val="00B473EC"/>
    <w:rsid w:val="00B475AF"/>
    <w:rsid w:val="00B4763E"/>
    <w:rsid w:val="00B47699"/>
    <w:rsid w:val="00B476AF"/>
    <w:rsid w:val="00B476E6"/>
    <w:rsid w:val="00B47789"/>
    <w:rsid w:val="00B478D7"/>
    <w:rsid w:val="00B478FF"/>
    <w:rsid w:val="00B47A09"/>
    <w:rsid w:val="00B47A77"/>
    <w:rsid w:val="00B47AED"/>
    <w:rsid w:val="00B47EDF"/>
    <w:rsid w:val="00B47FDB"/>
    <w:rsid w:val="00B5004D"/>
    <w:rsid w:val="00B5017E"/>
    <w:rsid w:val="00B5019B"/>
    <w:rsid w:val="00B503EA"/>
    <w:rsid w:val="00B50709"/>
    <w:rsid w:val="00B50955"/>
    <w:rsid w:val="00B50B25"/>
    <w:rsid w:val="00B50B3F"/>
    <w:rsid w:val="00B50D01"/>
    <w:rsid w:val="00B50D0A"/>
    <w:rsid w:val="00B50E33"/>
    <w:rsid w:val="00B50F14"/>
    <w:rsid w:val="00B5102A"/>
    <w:rsid w:val="00B51057"/>
    <w:rsid w:val="00B512EC"/>
    <w:rsid w:val="00B51441"/>
    <w:rsid w:val="00B514B5"/>
    <w:rsid w:val="00B514E8"/>
    <w:rsid w:val="00B5171E"/>
    <w:rsid w:val="00B51720"/>
    <w:rsid w:val="00B517C1"/>
    <w:rsid w:val="00B51847"/>
    <w:rsid w:val="00B519B5"/>
    <w:rsid w:val="00B519F3"/>
    <w:rsid w:val="00B51B02"/>
    <w:rsid w:val="00B51F3E"/>
    <w:rsid w:val="00B51F79"/>
    <w:rsid w:val="00B51FAD"/>
    <w:rsid w:val="00B51FE5"/>
    <w:rsid w:val="00B5206A"/>
    <w:rsid w:val="00B52122"/>
    <w:rsid w:val="00B52158"/>
    <w:rsid w:val="00B521F0"/>
    <w:rsid w:val="00B52398"/>
    <w:rsid w:val="00B524ED"/>
    <w:rsid w:val="00B52536"/>
    <w:rsid w:val="00B5262B"/>
    <w:rsid w:val="00B527D2"/>
    <w:rsid w:val="00B5292F"/>
    <w:rsid w:val="00B52A37"/>
    <w:rsid w:val="00B52C2D"/>
    <w:rsid w:val="00B52C44"/>
    <w:rsid w:val="00B52C71"/>
    <w:rsid w:val="00B532A0"/>
    <w:rsid w:val="00B532A6"/>
    <w:rsid w:val="00B53397"/>
    <w:rsid w:val="00B533F8"/>
    <w:rsid w:val="00B5344E"/>
    <w:rsid w:val="00B5350E"/>
    <w:rsid w:val="00B535C5"/>
    <w:rsid w:val="00B535E6"/>
    <w:rsid w:val="00B5372F"/>
    <w:rsid w:val="00B53783"/>
    <w:rsid w:val="00B53987"/>
    <w:rsid w:val="00B539A6"/>
    <w:rsid w:val="00B53B81"/>
    <w:rsid w:val="00B53BA3"/>
    <w:rsid w:val="00B53BAE"/>
    <w:rsid w:val="00B53C67"/>
    <w:rsid w:val="00B53C9C"/>
    <w:rsid w:val="00B53DAB"/>
    <w:rsid w:val="00B53DF0"/>
    <w:rsid w:val="00B53DFC"/>
    <w:rsid w:val="00B53E0E"/>
    <w:rsid w:val="00B53E99"/>
    <w:rsid w:val="00B53FFE"/>
    <w:rsid w:val="00B542EA"/>
    <w:rsid w:val="00B5433A"/>
    <w:rsid w:val="00B543EC"/>
    <w:rsid w:val="00B54633"/>
    <w:rsid w:val="00B54689"/>
    <w:rsid w:val="00B546C0"/>
    <w:rsid w:val="00B546C3"/>
    <w:rsid w:val="00B548B9"/>
    <w:rsid w:val="00B548FE"/>
    <w:rsid w:val="00B54A56"/>
    <w:rsid w:val="00B54AAA"/>
    <w:rsid w:val="00B54BCF"/>
    <w:rsid w:val="00B54CBF"/>
    <w:rsid w:val="00B54D72"/>
    <w:rsid w:val="00B54D96"/>
    <w:rsid w:val="00B54E5C"/>
    <w:rsid w:val="00B54EDD"/>
    <w:rsid w:val="00B54EED"/>
    <w:rsid w:val="00B54F1B"/>
    <w:rsid w:val="00B54F1C"/>
    <w:rsid w:val="00B54F6D"/>
    <w:rsid w:val="00B54F96"/>
    <w:rsid w:val="00B54FEE"/>
    <w:rsid w:val="00B550AB"/>
    <w:rsid w:val="00B5513C"/>
    <w:rsid w:val="00B551FD"/>
    <w:rsid w:val="00B55207"/>
    <w:rsid w:val="00B5538A"/>
    <w:rsid w:val="00B554AF"/>
    <w:rsid w:val="00B55546"/>
    <w:rsid w:val="00B55639"/>
    <w:rsid w:val="00B556F1"/>
    <w:rsid w:val="00B55791"/>
    <w:rsid w:val="00B559A2"/>
    <w:rsid w:val="00B55A06"/>
    <w:rsid w:val="00B55A85"/>
    <w:rsid w:val="00B55CE0"/>
    <w:rsid w:val="00B55D57"/>
    <w:rsid w:val="00B55D5A"/>
    <w:rsid w:val="00B55DF3"/>
    <w:rsid w:val="00B55E00"/>
    <w:rsid w:val="00B55EEF"/>
    <w:rsid w:val="00B55F1D"/>
    <w:rsid w:val="00B55F36"/>
    <w:rsid w:val="00B55FA6"/>
    <w:rsid w:val="00B56092"/>
    <w:rsid w:val="00B56162"/>
    <w:rsid w:val="00B56179"/>
    <w:rsid w:val="00B561F4"/>
    <w:rsid w:val="00B56275"/>
    <w:rsid w:val="00B5634B"/>
    <w:rsid w:val="00B56366"/>
    <w:rsid w:val="00B56539"/>
    <w:rsid w:val="00B5653E"/>
    <w:rsid w:val="00B5666F"/>
    <w:rsid w:val="00B56680"/>
    <w:rsid w:val="00B566B1"/>
    <w:rsid w:val="00B56740"/>
    <w:rsid w:val="00B56AA3"/>
    <w:rsid w:val="00B56AE5"/>
    <w:rsid w:val="00B56B90"/>
    <w:rsid w:val="00B56BC9"/>
    <w:rsid w:val="00B56DEF"/>
    <w:rsid w:val="00B56E24"/>
    <w:rsid w:val="00B56FBA"/>
    <w:rsid w:val="00B56FC9"/>
    <w:rsid w:val="00B56FF4"/>
    <w:rsid w:val="00B570D1"/>
    <w:rsid w:val="00B57370"/>
    <w:rsid w:val="00B573C5"/>
    <w:rsid w:val="00B573F3"/>
    <w:rsid w:val="00B57450"/>
    <w:rsid w:val="00B57536"/>
    <w:rsid w:val="00B578EA"/>
    <w:rsid w:val="00B57909"/>
    <w:rsid w:val="00B57A3D"/>
    <w:rsid w:val="00B57A7B"/>
    <w:rsid w:val="00B57B2C"/>
    <w:rsid w:val="00B57B8C"/>
    <w:rsid w:val="00B57BAC"/>
    <w:rsid w:val="00B57F8F"/>
    <w:rsid w:val="00B57FCF"/>
    <w:rsid w:val="00B57FE8"/>
    <w:rsid w:val="00B57FFB"/>
    <w:rsid w:val="00B601E6"/>
    <w:rsid w:val="00B60200"/>
    <w:rsid w:val="00B602BD"/>
    <w:rsid w:val="00B60306"/>
    <w:rsid w:val="00B60314"/>
    <w:rsid w:val="00B6032A"/>
    <w:rsid w:val="00B60441"/>
    <w:rsid w:val="00B6049D"/>
    <w:rsid w:val="00B605CD"/>
    <w:rsid w:val="00B60677"/>
    <w:rsid w:val="00B60893"/>
    <w:rsid w:val="00B608A8"/>
    <w:rsid w:val="00B608CD"/>
    <w:rsid w:val="00B608E7"/>
    <w:rsid w:val="00B60B0D"/>
    <w:rsid w:val="00B60CD7"/>
    <w:rsid w:val="00B60E1C"/>
    <w:rsid w:val="00B60ED1"/>
    <w:rsid w:val="00B60F65"/>
    <w:rsid w:val="00B61052"/>
    <w:rsid w:val="00B610CF"/>
    <w:rsid w:val="00B61129"/>
    <w:rsid w:val="00B6118D"/>
    <w:rsid w:val="00B61280"/>
    <w:rsid w:val="00B613C0"/>
    <w:rsid w:val="00B61588"/>
    <w:rsid w:val="00B615C5"/>
    <w:rsid w:val="00B616BB"/>
    <w:rsid w:val="00B616C0"/>
    <w:rsid w:val="00B61780"/>
    <w:rsid w:val="00B617DA"/>
    <w:rsid w:val="00B6181C"/>
    <w:rsid w:val="00B618FA"/>
    <w:rsid w:val="00B61A4A"/>
    <w:rsid w:val="00B61A7E"/>
    <w:rsid w:val="00B61B50"/>
    <w:rsid w:val="00B61B58"/>
    <w:rsid w:val="00B61B5B"/>
    <w:rsid w:val="00B61B7B"/>
    <w:rsid w:val="00B61B96"/>
    <w:rsid w:val="00B61BEB"/>
    <w:rsid w:val="00B61CBC"/>
    <w:rsid w:val="00B61E9B"/>
    <w:rsid w:val="00B61EB4"/>
    <w:rsid w:val="00B61ED6"/>
    <w:rsid w:val="00B62019"/>
    <w:rsid w:val="00B6207D"/>
    <w:rsid w:val="00B62226"/>
    <w:rsid w:val="00B6229D"/>
    <w:rsid w:val="00B6245A"/>
    <w:rsid w:val="00B6267F"/>
    <w:rsid w:val="00B6269D"/>
    <w:rsid w:val="00B626F3"/>
    <w:rsid w:val="00B62756"/>
    <w:rsid w:val="00B62833"/>
    <w:rsid w:val="00B629FA"/>
    <w:rsid w:val="00B62AAD"/>
    <w:rsid w:val="00B62B6D"/>
    <w:rsid w:val="00B62C65"/>
    <w:rsid w:val="00B62D1C"/>
    <w:rsid w:val="00B6300C"/>
    <w:rsid w:val="00B63045"/>
    <w:rsid w:val="00B63092"/>
    <w:rsid w:val="00B63155"/>
    <w:rsid w:val="00B63492"/>
    <w:rsid w:val="00B63549"/>
    <w:rsid w:val="00B63560"/>
    <w:rsid w:val="00B63783"/>
    <w:rsid w:val="00B637B2"/>
    <w:rsid w:val="00B637E1"/>
    <w:rsid w:val="00B638FF"/>
    <w:rsid w:val="00B6392B"/>
    <w:rsid w:val="00B63B14"/>
    <w:rsid w:val="00B63D54"/>
    <w:rsid w:val="00B63DB8"/>
    <w:rsid w:val="00B63E1E"/>
    <w:rsid w:val="00B6411B"/>
    <w:rsid w:val="00B641CD"/>
    <w:rsid w:val="00B642C7"/>
    <w:rsid w:val="00B642DF"/>
    <w:rsid w:val="00B643F4"/>
    <w:rsid w:val="00B6446B"/>
    <w:rsid w:val="00B64555"/>
    <w:rsid w:val="00B645A7"/>
    <w:rsid w:val="00B645C3"/>
    <w:rsid w:val="00B64643"/>
    <w:rsid w:val="00B647CC"/>
    <w:rsid w:val="00B6485E"/>
    <w:rsid w:val="00B64882"/>
    <w:rsid w:val="00B64908"/>
    <w:rsid w:val="00B649BB"/>
    <w:rsid w:val="00B64A8F"/>
    <w:rsid w:val="00B64A9A"/>
    <w:rsid w:val="00B64A9E"/>
    <w:rsid w:val="00B64D3B"/>
    <w:rsid w:val="00B64D4E"/>
    <w:rsid w:val="00B64E2D"/>
    <w:rsid w:val="00B64EB0"/>
    <w:rsid w:val="00B64F00"/>
    <w:rsid w:val="00B64F80"/>
    <w:rsid w:val="00B64F8D"/>
    <w:rsid w:val="00B651BB"/>
    <w:rsid w:val="00B651CF"/>
    <w:rsid w:val="00B65259"/>
    <w:rsid w:val="00B6526E"/>
    <w:rsid w:val="00B65408"/>
    <w:rsid w:val="00B6540E"/>
    <w:rsid w:val="00B6549D"/>
    <w:rsid w:val="00B65523"/>
    <w:rsid w:val="00B655A0"/>
    <w:rsid w:val="00B657A6"/>
    <w:rsid w:val="00B65A37"/>
    <w:rsid w:val="00B65A58"/>
    <w:rsid w:val="00B65EE6"/>
    <w:rsid w:val="00B65FD3"/>
    <w:rsid w:val="00B660D3"/>
    <w:rsid w:val="00B662BE"/>
    <w:rsid w:val="00B664D9"/>
    <w:rsid w:val="00B665FD"/>
    <w:rsid w:val="00B66784"/>
    <w:rsid w:val="00B668E9"/>
    <w:rsid w:val="00B66AF9"/>
    <w:rsid w:val="00B66B42"/>
    <w:rsid w:val="00B66C00"/>
    <w:rsid w:val="00B66C20"/>
    <w:rsid w:val="00B66CA0"/>
    <w:rsid w:val="00B66E9D"/>
    <w:rsid w:val="00B66EB5"/>
    <w:rsid w:val="00B6707D"/>
    <w:rsid w:val="00B6710F"/>
    <w:rsid w:val="00B672CF"/>
    <w:rsid w:val="00B67368"/>
    <w:rsid w:val="00B673C1"/>
    <w:rsid w:val="00B67417"/>
    <w:rsid w:val="00B67618"/>
    <w:rsid w:val="00B67697"/>
    <w:rsid w:val="00B67777"/>
    <w:rsid w:val="00B67779"/>
    <w:rsid w:val="00B677D8"/>
    <w:rsid w:val="00B67983"/>
    <w:rsid w:val="00B67E76"/>
    <w:rsid w:val="00B67E7F"/>
    <w:rsid w:val="00B67EB5"/>
    <w:rsid w:val="00B67EEC"/>
    <w:rsid w:val="00B67F9F"/>
    <w:rsid w:val="00B67FCE"/>
    <w:rsid w:val="00B70061"/>
    <w:rsid w:val="00B70270"/>
    <w:rsid w:val="00B70358"/>
    <w:rsid w:val="00B70375"/>
    <w:rsid w:val="00B7038A"/>
    <w:rsid w:val="00B703D9"/>
    <w:rsid w:val="00B70477"/>
    <w:rsid w:val="00B704DA"/>
    <w:rsid w:val="00B70756"/>
    <w:rsid w:val="00B70A89"/>
    <w:rsid w:val="00B70ABF"/>
    <w:rsid w:val="00B70B30"/>
    <w:rsid w:val="00B70B54"/>
    <w:rsid w:val="00B70B5F"/>
    <w:rsid w:val="00B70C31"/>
    <w:rsid w:val="00B70C5C"/>
    <w:rsid w:val="00B70D48"/>
    <w:rsid w:val="00B70DEE"/>
    <w:rsid w:val="00B70E05"/>
    <w:rsid w:val="00B70EFD"/>
    <w:rsid w:val="00B70F5E"/>
    <w:rsid w:val="00B71085"/>
    <w:rsid w:val="00B711D5"/>
    <w:rsid w:val="00B711E8"/>
    <w:rsid w:val="00B71262"/>
    <w:rsid w:val="00B712F8"/>
    <w:rsid w:val="00B71318"/>
    <w:rsid w:val="00B7134B"/>
    <w:rsid w:val="00B71533"/>
    <w:rsid w:val="00B71647"/>
    <w:rsid w:val="00B716EE"/>
    <w:rsid w:val="00B717B6"/>
    <w:rsid w:val="00B71A4E"/>
    <w:rsid w:val="00B71ACB"/>
    <w:rsid w:val="00B71B5C"/>
    <w:rsid w:val="00B71C38"/>
    <w:rsid w:val="00B71CFF"/>
    <w:rsid w:val="00B71E75"/>
    <w:rsid w:val="00B71E84"/>
    <w:rsid w:val="00B71EC0"/>
    <w:rsid w:val="00B72001"/>
    <w:rsid w:val="00B72039"/>
    <w:rsid w:val="00B72045"/>
    <w:rsid w:val="00B72112"/>
    <w:rsid w:val="00B721EF"/>
    <w:rsid w:val="00B72269"/>
    <w:rsid w:val="00B7231B"/>
    <w:rsid w:val="00B72356"/>
    <w:rsid w:val="00B723EC"/>
    <w:rsid w:val="00B72638"/>
    <w:rsid w:val="00B726B4"/>
    <w:rsid w:val="00B726E4"/>
    <w:rsid w:val="00B72729"/>
    <w:rsid w:val="00B72829"/>
    <w:rsid w:val="00B7285B"/>
    <w:rsid w:val="00B729C9"/>
    <w:rsid w:val="00B72AD3"/>
    <w:rsid w:val="00B72B5B"/>
    <w:rsid w:val="00B72C84"/>
    <w:rsid w:val="00B72DD9"/>
    <w:rsid w:val="00B72E48"/>
    <w:rsid w:val="00B72E84"/>
    <w:rsid w:val="00B72E85"/>
    <w:rsid w:val="00B72F44"/>
    <w:rsid w:val="00B731AA"/>
    <w:rsid w:val="00B7326A"/>
    <w:rsid w:val="00B7329A"/>
    <w:rsid w:val="00B73504"/>
    <w:rsid w:val="00B73593"/>
    <w:rsid w:val="00B735D2"/>
    <w:rsid w:val="00B735EF"/>
    <w:rsid w:val="00B7364C"/>
    <w:rsid w:val="00B7378B"/>
    <w:rsid w:val="00B73C27"/>
    <w:rsid w:val="00B73C68"/>
    <w:rsid w:val="00B73F35"/>
    <w:rsid w:val="00B73F45"/>
    <w:rsid w:val="00B73FCB"/>
    <w:rsid w:val="00B73FEB"/>
    <w:rsid w:val="00B740C8"/>
    <w:rsid w:val="00B74149"/>
    <w:rsid w:val="00B7426D"/>
    <w:rsid w:val="00B74398"/>
    <w:rsid w:val="00B74664"/>
    <w:rsid w:val="00B74700"/>
    <w:rsid w:val="00B7474D"/>
    <w:rsid w:val="00B74756"/>
    <w:rsid w:val="00B74810"/>
    <w:rsid w:val="00B7486E"/>
    <w:rsid w:val="00B74C2A"/>
    <w:rsid w:val="00B74C56"/>
    <w:rsid w:val="00B74D52"/>
    <w:rsid w:val="00B74DA0"/>
    <w:rsid w:val="00B74F05"/>
    <w:rsid w:val="00B74F34"/>
    <w:rsid w:val="00B7507A"/>
    <w:rsid w:val="00B7509A"/>
    <w:rsid w:val="00B750E1"/>
    <w:rsid w:val="00B75107"/>
    <w:rsid w:val="00B75175"/>
    <w:rsid w:val="00B7518E"/>
    <w:rsid w:val="00B751FE"/>
    <w:rsid w:val="00B7531F"/>
    <w:rsid w:val="00B753BD"/>
    <w:rsid w:val="00B7542B"/>
    <w:rsid w:val="00B7544A"/>
    <w:rsid w:val="00B75498"/>
    <w:rsid w:val="00B75546"/>
    <w:rsid w:val="00B7554B"/>
    <w:rsid w:val="00B755D0"/>
    <w:rsid w:val="00B75678"/>
    <w:rsid w:val="00B75682"/>
    <w:rsid w:val="00B7577F"/>
    <w:rsid w:val="00B75821"/>
    <w:rsid w:val="00B75D0F"/>
    <w:rsid w:val="00B75DD4"/>
    <w:rsid w:val="00B75EF4"/>
    <w:rsid w:val="00B75F99"/>
    <w:rsid w:val="00B7628E"/>
    <w:rsid w:val="00B7639A"/>
    <w:rsid w:val="00B7639D"/>
    <w:rsid w:val="00B764DD"/>
    <w:rsid w:val="00B76626"/>
    <w:rsid w:val="00B7683E"/>
    <w:rsid w:val="00B768B6"/>
    <w:rsid w:val="00B769CC"/>
    <w:rsid w:val="00B76A14"/>
    <w:rsid w:val="00B76A45"/>
    <w:rsid w:val="00B76C5B"/>
    <w:rsid w:val="00B76C60"/>
    <w:rsid w:val="00B76EA1"/>
    <w:rsid w:val="00B77062"/>
    <w:rsid w:val="00B771C7"/>
    <w:rsid w:val="00B7740E"/>
    <w:rsid w:val="00B77492"/>
    <w:rsid w:val="00B77612"/>
    <w:rsid w:val="00B77624"/>
    <w:rsid w:val="00B7768A"/>
    <w:rsid w:val="00B77697"/>
    <w:rsid w:val="00B776EF"/>
    <w:rsid w:val="00B77715"/>
    <w:rsid w:val="00B77833"/>
    <w:rsid w:val="00B77896"/>
    <w:rsid w:val="00B77987"/>
    <w:rsid w:val="00B779E8"/>
    <w:rsid w:val="00B77A26"/>
    <w:rsid w:val="00B77B7B"/>
    <w:rsid w:val="00B77C1A"/>
    <w:rsid w:val="00B77CF5"/>
    <w:rsid w:val="00B77DF9"/>
    <w:rsid w:val="00B7A809"/>
    <w:rsid w:val="00B800FA"/>
    <w:rsid w:val="00B80238"/>
    <w:rsid w:val="00B8035A"/>
    <w:rsid w:val="00B8038E"/>
    <w:rsid w:val="00B805D6"/>
    <w:rsid w:val="00B80618"/>
    <w:rsid w:val="00B8065D"/>
    <w:rsid w:val="00B80683"/>
    <w:rsid w:val="00B806F3"/>
    <w:rsid w:val="00B808A2"/>
    <w:rsid w:val="00B8091F"/>
    <w:rsid w:val="00B8092F"/>
    <w:rsid w:val="00B80953"/>
    <w:rsid w:val="00B80A12"/>
    <w:rsid w:val="00B80C53"/>
    <w:rsid w:val="00B80CC7"/>
    <w:rsid w:val="00B80CFE"/>
    <w:rsid w:val="00B80D5D"/>
    <w:rsid w:val="00B80D94"/>
    <w:rsid w:val="00B80D9A"/>
    <w:rsid w:val="00B80F86"/>
    <w:rsid w:val="00B80F9B"/>
    <w:rsid w:val="00B80FBE"/>
    <w:rsid w:val="00B81038"/>
    <w:rsid w:val="00B8113A"/>
    <w:rsid w:val="00B812AA"/>
    <w:rsid w:val="00B812D5"/>
    <w:rsid w:val="00B81343"/>
    <w:rsid w:val="00B81403"/>
    <w:rsid w:val="00B81541"/>
    <w:rsid w:val="00B81638"/>
    <w:rsid w:val="00B816B1"/>
    <w:rsid w:val="00B81787"/>
    <w:rsid w:val="00B81919"/>
    <w:rsid w:val="00B8195F"/>
    <w:rsid w:val="00B819F2"/>
    <w:rsid w:val="00B81A69"/>
    <w:rsid w:val="00B81CE1"/>
    <w:rsid w:val="00B82150"/>
    <w:rsid w:val="00B821F6"/>
    <w:rsid w:val="00B822BC"/>
    <w:rsid w:val="00B82373"/>
    <w:rsid w:val="00B8285B"/>
    <w:rsid w:val="00B82861"/>
    <w:rsid w:val="00B82895"/>
    <w:rsid w:val="00B8291F"/>
    <w:rsid w:val="00B829D4"/>
    <w:rsid w:val="00B82B0A"/>
    <w:rsid w:val="00B82B21"/>
    <w:rsid w:val="00B82D38"/>
    <w:rsid w:val="00B82D46"/>
    <w:rsid w:val="00B82EEF"/>
    <w:rsid w:val="00B8301E"/>
    <w:rsid w:val="00B83047"/>
    <w:rsid w:val="00B8343F"/>
    <w:rsid w:val="00B834C9"/>
    <w:rsid w:val="00B835EE"/>
    <w:rsid w:val="00B83977"/>
    <w:rsid w:val="00B839B2"/>
    <w:rsid w:val="00B83AC7"/>
    <w:rsid w:val="00B83B27"/>
    <w:rsid w:val="00B83B73"/>
    <w:rsid w:val="00B83DA5"/>
    <w:rsid w:val="00B83DAB"/>
    <w:rsid w:val="00B83EC1"/>
    <w:rsid w:val="00B83F3B"/>
    <w:rsid w:val="00B84091"/>
    <w:rsid w:val="00B84121"/>
    <w:rsid w:val="00B841E9"/>
    <w:rsid w:val="00B8428A"/>
    <w:rsid w:val="00B84333"/>
    <w:rsid w:val="00B84371"/>
    <w:rsid w:val="00B84604"/>
    <w:rsid w:val="00B84685"/>
    <w:rsid w:val="00B846C5"/>
    <w:rsid w:val="00B8496E"/>
    <w:rsid w:val="00B849D8"/>
    <w:rsid w:val="00B84B4B"/>
    <w:rsid w:val="00B84BAB"/>
    <w:rsid w:val="00B84C40"/>
    <w:rsid w:val="00B84C98"/>
    <w:rsid w:val="00B84DA2"/>
    <w:rsid w:val="00B84E6A"/>
    <w:rsid w:val="00B84EBD"/>
    <w:rsid w:val="00B84FCC"/>
    <w:rsid w:val="00B85045"/>
    <w:rsid w:val="00B85097"/>
    <w:rsid w:val="00B850BA"/>
    <w:rsid w:val="00B850BF"/>
    <w:rsid w:val="00B850DA"/>
    <w:rsid w:val="00B851DD"/>
    <w:rsid w:val="00B85212"/>
    <w:rsid w:val="00B853B6"/>
    <w:rsid w:val="00B854F3"/>
    <w:rsid w:val="00B8552B"/>
    <w:rsid w:val="00B85597"/>
    <w:rsid w:val="00B85949"/>
    <w:rsid w:val="00B85A5E"/>
    <w:rsid w:val="00B85BC3"/>
    <w:rsid w:val="00B85CC7"/>
    <w:rsid w:val="00B85D1E"/>
    <w:rsid w:val="00B85DEF"/>
    <w:rsid w:val="00B85FE8"/>
    <w:rsid w:val="00B86022"/>
    <w:rsid w:val="00B86100"/>
    <w:rsid w:val="00B8611D"/>
    <w:rsid w:val="00B86182"/>
    <w:rsid w:val="00B861B2"/>
    <w:rsid w:val="00B862A5"/>
    <w:rsid w:val="00B862FC"/>
    <w:rsid w:val="00B8630B"/>
    <w:rsid w:val="00B8655F"/>
    <w:rsid w:val="00B86564"/>
    <w:rsid w:val="00B867DB"/>
    <w:rsid w:val="00B867DD"/>
    <w:rsid w:val="00B867E1"/>
    <w:rsid w:val="00B86837"/>
    <w:rsid w:val="00B8685D"/>
    <w:rsid w:val="00B8696F"/>
    <w:rsid w:val="00B86991"/>
    <w:rsid w:val="00B869D3"/>
    <w:rsid w:val="00B86B21"/>
    <w:rsid w:val="00B86B8F"/>
    <w:rsid w:val="00B86C35"/>
    <w:rsid w:val="00B86CB6"/>
    <w:rsid w:val="00B86D10"/>
    <w:rsid w:val="00B86D29"/>
    <w:rsid w:val="00B86D60"/>
    <w:rsid w:val="00B86FE6"/>
    <w:rsid w:val="00B870B3"/>
    <w:rsid w:val="00B87176"/>
    <w:rsid w:val="00B871CF"/>
    <w:rsid w:val="00B87210"/>
    <w:rsid w:val="00B872BD"/>
    <w:rsid w:val="00B874D1"/>
    <w:rsid w:val="00B874E8"/>
    <w:rsid w:val="00B8751C"/>
    <w:rsid w:val="00B87650"/>
    <w:rsid w:val="00B877A4"/>
    <w:rsid w:val="00B879CF"/>
    <w:rsid w:val="00B87AB7"/>
    <w:rsid w:val="00B87B4B"/>
    <w:rsid w:val="00B87C16"/>
    <w:rsid w:val="00B87C7B"/>
    <w:rsid w:val="00B87D14"/>
    <w:rsid w:val="00B87E26"/>
    <w:rsid w:val="00B90010"/>
    <w:rsid w:val="00B9003E"/>
    <w:rsid w:val="00B90087"/>
    <w:rsid w:val="00B9009F"/>
    <w:rsid w:val="00B903E4"/>
    <w:rsid w:val="00B9040E"/>
    <w:rsid w:val="00B90459"/>
    <w:rsid w:val="00B90519"/>
    <w:rsid w:val="00B906FE"/>
    <w:rsid w:val="00B90972"/>
    <w:rsid w:val="00B90980"/>
    <w:rsid w:val="00B90A54"/>
    <w:rsid w:val="00B90A7B"/>
    <w:rsid w:val="00B90B54"/>
    <w:rsid w:val="00B90BF2"/>
    <w:rsid w:val="00B90CFA"/>
    <w:rsid w:val="00B90F95"/>
    <w:rsid w:val="00B90FC7"/>
    <w:rsid w:val="00B90FF5"/>
    <w:rsid w:val="00B910D8"/>
    <w:rsid w:val="00B91104"/>
    <w:rsid w:val="00B91166"/>
    <w:rsid w:val="00B911DF"/>
    <w:rsid w:val="00B91251"/>
    <w:rsid w:val="00B9129F"/>
    <w:rsid w:val="00B9132D"/>
    <w:rsid w:val="00B9134A"/>
    <w:rsid w:val="00B913A1"/>
    <w:rsid w:val="00B9142D"/>
    <w:rsid w:val="00B914A8"/>
    <w:rsid w:val="00B9188B"/>
    <w:rsid w:val="00B91909"/>
    <w:rsid w:val="00B91A66"/>
    <w:rsid w:val="00B91ADD"/>
    <w:rsid w:val="00B91B28"/>
    <w:rsid w:val="00B91B73"/>
    <w:rsid w:val="00B91BA6"/>
    <w:rsid w:val="00B91C72"/>
    <w:rsid w:val="00B91D5D"/>
    <w:rsid w:val="00B91EB5"/>
    <w:rsid w:val="00B91FA7"/>
    <w:rsid w:val="00B91FC0"/>
    <w:rsid w:val="00B9210E"/>
    <w:rsid w:val="00B92134"/>
    <w:rsid w:val="00B92218"/>
    <w:rsid w:val="00B922A8"/>
    <w:rsid w:val="00B92549"/>
    <w:rsid w:val="00B9254A"/>
    <w:rsid w:val="00B9259C"/>
    <w:rsid w:val="00B92620"/>
    <w:rsid w:val="00B92787"/>
    <w:rsid w:val="00B9278A"/>
    <w:rsid w:val="00B927CC"/>
    <w:rsid w:val="00B929C7"/>
    <w:rsid w:val="00B92B2C"/>
    <w:rsid w:val="00B92B33"/>
    <w:rsid w:val="00B92C4F"/>
    <w:rsid w:val="00B92C82"/>
    <w:rsid w:val="00B92D49"/>
    <w:rsid w:val="00B92FD0"/>
    <w:rsid w:val="00B93006"/>
    <w:rsid w:val="00B9315A"/>
    <w:rsid w:val="00B932D2"/>
    <w:rsid w:val="00B932FB"/>
    <w:rsid w:val="00B9342C"/>
    <w:rsid w:val="00B93639"/>
    <w:rsid w:val="00B93652"/>
    <w:rsid w:val="00B9366C"/>
    <w:rsid w:val="00B9375F"/>
    <w:rsid w:val="00B939CD"/>
    <w:rsid w:val="00B93B08"/>
    <w:rsid w:val="00B93BB6"/>
    <w:rsid w:val="00B93BE4"/>
    <w:rsid w:val="00B93C65"/>
    <w:rsid w:val="00B93CCD"/>
    <w:rsid w:val="00B93EB8"/>
    <w:rsid w:val="00B941AB"/>
    <w:rsid w:val="00B941CF"/>
    <w:rsid w:val="00B94252"/>
    <w:rsid w:val="00B942E3"/>
    <w:rsid w:val="00B9439A"/>
    <w:rsid w:val="00B944F5"/>
    <w:rsid w:val="00B946F3"/>
    <w:rsid w:val="00B94755"/>
    <w:rsid w:val="00B9495E"/>
    <w:rsid w:val="00B949BE"/>
    <w:rsid w:val="00B94AC4"/>
    <w:rsid w:val="00B94AD8"/>
    <w:rsid w:val="00B94AE2"/>
    <w:rsid w:val="00B94C43"/>
    <w:rsid w:val="00B94D29"/>
    <w:rsid w:val="00B94D95"/>
    <w:rsid w:val="00B94F0D"/>
    <w:rsid w:val="00B94FC1"/>
    <w:rsid w:val="00B95059"/>
    <w:rsid w:val="00B95077"/>
    <w:rsid w:val="00B95364"/>
    <w:rsid w:val="00B9544C"/>
    <w:rsid w:val="00B95500"/>
    <w:rsid w:val="00B95720"/>
    <w:rsid w:val="00B95790"/>
    <w:rsid w:val="00B9593C"/>
    <w:rsid w:val="00B959BE"/>
    <w:rsid w:val="00B95AFD"/>
    <w:rsid w:val="00B95B1B"/>
    <w:rsid w:val="00B95D3F"/>
    <w:rsid w:val="00B96044"/>
    <w:rsid w:val="00B96074"/>
    <w:rsid w:val="00B96222"/>
    <w:rsid w:val="00B9637B"/>
    <w:rsid w:val="00B963FD"/>
    <w:rsid w:val="00B9655E"/>
    <w:rsid w:val="00B96568"/>
    <w:rsid w:val="00B965E2"/>
    <w:rsid w:val="00B966B6"/>
    <w:rsid w:val="00B96743"/>
    <w:rsid w:val="00B96817"/>
    <w:rsid w:val="00B96859"/>
    <w:rsid w:val="00B9685D"/>
    <w:rsid w:val="00B96933"/>
    <w:rsid w:val="00B96966"/>
    <w:rsid w:val="00B96980"/>
    <w:rsid w:val="00B96A2C"/>
    <w:rsid w:val="00B96ABE"/>
    <w:rsid w:val="00B96AEB"/>
    <w:rsid w:val="00B96C58"/>
    <w:rsid w:val="00B96C77"/>
    <w:rsid w:val="00B96E66"/>
    <w:rsid w:val="00B97088"/>
    <w:rsid w:val="00B9709A"/>
    <w:rsid w:val="00B9715A"/>
    <w:rsid w:val="00B971A2"/>
    <w:rsid w:val="00B97303"/>
    <w:rsid w:val="00B97470"/>
    <w:rsid w:val="00B97624"/>
    <w:rsid w:val="00B97664"/>
    <w:rsid w:val="00B976EB"/>
    <w:rsid w:val="00B978A9"/>
    <w:rsid w:val="00B9794C"/>
    <w:rsid w:val="00B97AE5"/>
    <w:rsid w:val="00B97CEA"/>
    <w:rsid w:val="00B97DF3"/>
    <w:rsid w:val="00B97DF7"/>
    <w:rsid w:val="00B97F4A"/>
    <w:rsid w:val="00B97F9D"/>
    <w:rsid w:val="00BA0103"/>
    <w:rsid w:val="00BA0153"/>
    <w:rsid w:val="00BA0208"/>
    <w:rsid w:val="00BA0297"/>
    <w:rsid w:val="00BA030D"/>
    <w:rsid w:val="00BA0547"/>
    <w:rsid w:val="00BA05C0"/>
    <w:rsid w:val="00BA05E2"/>
    <w:rsid w:val="00BA0779"/>
    <w:rsid w:val="00BA0831"/>
    <w:rsid w:val="00BA0858"/>
    <w:rsid w:val="00BA0867"/>
    <w:rsid w:val="00BA08E7"/>
    <w:rsid w:val="00BA08F3"/>
    <w:rsid w:val="00BA09F5"/>
    <w:rsid w:val="00BA0A2C"/>
    <w:rsid w:val="00BA0B39"/>
    <w:rsid w:val="00BA0BF4"/>
    <w:rsid w:val="00BA0C7E"/>
    <w:rsid w:val="00BA0DF6"/>
    <w:rsid w:val="00BA0EE5"/>
    <w:rsid w:val="00BA0EF6"/>
    <w:rsid w:val="00BA0F6C"/>
    <w:rsid w:val="00BA0F78"/>
    <w:rsid w:val="00BA1028"/>
    <w:rsid w:val="00BA1030"/>
    <w:rsid w:val="00BA10E9"/>
    <w:rsid w:val="00BA1159"/>
    <w:rsid w:val="00BA1189"/>
    <w:rsid w:val="00BA14BE"/>
    <w:rsid w:val="00BA15FA"/>
    <w:rsid w:val="00BA1832"/>
    <w:rsid w:val="00BA18DA"/>
    <w:rsid w:val="00BA1978"/>
    <w:rsid w:val="00BA197B"/>
    <w:rsid w:val="00BA19C0"/>
    <w:rsid w:val="00BA19F2"/>
    <w:rsid w:val="00BA1BBC"/>
    <w:rsid w:val="00BA1E45"/>
    <w:rsid w:val="00BA1E64"/>
    <w:rsid w:val="00BA1E86"/>
    <w:rsid w:val="00BA1F8A"/>
    <w:rsid w:val="00BA2036"/>
    <w:rsid w:val="00BA2204"/>
    <w:rsid w:val="00BA2484"/>
    <w:rsid w:val="00BA24A4"/>
    <w:rsid w:val="00BA24E8"/>
    <w:rsid w:val="00BA2732"/>
    <w:rsid w:val="00BA277A"/>
    <w:rsid w:val="00BA27E7"/>
    <w:rsid w:val="00BA2842"/>
    <w:rsid w:val="00BA293D"/>
    <w:rsid w:val="00BA2AC4"/>
    <w:rsid w:val="00BA2AD4"/>
    <w:rsid w:val="00BA2B46"/>
    <w:rsid w:val="00BA2BF6"/>
    <w:rsid w:val="00BA2DC9"/>
    <w:rsid w:val="00BA3075"/>
    <w:rsid w:val="00BA322B"/>
    <w:rsid w:val="00BA3294"/>
    <w:rsid w:val="00BA3345"/>
    <w:rsid w:val="00BA33BA"/>
    <w:rsid w:val="00BA34CB"/>
    <w:rsid w:val="00BA362A"/>
    <w:rsid w:val="00BA36C1"/>
    <w:rsid w:val="00BA37A7"/>
    <w:rsid w:val="00BA390B"/>
    <w:rsid w:val="00BA3C02"/>
    <w:rsid w:val="00BA3CD5"/>
    <w:rsid w:val="00BA3D30"/>
    <w:rsid w:val="00BA3E0E"/>
    <w:rsid w:val="00BA3E72"/>
    <w:rsid w:val="00BA3F83"/>
    <w:rsid w:val="00BA407F"/>
    <w:rsid w:val="00BA414C"/>
    <w:rsid w:val="00BA424D"/>
    <w:rsid w:val="00BA45F0"/>
    <w:rsid w:val="00BA48C8"/>
    <w:rsid w:val="00BA49BA"/>
    <w:rsid w:val="00BA49BC"/>
    <w:rsid w:val="00BA4A3D"/>
    <w:rsid w:val="00BA4C89"/>
    <w:rsid w:val="00BA4ED2"/>
    <w:rsid w:val="00BA4F2D"/>
    <w:rsid w:val="00BA4F96"/>
    <w:rsid w:val="00BA5044"/>
    <w:rsid w:val="00BA50A8"/>
    <w:rsid w:val="00BA51E7"/>
    <w:rsid w:val="00BA51E8"/>
    <w:rsid w:val="00BA5211"/>
    <w:rsid w:val="00BA5296"/>
    <w:rsid w:val="00BA52AB"/>
    <w:rsid w:val="00BA52B2"/>
    <w:rsid w:val="00BA530C"/>
    <w:rsid w:val="00BA532C"/>
    <w:rsid w:val="00BA536F"/>
    <w:rsid w:val="00BA53B0"/>
    <w:rsid w:val="00BA553E"/>
    <w:rsid w:val="00BA55A8"/>
    <w:rsid w:val="00BA55AF"/>
    <w:rsid w:val="00BA55FC"/>
    <w:rsid w:val="00BA563A"/>
    <w:rsid w:val="00BA56B7"/>
    <w:rsid w:val="00BA58B8"/>
    <w:rsid w:val="00BA5BF2"/>
    <w:rsid w:val="00BA5C1A"/>
    <w:rsid w:val="00BA5C4A"/>
    <w:rsid w:val="00BA5ECF"/>
    <w:rsid w:val="00BA61F8"/>
    <w:rsid w:val="00BA62F9"/>
    <w:rsid w:val="00BA63E8"/>
    <w:rsid w:val="00BA667F"/>
    <w:rsid w:val="00BA669B"/>
    <w:rsid w:val="00BA6716"/>
    <w:rsid w:val="00BA67DF"/>
    <w:rsid w:val="00BA6815"/>
    <w:rsid w:val="00BA68B5"/>
    <w:rsid w:val="00BA69CC"/>
    <w:rsid w:val="00BA6A47"/>
    <w:rsid w:val="00BA6A53"/>
    <w:rsid w:val="00BA6A68"/>
    <w:rsid w:val="00BA6A6F"/>
    <w:rsid w:val="00BA6B61"/>
    <w:rsid w:val="00BA6C9F"/>
    <w:rsid w:val="00BA6FAF"/>
    <w:rsid w:val="00BA71C4"/>
    <w:rsid w:val="00BA71F7"/>
    <w:rsid w:val="00BA723F"/>
    <w:rsid w:val="00BA72A3"/>
    <w:rsid w:val="00BA72BF"/>
    <w:rsid w:val="00BA731B"/>
    <w:rsid w:val="00BA74C6"/>
    <w:rsid w:val="00BA7507"/>
    <w:rsid w:val="00BA75A8"/>
    <w:rsid w:val="00BA75D6"/>
    <w:rsid w:val="00BA76C8"/>
    <w:rsid w:val="00BA7734"/>
    <w:rsid w:val="00BA77E7"/>
    <w:rsid w:val="00BA7899"/>
    <w:rsid w:val="00BA79F3"/>
    <w:rsid w:val="00BA7A1E"/>
    <w:rsid w:val="00BA7AA2"/>
    <w:rsid w:val="00BA7B59"/>
    <w:rsid w:val="00BA7B95"/>
    <w:rsid w:val="00BA7BBC"/>
    <w:rsid w:val="00BA7C0F"/>
    <w:rsid w:val="00BA7C17"/>
    <w:rsid w:val="00BA7D77"/>
    <w:rsid w:val="00BA7DC6"/>
    <w:rsid w:val="00BA7DDA"/>
    <w:rsid w:val="00BA7E8D"/>
    <w:rsid w:val="00BA7EAB"/>
    <w:rsid w:val="00BA7ED4"/>
    <w:rsid w:val="00BA7EF3"/>
    <w:rsid w:val="00BA7F01"/>
    <w:rsid w:val="00BA7F7E"/>
    <w:rsid w:val="00BB00D4"/>
    <w:rsid w:val="00BB0293"/>
    <w:rsid w:val="00BB02DD"/>
    <w:rsid w:val="00BB0601"/>
    <w:rsid w:val="00BB0825"/>
    <w:rsid w:val="00BB0A25"/>
    <w:rsid w:val="00BB0B57"/>
    <w:rsid w:val="00BB0B6A"/>
    <w:rsid w:val="00BB0BAE"/>
    <w:rsid w:val="00BB0D51"/>
    <w:rsid w:val="00BB0D69"/>
    <w:rsid w:val="00BB0DD4"/>
    <w:rsid w:val="00BB0DD8"/>
    <w:rsid w:val="00BB0E2A"/>
    <w:rsid w:val="00BB0E2D"/>
    <w:rsid w:val="00BB0E5E"/>
    <w:rsid w:val="00BB0EE9"/>
    <w:rsid w:val="00BB1190"/>
    <w:rsid w:val="00BB1244"/>
    <w:rsid w:val="00BB1390"/>
    <w:rsid w:val="00BB17A2"/>
    <w:rsid w:val="00BB1857"/>
    <w:rsid w:val="00BB19FF"/>
    <w:rsid w:val="00BB1B90"/>
    <w:rsid w:val="00BB1C10"/>
    <w:rsid w:val="00BB1C1E"/>
    <w:rsid w:val="00BB1DC0"/>
    <w:rsid w:val="00BB1E99"/>
    <w:rsid w:val="00BB1EA1"/>
    <w:rsid w:val="00BB1F7B"/>
    <w:rsid w:val="00BB1FA4"/>
    <w:rsid w:val="00BB1FB7"/>
    <w:rsid w:val="00BB20F1"/>
    <w:rsid w:val="00BB23BF"/>
    <w:rsid w:val="00BB2430"/>
    <w:rsid w:val="00BB24F3"/>
    <w:rsid w:val="00BB279F"/>
    <w:rsid w:val="00BB29B1"/>
    <w:rsid w:val="00BB29D2"/>
    <w:rsid w:val="00BB2C52"/>
    <w:rsid w:val="00BB2F6C"/>
    <w:rsid w:val="00BB2F8B"/>
    <w:rsid w:val="00BB2FDF"/>
    <w:rsid w:val="00BB2FE7"/>
    <w:rsid w:val="00BB31AF"/>
    <w:rsid w:val="00BB31D8"/>
    <w:rsid w:val="00BB3228"/>
    <w:rsid w:val="00BB33AA"/>
    <w:rsid w:val="00BB340E"/>
    <w:rsid w:val="00BB3438"/>
    <w:rsid w:val="00BB345E"/>
    <w:rsid w:val="00BB350E"/>
    <w:rsid w:val="00BB3581"/>
    <w:rsid w:val="00BB3875"/>
    <w:rsid w:val="00BB39EC"/>
    <w:rsid w:val="00BB3CDC"/>
    <w:rsid w:val="00BB3CE5"/>
    <w:rsid w:val="00BB3D46"/>
    <w:rsid w:val="00BB3DFE"/>
    <w:rsid w:val="00BB3E65"/>
    <w:rsid w:val="00BB3ED7"/>
    <w:rsid w:val="00BB402E"/>
    <w:rsid w:val="00BB40E4"/>
    <w:rsid w:val="00BB4104"/>
    <w:rsid w:val="00BB4155"/>
    <w:rsid w:val="00BB425B"/>
    <w:rsid w:val="00BB4276"/>
    <w:rsid w:val="00BB44ED"/>
    <w:rsid w:val="00BB45E9"/>
    <w:rsid w:val="00BB49C5"/>
    <w:rsid w:val="00BB4AD6"/>
    <w:rsid w:val="00BB4BBA"/>
    <w:rsid w:val="00BB4BCB"/>
    <w:rsid w:val="00BB4C6D"/>
    <w:rsid w:val="00BB4D61"/>
    <w:rsid w:val="00BB4DFD"/>
    <w:rsid w:val="00BB4E0D"/>
    <w:rsid w:val="00BB4FB1"/>
    <w:rsid w:val="00BB4FB5"/>
    <w:rsid w:val="00BB4FFC"/>
    <w:rsid w:val="00BB5066"/>
    <w:rsid w:val="00BB5178"/>
    <w:rsid w:val="00BB53B5"/>
    <w:rsid w:val="00BB543C"/>
    <w:rsid w:val="00BB5453"/>
    <w:rsid w:val="00BB55A5"/>
    <w:rsid w:val="00BB55B9"/>
    <w:rsid w:val="00BB5630"/>
    <w:rsid w:val="00BB5644"/>
    <w:rsid w:val="00BB575B"/>
    <w:rsid w:val="00BB580E"/>
    <w:rsid w:val="00BB5860"/>
    <w:rsid w:val="00BB58EE"/>
    <w:rsid w:val="00BB5905"/>
    <w:rsid w:val="00BB59CA"/>
    <w:rsid w:val="00BB5AF1"/>
    <w:rsid w:val="00BB5C4C"/>
    <w:rsid w:val="00BB5C9D"/>
    <w:rsid w:val="00BB5E15"/>
    <w:rsid w:val="00BB5E56"/>
    <w:rsid w:val="00BB5EBD"/>
    <w:rsid w:val="00BB6206"/>
    <w:rsid w:val="00BB6257"/>
    <w:rsid w:val="00BB630F"/>
    <w:rsid w:val="00BB6423"/>
    <w:rsid w:val="00BB66B6"/>
    <w:rsid w:val="00BB673C"/>
    <w:rsid w:val="00BB685B"/>
    <w:rsid w:val="00BB686C"/>
    <w:rsid w:val="00BB6889"/>
    <w:rsid w:val="00BB68AB"/>
    <w:rsid w:val="00BB68C7"/>
    <w:rsid w:val="00BB68F4"/>
    <w:rsid w:val="00BB6948"/>
    <w:rsid w:val="00BB6A01"/>
    <w:rsid w:val="00BB6A5F"/>
    <w:rsid w:val="00BB6A64"/>
    <w:rsid w:val="00BB6A70"/>
    <w:rsid w:val="00BB6A8C"/>
    <w:rsid w:val="00BB6AAD"/>
    <w:rsid w:val="00BB6C1C"/>
    <w:rsid w:val="00BB6CEC"/>
    <w:rsid w:val="00BB6D51"/>
    <w:rsid w:val="00BB6DDA"/>
    <w:rsid w:val="00BB6DEA"/>
    <w:rsid w:val="00BB6F21"/>
    <w:rsid w:val="00BB6FB4"/>
    <w:rsid w:val="00BB6FF1"/>
    <w:rsid w:val="00BB7040"/>
    <w:rsid w:val="00BB7086"/>
    <w:rsid w:val="00BB70CF"/>
    <w:rsid w:val="00BB70D3"/>
    <w:rsid w:val="00BB715E"/>
    <w:rsid w:val="00BB721C"/>
    <w:rsid w:val="00BB7299"/>
    <w:rsid w:val="00BB72F6"/>
    <w:rsid w:val="00BB72FB"/>
    <w:rsid w:val="00BB7454"/>
    <w:rsid w:val="00BB74F6"/>
    <w:rsid w:val="00BB75FA"/>
    <w:rsid w:val="00BB7610"/>
    <w:rsid w:val="00BB7742"/>
    <w:rsid w:val="00BB784F"/>
    <w:rsid w:val="00BB7872"/>
    <w:rsid w:val="00BB7A1E"/>
    <w:rsid w:val="00BB7A76"/>
    <w:rsid w:val="00BB7B0C"/>
    <w:rsid w:val="00BB7CD7"/>
    <w:rsid w:val="00BB7DAD"/>
    <w:rsid w:val="00BB7FF3"/>
    <w:rsid w:val="00BC0038"/>
    <w:rsid w:val="00BC00AA"/>
    <w:rsid w:val="00BC00B5"/>
    <w:rsid w:val="00BC0114"/>
    <w:rsid w:val="00BC0126"/>
    <w:rsid w:val="00BC0144"/>
    <w:rsid w:val="00BC0179"/>
    <w:rsid w:val="00BC01F4"/>
    <w:rsid w:val="00BC02B8"/>
    <w:rsid w:val="00BC033E"/>
    <w:rsid w:val="00BC039B"/>
    <w:rsid w:val="00BC0429"/>
    <w:rsid w:val="00BC0521"/>
    <w:rsid w:val="00BC0575"/>
    <w:rsid w:val="00BC05AB"/>
    <w:rsid w:val="00BC064B"/>
    <w:rsid w:val="00BC0782"/>
    <w:rsid w:val="00BC07DD"/>
    <w:rsid w:val="00BC0857"/>
    <w:rsid w:val="00BC088C"/>
    <w:rsid w:val="00BC08E2"/>
    <w:rsid w:val="00BC08FE"/>
    <w:rsid w:val="00BC098F"/>
    <w:rsid w:val="00BC09AB"/>
    <w:rsid w:val="00BC0A1D"/>
    <w:rsid w:val="00BC0ABE"/>
    <w:rsid w:val="00BC0B36"/>
    <w:rsid w:val="00BC0CDF"/>
    <w:rsid w:val="00BC0D23"/>
    <w:rsid w:val="00BC0DDF"/>
    <w:rsid w:val="00BC0EE9"/>
    <w:rsid w:val="00BC0F55"/>
    <w:rsid w:val="00BC0FF5"/>
    <w:rsid w:val="00BC112F"/>
    <w:rsid w:val="00BC1177"/>
    <w:rsid w:val="00BC1232"/>
    <w:rsid w:val="00BC1576"/>
    <w:rsid w:val="00BC1769"/>
    <w:rsid w:val="00BC179F"/>
    <w:rsid w:val="00BC1824"/>
    <w:rsid w:val="00BC194C"/>
    <w:rsid w:val="00BC1A30"/>
    <w:rsid w:val="00BC1AB1"/>
    <w:rsid w:val="00BC1B26"/>
    <w:rsid w:val="00BC1C1F"/>
    <w:rsid w:val="00BC1C93"/>
    <w:rsid w:val="00BC1D38"/>
    <w:rsid w:val="00BC1F5F"/>
    <w:rsid w:val="00BC215A"/>
    <w:rsid w:val="00BC21D3"/>
    <w:rsid w:val="00BC23F8"/>
    <w:rsid w:val="00BC24CD"/>
    <w:rsid w:val="00BC250E"/>
    <w:rsid w:val="00BC2538"/>
    <w:rsid w:val="00BC29F9"/>
    <w:rsid w:val="00BC2A06"/>
    <w:rsid w:val="00BC2A84"/>
    <w:rsid w:val="00BC2AF0"/>
    <w:rsid w:val="00BC2C8B"/>
    <w:rsid w:val="00BC2C9D"/>
    <w:rsid w:val="00BC2D02"/>
    <w:rsid w:val="00BC2DE3"/>
    <w:rsid w:val="00BC2E32"/>
    <w:rsid w:val="00BC2EB5"/>
    <w:rsid w:val="00BC2F13"/>
    <w:rsid w:val="00BC2FC1"/>
    <w:rsid w:val="00BC2FEF"/>
    <w:rsid w:val="00BC30FC"/>
    <w:rsid w:val="00BC3152"/>
    <w:rsid w:val="00BC319A"/>
    <w:rsid w:val="00BC3234"/>
    <w:rsid w:val="00BC3268"/>
    <w:rsid w:val="00BC32A7"/>
    <w:rsid w:val="00BC341D"/>
    <w:rsid w:val="00BC3444"/>
    <w:rsid w:val="00BC350D"/>
    <w:rsid w:val="00BC3559"/>
    <w:rsid w:val="00BC3584"/>
    <w:rsid w:val="00BC360C"/>
    <w:rsid w:val="00BC3812"/>
    <w:rsid w:val="00BC3878"/>
    <w:rsid w:val="00BC3954"/>
    <w:rsid w:val="00BC3B23"/>
    <w:rsid w:val="00BC3C8E"/>
    <w:rsid w:val="00BC3E1F"/>
    <w:rsid w:val="00BC3F1C"/>
    <w:rsid w:val="00BC3FFE"/>
    <w:rsid w:val="00BC40F5"/>
    <w:rsid w:val="00BC4155"/>
    <w:rsid w:val="00BC416D"/>
    <w:rsid w:val="00BC4174"/>
    <w:rsid w:val="00BC41C6"/>
    <w:rsid w:val="00BC41F8"/>
    <w:rsid w:val="00BC4312"/>
    <w:rsid w:val="00BC4378"/>
    <w:rsid w:val="00BC44A1"/>
    <w:rsid w:val="00BC44C3"/>
    <w:rsid w:val="00BC4527"/>
    <w:rsid w:val="00BC468F"/>
    <w:rsid w:val="00BC46C3"/>
    <w:rsid w:val="00BC47B8"/>
    <w:rsid w:val="00BC47E8"/>
    <w:rsid w:val="00BC486A"/>
    <w:rsid w:val="00BC48AF"/>
    <w:rsid w:val="00BC4A19"/>
    <w:rsid w:val="00BC4A5E"/>
    <w:rsid w:val="00BC4AAA"/>
    <w:rsid w:val="00BC4BD2"/>
    <w:rsid w:val="00BC4C6B"/>
    <w:rsid w:val="00BC4CC7"/>
    <w:rsid w:val="00BC4D15"/>
    <w:rsid w:val="00BC4DA1"/>
    <w:rsid w:val="00BC4E6D"/>
    <w:rsid w:val="00BC50EF"/>
    <w:rsid w:val="00BC512F"/>
    <w:rsid w:val="00BC5181"/>
    <w:rsid w:val="00BC530D"/>
    <w:rsid w:val="00BC5399"/>
    <w:rsid w:val="00BC53B3"/>
    <w:rsid w:val="00BC5439"/>
    <w:rsid w:val="00BC54B1"/>
    <w:rsid w:val="00BC5677"/>
    <w:rsid w:val="00BC5713"/>
    <w:rsid w:val="00BC580F"/>
    <w:rsid w:val="00BC5857"/>
    <w:rsid w:val="00BC58A6"/>
    <w:rsid w:val="00BC5AF7"/>
    <w:rsid w:val="00BC5CB0"/>
    <w:rsid w:val="00BC5CBD"/>
    <w:rsid w:val="00BC5CEC"/>
    <w:rsid w:val="00BC5E99"/>
    <w:rsid w:val="00BC5F2B"/>
    <w:rsid w:val="00BC5F5A"/>
    <w:rsid w:val="00BC5FEB"/>
    <w:rsid w:val="00BC600F"/>
    <w:rsid w:val="00BC603E"/>
    <w:rsid w:val="00BC608C"/>
    <w:rsid w:val="00BC6122"/>
    <w:rsid w:val="00BC6146"/>
    <w:rsid w:val="00BC61E3"/>
    <w:rsid w:val="00BC621C"/>
    <w:rsid w:val="00BC621D"/>
    <w:rsid w:val="00BC6296"/>
    <w:rsid w:val="00BC6349"/>
    <w:rsid w:val="00BC64A6"/>
    <w:rsid w:val="00BC6531"/>
    <w:rsid w:val="00BC6549"/>
    <w:rsid w:val="00BC6560"/>
    <w:rsid w:val="00BC659F"/>
    <w:rsid w:val="00BC66D2"/>
    <w:rsid w:val="00BC6778"/>
    <w:rsid w:val="00BC67E9"/>
    <w:rsid w:val="00BC6873"/>
    <w:rsid w:val="00BC69F2"/>
    <w:rsid w:val="00BC6AC0"/>
    <w:rsid w:val="00BC6B9F"/>
    <w:rsid w:val="00BC6D25"/>
    <w:rsid w:val="00BC6EB6"/>
    <w:rsid w:val="00BC7086"/>
    <w:rsid w:val="00BC710D"/>
    <w:rsid w:val="00BC7274"/>
    <w:rsid w:val="00BC727B"/>
    <w:rsid w:val="00BC7352"/>
    <w:rsid w:val="00BC75C6"/>
    <w:rsid w:val="00BC75DA"/>
    <w:rsid w:val="00BC75E6"/>
    <w:rsid w:val="00BC76BB"/>
    <w:rsid w:val="00BC7771"/>
    <w:rsid w:val="00BC7794"/>
    <w:rsid w:val="00BC78EA"/>
    <w:rsid w:val="00BC7932"/>
    <w:rsid w:val="00BC79D3"/>
    <w:rsid w:val="00BC79F5"/>
    <w:rsid w:val="00BC7A7D"/>
    <w:rsid w:val="00BC7B19"/>
    <w:rsid w:val="00BC7BDD"/>
    <w:rsid w:val="00BC7DEB"/>
    <w:rsid w:val="00BC7E4F"/>
    <w:rsid w:val="00BC7EB7"/>
    <w:rsid w:val="00BC7F45"/>
    <w:rsid w:val="00BC7F75"/>
    <w:rsid w:val="00BD0091"/>
    <w:rsid w:val="00BD00BC"/>
    <w:rsid w:val="00BD00F4"/>
    <w:rsid w:val="00BD0182"/>
    <w:rsid w:val="00BD020F"/>
    <w:rsid w:val="00BD0444"/>
    <w:rsid w:val="00BD05D4"/>
    <w:rsid w:val="00BD0617"/>
    <w:rsid w:val="00BD091E"/>
    <w:rsid w:val="00BD0977"/>
    <w:rsid w:val="00BD0A80"/>
    <w:rsid w:val="00BD0D13"/>
    <w:rsid w:val="00BD0D85"/>
    <w:rsid w:val="00BD0D97"/>
    <w:rsid w:val="00BD0DCA"/>
    <w:rsid w:val="00BD0DE8"/>
    <w:rsid w:val="00BD0E8D"/>
    <w:rsid w:val="00BD0EB7"/>
    <w:rsid w:val="00BD0F15"/>
    <w:rsid w:val="00BD102F"/>
    <w:rsid w:val="00BD10C9"/>
    <w:rsid w:val="00BD1175"/>
    <w:rsid w:val="00BD129F"/>
    <w:rsid w:val="00BD1497"/>
    <w:rsid w:val="00BD14B5"/>
    <w:rsid w:val="00BD152A"/>
    <w:rsid w:val="00BD15F8"/>
    <w:rsid w:val="00BD1739"/>
    <w:rsid w:val="00BD17A3"/>
    <w:rsid w:val="00BD17F4"/>
    <w:rsid w:val="00BD1867"/>
    <w:rsid w:val="00BD1903"/>
    <w:rsid w:val="00BD1A32"/>
    <w:rsid w:val="00BD1A65"/>
    <w:rsid w:val="00BD1AB5"/>
    <w:rsid w:val="00BD1CA0"/>
    <w:rsid w:val="00BD1DF2"/>
    <w:rsid w:val="00BD1EA5"/>
    <w:rsid w:val="00BD1F70"/>
    <w:rsid w:val="00BD1FC9"/>
    <w:rsid w:val="00BD2055"/>
    <w:rsid w:val="00BD22BD"/>
    <w:rsid w:val="00BD2310"/>
    <w:rsid w:val="00BD2390"/>
    <w:rsid w:val="00BD243B"/>
    <w:rsid w:val="00BD2485"/>
    <w:rsid w:val="00BD24C7"/>
    <w:rsid w:val="00BD25FD"/>
    <w:rsid w:val="00BD2688"/>
    <w:rsid w:val="00BD27A5"/>
    <w:rsid w:val="00BD2858"/>
    <w:rsid w:val="00BD2A76"/>
    <w:rsid w:val="00BD2AC7"/>
    <w:rsid w:val="00BD2B96"/>
    <w:rsid w:val="00BD2D36"/>
    <w:rsid w:val="00BD2DC9"/>
    <w:rsid w:val="00BD2DF5"/>
    <w:rsid w:val="00BD2E07"/>
    <w:rsid w:val="00BD2E88"/>
    <w:rsid w:val="00BD2E9B"/>
    <w:rsid w:val="00BD2F26"/>
    <w:rsid w:val="00BD2FCC"/>
    <w:rsid w:val="00BD31CE"/>
    <w:rsid w:val="00BD32FB"/>
    <w:rsid w:val="00BD3394"/>
    <w:rsid w:val="00BD361B"/>
    <w:rsid w:val="00BD367C"/>
    <w:rsid w:val="00BD372D"/>
    <w:rsid w:val="00BD376F"/>
    <w:rsid w:val="00BD393E"/>
    <w:rsid w:val="00BD393F"/>
    <w:rsid w:val="00BD3A02"/>
    <w:rsid w:val="00BD3B4F"/>
    <w:rsid w:val="00BD3B53"/>
    <w:rsid w:val="00BD3C64"/>
    <w:rsid w:val="00BD3D0D"/>
    <w:rsid w:val="00BD3D20"/>
    <w:rsid w:val="00BD3F95"/>
    <w:rsid w:val="00BD4022"/>
    <w:rsid w:val="00BD408A"/>
    <w:rsid w:val="00BD4093"/>
    <w:rsid w:val="00BD40DA"/>
    <w:rsid w:val="00BD412A"/>
    <w:rsid w:val="00BD4240"/>
    <w:rsid w:val="00BD429A"/>
    <w:rsid w:val="00BD42DE"/>
    <w:rsid w:val="00BD4533"/>
    <w:rsid w:val="00BD4608"/>
    <w:rsid w:val="00BD46AA"/>
    <w:rsid w:val="00BD477B"/>
    <w:rsid w:val="00BD47AF"/>
    <w:rsid w:val="00BD47D5"/>
    <w:rsid w:val="00BD48C3"/>
    <w:rsid w:val="00BD497B"/>
    <w:rsid w:val="00BD497C"/>
    <w:rsid w:val="00BD49B1"/>
    <w:rsid w:val="00BD4AF6"/>
    <w:rsid w:val="00BD4B80"/>
    <w:rsid w:val="00BD4B9C"/>
    <w:rsid w:val="00BD4BD9"/>
    <w:rsid w:val="00BD4C07"/>
    <w:rsid w:val="00BD4D6D"/>
    <w:rsid w:val="00BD4F8E"/>
    <w:rsid w:val="00BD50A1"/>
    <w:rsid w:val="00BD5116"/>
    <w:rsid w:val="00BD529A"/>
    <w:rsid w:val="00BD52F5"/>
    <w:rsid w:val="00BD530C"/>
    <w:rsid w:val="00BD54BA"/>
    <w:rsid w:val="00BD558A"/>
    <w:rsid w:val="00BD55F8"/>
    <w:rsid w:val="00BD56CE"/>
    <w:rsid w:val="00BD57C4"/>
    <w:rsid w:val="00BD5814"/>
    <w:rsid w:val="00BD5881"/>
    <w:rsid w:val="00BD58D0"/>
    <w:rsid w:val="00BD5964"/>
    <w:rsid w:val="00BD59E4"/>
    <w:rsid w:val="00BD5A1C"/>
    <w:rsid w:val="00BD5AB8"/>
    <w:rsid w:val="00BD5C23"/>
    <w:rsid w:val="00BD5CFE"/>
    <w:rsid w:val="00BD5D64"/>
    <w:rsid w:val="00BD5EE1"/>
    <w:rsid w:val="00BD6017"/>
    <w:rsid w:val="00BD60E0"/>
    <w:rsid w:val="00BD6168"/>
    <w:rsid w:val="00BD6180"/>
    <w:rsid w:val="00BD620F"/>
    <w:rsid w:val="00BD62F2"/>
    <w:rsid w:val="00BD664B"/>
    <w:rsid w:val="00BD666C"/>
    <w:rsid w:val="00BD6689"/>
    <w:rsid w:val="00BD66B5"/>
    <w:rsid w:val="00BD66E7"/>
    <w:rsid w:val="00BD6775"/>
    <w:rsid w:val="00BD6793"/>
    <w:rsid w:val="00BD67B2"/>
    <w:rsid w:val="00BD683E"/>
    <w:rsid w:val="00BD68FA"/>
    <w:rsid w:val="00BD6959"/>
    <w:rsid w:val="00BD6A50"/>
    <w:rsid w:val="00BD6A76"/>
    <w:rsid w:val="00BD6AAE"/>
    <w:rsid w:val="00BD6B18"/>
    <w:rsid w:val="00BD6B1D"/>
    <w:rsid w:val="00BD6CDF"/>
    <w:rsid w:val="00BD6CEB"/>
    <w:rsid w:val="00BD6D2B"/>
    <w:rsid w:val="00BD6D6D"/>
    <w:rsid w:val="00BD6E4B"/>
    <w:rsid w:val="00BD6F4B"/>
    <w:rsid w:val="00BD6FEC"/>
    <w:rsid w:val="00BD7145"/>
    <w:rsid w:val="00BD7183"/>
    <w:rsid w:val="00BD71EE"/>
    <w:rsid w:val="00BD729C"/>
    <w:rsid w:val="00BD72BA"/>
    <w:rsid w:val="00BD72F0"/>
    <w:rsid w:val="00BD7583"/>
    <w:rsid w:val="00BD758A"/>
    <w:rsid w:val="00BD7963"/>
    <w:rsid w:val="00BD7A5B"/>
    <w:rsid w:val="00BD7B36"/>
    <w:rsid w:val="00BD7D72"/>
    <w:rsid w:val="00BD7E49"/>
    <w:rsid w:val="00BD7E9A"/>
    <w:rsid w:val="00BD7EA7"/>
    <w:rsid w:val="00BD7F05"/>
    <w:rsid w:val="00BD7F0C"/>
    <w:rsid w:val="00BD7F28"/>
    <w:rsid w:val="00BD7F8D"/>
    <w:rsid w:val="00BD7FB2"/>
    <w:rsid w:val="00BD7FF1"/>
    <w:rsid w:val="00BE0015"/>
    <w:rsid w:val="00BE00BF"/>
    <w:rsid w:val="00BE011B"/>
    <w:rsid w:val="00BE021B"/>
    <w:rsid w:val="00BE0248"/>
    <w:rsid w:val="00BE04AE"/>
    <w:rsid w:val="00BE04E1"/>
    <w:rsid w:val="00BE069D"/>
    <w:rsid w:val="00BE0712"/>
    <w:rsid w:val="00BE088D"/>
    <w:rsid w:val="00BE0931"/>
    <w:rsid w:val="00BE094F"/>
    <w:rsid w:val="00BE098F"/>
    <w:rsid w:val="00BE09A2"/>
    <w:rsid w:val="00BE0B28"/>
    <w:rsid w:val="00BE0D78"/>
    <w:rsid w:val="00BE0D97"/>
    <w:rsid w:val="00BE0DF2"/>
    <w:rsid w:val="00BE0E36"/>
    <w:rsid w:val="00BE103F"/>
    <w:rsid w:val="00BE1179"/>
    <w:rsid w:val="00BE11C6"/>
    <w:rsid w:val="00BE125D"/>
    <w:rsid w:val="00BE1280"/>
    <w:rsid w:val="00BE12AA"/>
    <w:rsid w:val="00BE153C"/>
    <w:rsid w:val="00BE1548"/>
    <w:rsid w:val="00BE16DE"/>
    <w:rsid w:val="00BE1734"/>
    <w:rsid w:val="00BE1744"/>
    <w:rsid w:val="00BE17AB"/>
    <w:rsid w:val="00BE17CA"/>
    <w:rsid w:val="00BE18A1"/>
    <w:rsid w:val="00BE18FE"/>
    <w:rsid w:val="00BE1977"/>
    <w:rsid w:val="00BE1B61"/>
    <w:rsid w:val="00BE1B9B"/>
    <w:rsid w:val="00BE1BA3"/>
    <w:rsid w:val="00BE1BDA"/>
    <w:rsid w:val="00BE1D33"/>
    <w:rsid w:val="00BE1E57"/>
    <w:rsid w:val="00BE1ED0"/>
    <w:rsid w:val="00BE1F8D"/>
    <w:rsid w:val="00BE234C"/>
    <w:rsid w:val="00BE241C"/>
    <w:rsid w:val="00BE245E"/>
    <w:rsid w:val="00BE2485"/>
    <w:rsid w:val="00BE25E5"/>
    <w:rsid w:val="00BE27B4"/>
    <w:rsid w:val="00BE28CE"/>
    <w:rsid w:val="00BE2919"/>
    <w:rsid w:val="00BE2AC7"/>
    <w:rsid w:val="00BE2AE4"/>
    <w:rsid w:val="00BE2C8B"/>
    <w:rsid w:val="00BE2CEC"/>
    <w:rsid w:val="00BE2E7E"/>
    <w:rsid w:val="00BE2F09"/>
    <w:rsid w:val="00BE2F18"/>
    <w:rsid w:val="00BE30CD"/>
    <w:rsid w:val="00BE31AF"/>
    <w:rsid w:val="00BE33EB"/>
    <w:rsid w:val="00BE33F5"/>
    <w:rsid w:val="00BE3552"/>
    <w:rsid w:val="00BE369A"/>
    <w:rsid w:val="00BE36C0"/>
    <w:rsid w:val="00BE3703"/>
    <w:rsid w:val="00BE3786"/>
    <w:rsid w:val="00BE3875"/>
    <w:rsid w:val="00BE38E2"/>
    <w:rsid w:val="00BE3AD7"/>
    <w:rsid w:val="00BE3B21"/>
    <w:rsid w:val="00BE3BA0"/>
    <w:rsid w:val="00BE3D12"/>
    <w:rsid w:val="00BE4060"/>
    <w:rsid w:val="00BE407F"/>
    <w:rsid w:val="00BE40EB"/>
    <w:rsid w:val="00BE43C8"/>
    <w:rsid w:val="00BE44F5"/>
    <w:rsid w:val="00BE4575"/>
    <w:rsid w:val="00BE45C6"/>
    <w:rsid w:val="00BE47BE"/>
    <w:rsid w:val="00BE47F9"/>
    <w:rsid w:val="00BE481A"/>
    <w:rsid w:val="00BE48CE"/>
    <w:rsid w:val="00BE4AAD"/>
    <w:rsid w:val="00BE4C6D"/>
    <w:rsid w:val="00BE4CE6"/>
    <w:rsid w:val="00BE4D73"/>
    <w:rsid w:val="00BE4E1A"/>
    <w:rsid w:val="00BE4EC0"/>
    <w:rsid w:val="00BE4F38"/>
    <w:rsid w:val="00BE5274"/>
    <w:rsid w:val="00BE52A8"/>
    <w:rsid w:val="00BE5301"/>
    <w:rsid w:val="00BE54B0"/>
    <w:rsid w:val="00BE558A"/>
    <w:rsid w:val="00BE5689"/>
    <w:rsid w:val="00BE588A"/>
    <w:rsid w:val="00BE5A24"/>
    <w:rsid w:val="00BE5BFE"/>
    <w:rsid w:val="00BE5E9F"/>
    <w:rsid w:val="00BE5F79"/>
    <w:rsid w:val="00BE6052"/>
    <w:rsid w:val="00BE61D7"/>
    <w:rsid w:val="00BE62DD"/>
    <w:rsid w:val="00BE63B9"/>
    <w:rsid w:val="00BE6584"/>
    <w:rsid w:val="00BE65B1"/>
    <w:rsid w:val="00BE674D"/>
    <w:rsid w:val="00BE676E"/>
    <w:rsid w:val="00BE6851"/>
    <w:rsid w:val="00BE6855"/>
    <w:rsid w:val="00BE6A96"/>
    <w:rsid w:val="00BE6B5E"/>
    <w:rsid w:val="00BE6BA3"/>
    <w:rsid w:val="00BE6D47"/>
    <w:rsid w:val="00BE6D9A"/>
    <w:rsid w:val="00BE6E21"/>
    <w:rsid w:val="00BE6E2C"/>
    <w:rsid w:val="00BE6F2A"/>
    <w:rsid w:val="00BE6FEA"/>
    <w:rsid w:val="00BE705C"/>
    <w:rsid w:val="00BE71AA"/>
    <w:rsid w:val="00BE71F3"/>
    <w:rsid w:val="00BE72CC"/>
    <w:rsid w:val="00BE72E4"/>
    <w:rsid w:val="00BE72E6"/>
    <w:rsid w:val="00BE72FE"/>
    <w:rsid w:val="00BE7359"/>
    <w:rsid w:val="00BE7386"/>
    <w:rsid w:val="00BE75F6"/>
    <w:rsid w:val="00BE7661"/>
    <w:rsid w:val="00BE76DE"/>
    <w:rsid w:val="00BE77A0"/>
    <w:rsid w:val="00BE77A1"/>
    <w:rsid w:val="00BE782D"/>
    <w:rsid w:val="00BE7998"/>
    <w:rsid w:val="00BE79B8"/>
    <w:rsid w:val="00BE79D8"/>
    <w:rsid w:val="00BE7A49"/>
    <w:rsid w:val="00BE7B86"/>
    <w:rsid w:val="00BE7D4D"/>
    <w:rsid w:val="00BE7EEB"/>
    <w:rsid w:val="00BE7F0C"/>
    <w:rsid w:val="00BE9F94"/>
    <w:rsid w:val="00BEB173"/>
    <w:rsid w:val="00BF0012"/>
    <w:rsid w:val="00BF0029"/>
    <w:rsid w:val="00BF007C"/>
    <w:rsid w:val="00BF0109"/>
    <w:rsid w:val="00BF0162"/>
    <w:rsid w:val="00BF0179"/>
    <w:rsid w:val="00BF0229"/>
    <w:rsid w:val="00BF022F"/>
    <w:rsid w:val="00BF02F4"/>
    <w:rsid w:val="00BF043C"/>
    <w:rsid w:val="00BF045E"/>
    <w:rsid w:val="00BF04D6"/>
    <w:rsid w:val="00BF0544"/>
    <w:rsid w:val="00BF05CB"/>
    <w:rsid w:val="00BF062E"/>
    <w:rsid w:val="00BF06B2"/>
    <w:rsid w:val="00BF088D"/>
    <w:rsid w:val="00BF08C8"/>
    <w:rsid w:val="00BF0A02"/>
    <w:rsid w:val="00BF0A4E"/>
    <w:rsid w:val="00BF0AA5"/>
    <w:rsid w:val="00BF0B10"/>
    <w:rsid w:val="00BF0CBD"/>
    <w:rsid w:val="00BF0DB1"/>
    <w:rsid w:val="00BF0E0A"/>
    <w:rsid w:val="00BF0E9D"/>
    <w:rsid w:val="00BF0FB9"/>
    <w:rsid w:val="00BF104D"/>
    <w:rsid w:val="00BF10BA"/>
    <w:rsid w:val="00BF11A3"/>
    <w:rsid w:val="00BF11AD"/>
    <w:rsid w:val="00BF11E3"/>
    <w:rsid w:val="00BF1237"/>
    <w:rsid w:val="00BF12F2"/>
    <w:rsid w:val="00BF1303"/>
    <w:rsid w:val="00BF1359"/>
    <w:rsid w:val="00BF1380"/>
    <w:rsid w:val="00BF146C"/>
    <w:rsid w:val="00BF1589"/>
    <w:rsid w:val="00BF15F1"/>
    <w:rsid w:val="00BF1729"/>
    <w:rsid w:val="00BF1759"/>
    <w:rsid w:val="00BF17B7"/>
    <w:rsid w:val="00BF17E1"/>
    <w:rsid w:val="00BF1964"/>
    <w:rsid w:val="00BF19EA"/>
    <w:rsid w:val="00BF1A0E"/>
    <w:rsid w:val="00BF1A99"/>
    <w:rsid w:val="00BF1B33"/>
    <w:rsid w:val="00BF1CDC"/>
    <w:rsid w:val="00BF1E50"/>
    <w:rsid w:val="00BF1EEF"/>
    <w:rsid w:val="00BF1FA7"/>
    <w:rsid w:val="00BF2118"/>
    <w:rsid w:val="00BF211A"/>
    <w:rsid w:val="00BF214F"/>
    <w:rsid w:val="00BF21A2"/>
    <w:rsid w:val="00BF21B0"/>
    <w:rsid w:val="00BF2206"/>
    <w:rsid w:val="00BF230A"/>
    <w:rsid w:val="00BF2476"/>
    <w:rsid w:val="00BF2597"/>
    <w:rsid w:val="00BF2630"/>
    <w:rsid w:val="00BF289F"/>
    <w:rsid w:val="00BF28F3"/>
    <w:rsid w:val="00BF2990"/>
    <w:rsid w:val="00BF2A84"/>
    <w:rsid w:val="00BF2AA4"/>
    <w:rsid w:val="00BF2B33"/>
    <w:rsid w:val="00BF2B4D"/>
    <w:rsid w:val="00BF2B51"/>
    <w:rsid w:val="00BF2C01"/>
    <w:rsid w:val="00BF2CB3"/>
    <w:rsid w:val="00BF2D2B"/>
    <w:rsid w:val="00BF2DDE"/>
    <w:rsid w:val="00BF2E1F"/>
    <w:rsid w:val="00BF2E2D"/>
    <w:rsid w:val="00BF2E7F"/>
    <w:rsid w:val="00BF3148"/>
    <w:rsid w:val="00BF319E"/>
    <w:rsid w:val="00BF324F"/>
    <w:rsid w:val="00BF338F"/>
    <w:rsid w:val="00BF3440"/>
    <w:rsid w:val="00BF351F"/>
    <w:rsid w:val="00BF373C"/>
    <w:rsid w:val="00BF3807"/>
    <w:rsid w:val="00BF3864"/>
    <w:rsid w:val="00BF38F2"/>
    <w:rsid w:val="00BF3979"/>
    <w:rsid w:val="00BF3A4F"/>
    <w:rsid w:val="00BF3A8B"/>
    <w:rsid w:val="00BF3B62"/>
    <w:rsid w:val="00BF3D8D"/>
    <w:rsid w:val="00BF3D9D"/>
    <w:rsid w:val="00BF3E06"/>
    <w:rsid w:val="00BF3EAD"/>
    <w:rsid w:val="00BF3F37"/>
    <w:rsid w:val="00BF3F3B"/>
    <w:rsid w:val="00BF3FA9"/>
    <w:rsid w:val="00BF3FC7"/>
    <w:rsid w:val="00BF3FFD"/>
    <w:rsid w:val="00BF40A6"/>
    <w:rsid w:val="00BF40B6"/>
    <w:rsid w:val="00BF40DA"/>
    <w:rsid w:val="00BF4212"/>
    <w:rsid w:val="00BF423E"/>
    <w:rsid w:val="00BF4275"/>
    <w:rsid w:val="00BF4304"/>
    <w:rsid w:val="00BF4374"/>
    <w:rsid w:val="00BF43DF"/>
    <w:rsid w:val="00BF44D4"/>
    <w:rsid w:val="00BF4649"/>
    <w:rsid w:val="00BF4693"/>
    <w:rsid w:val="00BF46CA"/>
    <w:rsid w:val="00BF4752"/>
    <w:rsid w:val="00BF4786"/>
    <w:rsid w:val="00BF4818"/>
    <w:rsid w:val="00BF4B3E"/>
    <w:rsid w:val="00BF4B83"/>
    <w:rsid w:val="00BF4BDA"/>
    <w:rsid w:val="00BF4BDB"/>
    <w:rsid w:val="00BF4C3C"/>
    <w:rsid w:val="00BF4C7D"/>
    <w:rsid w:val="00BF4CC9"/>
    <w:rsid w:val="00BF4D57"/>
    <w:rsid w:val="00BF4DFE"/>
    <w:rsid w:val="00BF4EE9"/>
    <w:rsid w:val="00BF4FFE"/>
    <w:rsid w:val="00BF506F"/>
    <w:rsid w:val="00BF50A5"/>
    <w:rsid w:val="00BF520E"/>
    <w:rsid w:val="00BF525A"/>
    <w:rsid w:val="00BF5422"/>
    <w:rsid w:val="00BF54A4"/>
    <w:rsid w:val="00BF54BA"/>
    <w:rsid w:val="00BF54F7"/>
    <w:rsid w:val="00BF5560"/>
    <w:rsid w:val="00BF558A"/>
    <w:rsid w:val="00BF5661"/>
    <w:rsid w:val="00BF57C8"/>
    <w:rsid w:val="00BF57E7"/>
    <w:rsid w:val="00BF59C6"/>
    <w:rsid w:val="00BF5A21"/>
    <w:rsid w:val="00BF5A3E"/>
    <w:rsid w:val="00BF5A73"/>
    <w:rsid w:val="00BF5A8A"/>
    <w:rsid w:val="00BF5B5A"/>
    <w:rsid w:val="00BF5D1C"/>
    <w:rsid w:val="00BF5D45"/>
    <w:rsid w:val="00BF5D9B"/>
    <w:rsid w:val="00BF5E03"/>
    <w:rsid w:val="00BF5E5A"/>
    <w:rsid w:val="00BF5FA7"/>
    <w:rsid w:val="00BF6088"/>
    <w:rsid w:val="00BF60AA"/>
    <w:rsid w:val="00BF60C9"/>
    <w:rsid w:val="00BF61AD"/>
    <w:rsid w:val="00BF61E9"/>
    <w:rsid w:val="00BF6244"/>
    <w:rsid w:val="00BF6314"/>
    <w:rsid w:val="00BF638E"/>
    <w:rsid w:val="00BF63CF"/>
    <w:rsid w:val="00BF658F"/>
    <w:rsid w:val="00BF65FE"/>
    <w:rsid w:val="00BF66BB"/>
    <w:rsid w:val="00BF67D8"/>
    <w:rsid w:val="00BF698A"/>
    <w:rsid w:val="00BF6BA0"/>
    <w:rsid w:val="00BF6BC4"/>
    <w:rsid w:val="00BF6BE3"/>
    <w:rsid w:val="00BF6ED8"/>
    <w:rsid w:val="00BF6FD1"/>
    <w:rsid w:val="00BF7412"/>
    <w:rsid w:val="00BF745F"/>
    <w:rsid w:val="00BF748B"/>
    <w:rsid w:val="00BF750F"/>
    <w:rsid w:val="00BF75EB"/>
    <w:rsid w:val="00BF76C3"/>
    <w:rsid w:val="00BF7772"/>
    <w:rsid w:val="00BF787D"/>
    <w:rsid w:val="00BF7A9F"/>
    <w:rsid w:val="00BF7AA9"/>
    <w:rsid w:val="00BF7AFD"/>
    <w:rsid w:val="00BF7B5A"/>
    <w:rsid w:val="00BF7B7C"/>
    <w:rsid w:val="00BF7C8C"/>
    <w:rsid w:val="00BF7CE4"/>
    <w:rsid w:val="00BF7D93"/>
    <w:rsid w:val="00BF7EC0"/>
    <w:rsid w:val="00BF7F0C"/>
    <w:rsid w:val="00BF7FE9"/>
    <w:rsid w:val="00C00081"/>
    <w:rsid w:val="00C000B5"/>
    <w:rsid w:val="00C000BF"/>
    <w:rsid w:val="00C000DD"/>
    <w:rsid w:val="00C00316"/>
    <w:rsid w:val="00C00321"/>
    <w:rsid w:val="00C00360"/>
    <w:rsid w:val="00C0036B"/>
    <w:rsid w:val="00C0038F"/>
    <w:rsid w:val="00C0050D"/>
    <w:rsid w:val="00C00535"/>
    <w:rsid w:val="00C00585"/>
    <w:rsid w:val="00C0061D"/>
    <w:rsid w:val="00C006EC"/>
    <w:rsid w:val="00C0083F"/>
    <w:rsid w:val="00C00915"/>
    <w:rsid w:val="00C00930"/>
    <w:rsid w:val="00C00A02"/>
    <w:rsid w:val="00C00CF1"/>
    <w:rsid w:val="00C00E52"/>
    <w:rsid w:val="00C00E99"/>
    <w:rsid w:val="00C00FD8"/>
    <w:rsid w:val="00C01094"/>
    <w:rsid w:val="00C010DF"/>
    <w:rsid w:val="00C01172"/>
    <w:rsid w:val="00C0125C"/>
    <w:rsid w:val="00C01574"/>
    <w:rsid w:val="00C01577"/>
    <w:rsid w:val="00C01657"/>
    <w:rsid w:val="00C01770"/>
    <w:rsid w:val="00C017A8"/>
    <w:rsid w:val="00C01A46"/>
    <w:rsid w:val="00C01C1C"/>
    <w:rsid w:val="00C01E06"/>
    <w:rsid w:val="00C01F6D"/>
    <w:rsid w:val="00C01F99"/>
    <w:rsid w:val="00C021F9"/>
    <w:rsid w:val="00C02243"/>
    <w:rsid w:val="00C02264"/>
    <w:rsid w:val="00C02335"/>
    <w:rsid w:val="00C024DD"/>
    <w:rsid w:val="00C024F4"/>
    <w:rsid w:val="00C0259B"/>
    <w:rsid w:val="00C0290C"/>
    <w:rsid w:val="00C0294C"/>
    <w:rsid w:val="00C02A2A"/>
    <w:rsid w:val="00C02A34"/>
    <w:rsid w:val="00C02AEF"/>
    <w:rsid w:val="00C02CC3"/>
    <w:rsid w:val="00C02E56"/>
    <w:rsid w:val="00C02FF9"/>
    <w:rsid w:val="00C03194"/>
    <w:rsid w:val="00C0319B"/>
    <w:rsid w:val="00C0336D"/>
    <w:rsid w:val="00C0364B"/>
    <w:rsid w:val="00C03693"/>
    <w:rsid w:val="00C038FD"/>
    <w:rsid w:val="00C039E8"/>
    <w:rsid w:val="00C03BA3"/>
    <w:rsid w:val="00C03E20"/>
    <w:rsid w:val="00C0427F"/>
    <w:rsid w:val="00C0432A"/>
    <w:rsid w:val="00C0459E"/>
    <w:rsid w:val="00C04604"/>
    <w:rsid w:val="00C047D9"/>
    <w:rsid w:val="00C048B1"/>
    <w:rsid w:val="00C048F2"/>
    <w:rsid w:val="00C0497A"/>
    <w:rsid w:val="00C049C0"/>
    <w:rsid w:val="00C04B93"/>
    <w:rsid w:val="00C04BB1"/>
    <w:rsid w:val="00C04D06"/>
    <w:rsid w:val="00C04D49"/>
    <w:rsid w:val="00C04DCC"/>
    <w:rsid w:val="00C04EAF"/>
    <w:rsid w:val="00C05178"/>
    <w:rsid w:val="00C05275"/>
    <w:rsid w:val="00C052E9"/>
    <w:rsid w:val="00C05317"/>
    <w:rsid w:val="00C05319"/>
    <w:rsid w:val="00C05375"/>
    <w:rsid w:val="00C053FF"/>
    <w:rsid w:val="00C05492"/>
    <w:rsid w:val="00C0556D"/>
    <w:rsid w:val="00C056FB"/>
    <w:rsid w:val="00C058AA"/>
    <w:rsid w:val="00C05B7F"/>
    <w:rsid w:val="00C05C9B"/>
    <w:rsid w:val="00C05D79"/>
    <w:rsid w:val="00C05E6A"/>
    <w:rsid w:val="00C05E93"/>
    <w:rsid w:val="00C0600B"/>
    <w:rsid w:val="00C06043"/>
    <w:rsid w:val="00C060AD"/>
    <w:rsid w:val="00C06114"/>
    <w:rsid w:val="00C0625E"/>
    <w:rsid w:val="00C062F6"/>
    <w:rsid w:val="00C063D5"/>
    <w:rsid w:val="00C0648A"/>
    <w:rsid w:val="00C064AB"/>
    <w:rsid w:val="00C065A8"/>
    <w:rsid w:val="00C065AF"/>
    <w:rsid w:val="00C06603"/>
    <w:rsid w:val="00C066C4"/>
    <w:rsid w:val="00C067B0"/>
    <w:rsid w:val="00C067DB"/>
    <w:rsid w:val="00C0680B"/>
    <w:rsid w:val="00C06953"/>
    <w:rsid w:val="00C06B07"/>
    <w:rsid w:val="00C06E30"/>
    <w:rsid w:val="00C06ED3"/>
    <w:rsid w:val="00C070AC"/>
    <w:rsid w:val="00C071FB"/>
    <w:rsid w:val="00C0733B"/>
    <w:rsid w:val="00C073B9"/>
    <w:rsid w:val="00C073C3"/>
    <w:rsid w:val="00C07662"/>
    <w:rsid w:val="00C0767C"/>
    <w:rsid w:val="00C076D8"/>
    <w:rsid w:val="00C0778D"/>
    <w:rsid w:val="00C0778F"/>
    <w:rsid w:val="00C07830"/>
    <w:rsid w:val="00C07A7C"/>
    <w:rsid w:val="00C07A7D"/>
    <w:rsid w:val="00C07BA3"/>
    <w:rsid w:val="00C07D44"/>
    <w:rsid w:val="00C07D50"/>
    <w:rsid w:val="00C07E96"/>
    <w:rsid w:val="00C07F45"/>
    <w:rsid w:val="00C07F5E"/>
    <w:rsid w:val="00C07FCA"/>
    <w:rsid w:val="00C0DEBC"/>
    <w:rsid w:val="00C1006A"/>
    <w:rsid w:val="00C100C4"/>
    <w:rsid w:val="00C10122"/>
    <w:rsid w:val="00C10192"/>
    <w:rsid w:val="00C101B5"/>
    <w:rsid w:val="00C10293"/>
    <w:rsid w:val="00C102D1"/>
    <w:rsid w:val="00C1036B"/>
    <w:rsid w:val="00C103AF"/>
    <w:rsid w:val="00C1049C"/>
    <w:rsid w:val="00C1066D"/>
    <w:rsid w:val="00C10688"/>
    <w:rsid w:val="00C10901"/>
    <w:rsid w:val="00C10943"/>
    <w:rsid w:val="00C10A1B"/>
    <w:rsid w:val="00C10C23"/>
    <w:rsid w:val="00C10CE4"/>
    <w:rsid w:val="00C10D21"/>
    <w:rsid w:val="00C10D30"/>
    <w:rsid w:val="00C10E87"/>
    <w:rsid w:val="00C10EDF"/>
    <w:rsid w:val="00C10F6D"/>
    <w:rsid w:val="00C10F73"/>
    <w:rsid w:val="00C11112"/>
    <w:rsid w:val="00C111BE"/>
    <w:rsid w:val="00C112A5"/>
    <w:rsid w:val="00C113B8"/>
    <w:rsid w:val="00C113BF"/>
    <w:rsid w:val="00C115CF"/>
    <w:rsid w:val="00C116F9"/>
    <w:rsid w:val="00C11838"/>
    <w:rsid w:val="00C11876"/>
    <w:rsid w:val="00C11948"/>
    <w:rsid w:val="00C1198A"/>
    <w:rsid w:val="00C11A48"/>
    <w:rsid w:val="00C11A4C"/>
    <w:rsid w:val="00C11A68"/>
    <w:rsid w:val="00C11D4A"/>
    <w:rsid w:val="00C11F34"/>
    <w:rsid w:val="00C12204"/>
    <w:rsid w:val="00C12343"/>
    <w:rsid w:val="00C125CA"/>
    <w:rsid w:val="00C12662"/>
    <w:rsid w:val="00C1286F"/>
    <w:rsid w:val="00C1289D"/>
    <w:rsid w:val="00C128D5"/>
    <w:rsid w:val="00C12913"/>
    <w:rsid w:val="00C129CB"/>
    <w:rsid w:val="00C12A24"/>
    <w:rsid w:val="00C12A61"/>
    <w:rsid w:val="00C12B3A"/>
    <w:rsid w:val="00C12CFA"/>
    <w:rsid w:val="00C12E3A"/>
    <w:rsid w:val="00C12FD5"/>
    <w:rsid w:val="00C13031"/>
    <w:rsid w:val="00C131EE"/>
    <w:rsid w:val="00C1320F"/>
    <w:rsid w:val="00C1327C"/>
    <w:rsid w:val="00C132C1"/>
    <w:rsid w:val="00C1330B"/>
    <w:rsid w:val="00C13325"/>
    <w:rsid w:val="00C13392"/>
    <w:rsid w:val="00C13548"/>
    <w:rsid w:val="00C1378B"/>
    <w:rsid w:val="00C138EF"/>
    <w:rsid w:val="00C13952"/>
    <w:rsid w:val="00C13B0A"/>
    <w:rsid w:val="00C13BC8"/>
    <w:rsid w:val="00C13D5D"/>
    <w:rsid w:val="00C13DB8"/>
    <w:rsid w:val="00C13DE7"/>
    <w:rsid w:val="00C1402C"/>
    <w:rsid w:val="00C14105"/>
    <w:rsid w:val="00C1414B"/>
    <w:rsid w:val="00C141CD"/>
    <w:rsid w:val="00C1423C"/>
    <w:rsid w:val="00C14279"/>
    <w:rsid w:val="00C1443D"/>
    <w:rsid w:val="00C145B4"/>
    <w:rsid w:val="00C145BE"/>
    <w:rsid w:val="00C147C8"/>
    <w:rsid w:val="00C1495D"/>
    <w:rsid w:val="00C14986"/>
    <w:rsid w:val="00C14A81"/>
    <w:rsid w:val="00C14A9B"/>
    <w:rsid w:val="00C14ABA"/>
    <w:rsid w:val="00C14AFD"/>
    <w:rsid w:val="00C14B10"/>
    <w:rsid w:val="00C14B8D"/>
    <w:rsid w:val="00C14BEE"/>
    <w:rsid w:val="00C14D6E"/>
    <w:rsid w:val="00C14EB3"/>
    <w:rsid w:val="00C14EF3"/>
    <w:rsid w:val="00C14F45"/>
    <w:rsid w:val="00C14F88"/>
    <w:rsid w:val="00C15256"/>
    <w:rsid w:val="00C15271"/>
    <w:rsid w:val="00C1546C"/>
    <w:rsid w:val="00C155FD"/>
    <w:rsid w:val="00C156E7"/>
    <w:rsid w:val="00C15795"/>
    <w:rsid w:val="00C1581C"/>
    <w:rsid w:val="00C1583D"/>
    <w:rsid w:val="00C15964"/>
    <w:rsid w:val="00C159D3"/>
    <w:rsid w:val="00C159F8"/>
    <w:rsid w:val="00C15BA5"/>
    <w:rsid w:val="00C15C41"/>
    <w:rsid w:val="00C15CF6"/>
    <w:rsid w:val="00C15D12"/>
    <w:rsid w:val="00C15DCC"/>
    <w:rsid w:val="00C15DFB"/>
    <w:rsid w:val="00C15FB1"/>
    <w:rsid w:val="00C1602E"/>
    <w:rsid w:val="00C1610A"/>
    <w:rsid w:val="00C16198"/>
    <w:rsid w:val="00C16205"/>
    <w:rsid w:val="00C162AA"/>
    <w:rsid w:val="00C164E5"/>
    <w:rsid w:val="00C16506"/>
    <w:rsid w:val="00C1660A"/>
    <w:rsid w:val="00C16634"/>
    <w:rsid w:val="00C16647"/>
    <w:rsid w:val="00C16718"/>
    <w:rsid w:val="00C1686C"/>
    <w:rsid w:val="00C169A6"/>
    <w:rsid w:val="00C16A93"/>
    <w:rsid w:val="00C16C05"/>
    <w:rsid w:val="00C16C1B"/>
    <w:rsid w:val="00C16CD3"/>
    <w:rsid w:val="00C16F29"/>
    <w:rsid w:val="00C16F65"/>
    <w:rsid w:val="00C17172"/>
    <w:rsid w:val="00C17179"/>
    <w:rsid w:val="00C171AC"/>
    <w:rsid w:val="00C1720D"/>
    <w:rsid w:val="00C1721D"/>
    <w:rsid w:val="00C174EA"/>
    <w:rsid w:val="00C17717"/>
    <w:rsid w:val="00C1771C"/>
    <w:rsid w:val="00C1781C"/>
    <w:rsid w:val="00C17AB6"/>
    <w:rsid w:val="00C17CD3"/>
    <w:rsid w:val="00C17D04"/>
    <w:rsid w:val="00C17D15"/>
    <w:rsid w:val="00C17D8B"/>
    <w:rsid w:val="00C17D96"/>
    <w:rsid w:val="00C17E3A"/>
    <w:rsid w:val="00C17E5F"/>
    <w:rsid w:val="00C17EAD"/>
    <w:rsid w:val="00C1DF55"/>
    <w:rsid w:val="00C2029C"/>
    <w:rsid w:val="00C204FE"/>
    <w:rsid w:val="00C20502"/>
    <w:rsid w:val="00C20585"/>
    <w:rsid w:val="00C205A2"/>
    <w:rsid w:val="00C20623"/>
    <w:rsid w:val="00C20722"/>
    <w:rsid w:val="00C20738"/>
    <w:rsid w:val="00C20800"/>
    <w:rsid w:val="00C2081A"/>
    <w:rsid w:val="00C20872"/>
    <w:rsid w:val="00C20944"/>
    <w:rsid w:val="00C20A41"/>
    <w:rsid w:val="00C20BA8"/>
    <w:rsid w:val="00C20D3D"/>
    <w:rsid w:val="00C20DD8"/>
    <w:rsid w:val="00C20E00"/>
    <w:rsid w:val="00C20E21"/>
    <w:rsid w:val="00C20F0A"/>
    <w:rsid w:val="00C21069"/>
    <w:rsid w:val="00C210B5"/>
    <w:rsid w:val="00C211E6"/>
    <w:rsid w:val="00C2121F"/>
    <w:rsid w:val="00C21351"/>
    <w:rsid w:val="00C213E2"/>
    <w:rsid w:val="00C214D0"/>
    <w:rsid w:val="00C2152A"/>
    <w:rsid w:val="00C21533"/>
    <w:rsid w:val="00C2154A"/>
    <w:rsid w:val="00C215CE"/>
    <w:rsid w:val="00C2166D"/>
    <w:rsid w:val="00C216F1"/>
    <w:rsid w:val="00C2176E"/>
    <w:rsid w:val="00C21814"/>
    <w:rsid w:val="00C21859"/>
    <w:rsid w:val="00C21974"/>
    <w:rsid w:val="00C219D1"/>
    <w:rsid w:val="00C21BA0"/>
    <w:rsid w:val="00C21BAA"/>
    <w:rsid w:val="00C21E6B"/>
    <w:rsid w:val="00C2201C"/>
    <w:rsid w:val="00C220CA"/>
    <w:rsid w:val="00C2221F"/>
    <w:rsid w:val="00C2243B"/>
    <w:rsid w:val="00C2245C"/>
    <w:rsid w:val="00C2273C"/>
    <w:rsid w:val="00C22874"/>
    <w:rsid w:val="00C22915"/>
    <w:rsid w:val="00C22A01"/>
    <w:rsid w:val="00C22B5B"/>
    <w:rsid w:val="00C22C6F"/>
    <w:rsid w:val="00C22D01"/>
    <w:rsid w:val="00C22D89"/>
    <w:rsid w:val="00C22E14"/>
    <w:rsid w:val="00C22E64"/>
    <w:rsid w:val="00C22FAF"/>
    <w:rsid w:val="00C22FE8"/>
    <w:rsid w:val="00C23018"/>
    <w:rsid w:val="00C23104"/>
    <w:rsid w:val="00C231A0"/>
    <w:rsid w:val="00C231D2"/>
    <w:rsid w:val="00C232E3"/>
    <w:rsid w:val="00C23430"/>
    <w:rsid w:val="00C23476"/>
    <w:rsid w:val="00C235A4"/>
    <w:rsid w:val="00C2378D"/>
    <w:rsid w:val="00C23B20"/>
    <w:rsid w:val="00C23B5F"/>
    <w:rsid w:val="00C23BAB"/>
    <w:rsid w:val="00C23C94"/>
    <w:rsid w:val="00C23CA0"/>
    <w:rsid w:val="00C23D4F"/>
    <w:rsid w:val="00C23D68"/>
    <w:rsid w:val="00C23E56"/>
    <w:rsid w:val="00C23E5B"/>
    <w:rsid w:val="00C23EE8"/>
    <w:rsid w:val="00C23FCA"/>
    <w:rsid w:val="00C240DB"/>
    <w:rsid w:val="00C240EE"/>
    <w:rsid w:val="00C2420C"/>
    <w:rsid w:val="00C24340"/>
    <w:rsid w:val="00C243CA"/>
    <w:rsid w:val="00C243CE"/>
    <w:rsid w:val="00C24544"/>
    <w:rsid w:val="00C245BC"/>
    <w:rsid w:val="00C245FC"/>
    <w:rsid w:val="00C24839"/>
    <w:rsid w:val="00C24883"/>
    <w:rsid w:val="00C24929"/>
    <w:rsid w:val="00C24B6D"/>
    <w:rsid w:val="00C24EC5"/>
    <w:rsid w:val="00C24F75"/>
    <w:rsid w:val="00C2500D"/>
    <w:rsid w:val="00C250D6"/>
    <w:rsid w:val="00C252F4"/>
    <w:rsid w:val="00C254B8"/>
    <w:rsid w:val="00C2557B"/>
    <w:rsid w:val="00C25597"/>
    <w:rsid w:val="00C2576B"/>
    <w:rsid w:val="00C257B8"/>
    <w:rsid w:val="00C25892"/>
    <w:rsid w:val="00C259B9"/>
    <w:rsid w:val="00C259F2"/>
    <w:rsid w:val="00C25A8B"/>
    <w:rsid w:val="00C25BC0"/>
    <w:rsid w:val="00C25C1B"/>
    <w:rsid w:val="00C25D46"/>
    <w:rsid w:val="00C25DBC"/>
    <w:rsid w:val="00C25DF6"/>
    <w:rsid w:val="00C25F8B"/>
    <w:rsid w:val="00C25FB9"/>
    <w:rsid w:val="00C2603B"/>
    <w:rsid w:val="00C2608C"/>
    <w:rsid w:val="00C260F2"/>
    <w:rsid w:val="00C262EE"/>
    <w:rsid w:val="00C262F5"/>
    <w:rsid w:val="00C26345"/>
    <w:rsid w:val="00C264F9"/>
    <w:rsid w:val="00C265C6"/>
    <w:rsid w:val="00C266B3"/>
    <w:rsid w:val="00C267C9"/>
    <w:rsid w:val="00C267CB"/>
    <w:rsid w:val="00C268F9"/>
    <w:rsid w:val="00C26A7D"/>
    <w:rsid w:val="00C26BC3"/>
    <w:rsid w:val="00C26D03"/>
    <w:rsid w:val="00C26D25"/>
    <w:rsid w:val="00C26D60"/>
    <w:rsid w:val="00C26E4E"/>
    <w:rsid w:val="00C26F89"/>
    <w:rsid w:val="00C2700A"/>
    <w:rsid w:val="00C2711D"/>
    <w:rsid w:val="00C27127"/>
    <w:rsid w:val="00C2717B"/>
    <w:rsid w:val="00C2717F"/>
    <w:rsid w:val="00C2720F"/>
    <w:rsid w:val="00C2727C"/>
    <w:rsid w:val="00C272AF"/>
    <w:rsid w:val="00C2736A"/>
    <w:rsid w:val="00C273D2"/>
    <w:rsid w:val="00C27433"/>
    <w:rsid w:val="00C2751D"/>
    <w:rsid w:val="00C27527"/>
    <w:rsid w:val="00C275D4"/>
    <w:rsid w:val="00C275F8"/>
    <w:rsid w:val="00C276A2"/>
    <w:rsid w:val="00C276BD"/>
    <w:rsid w:val="00C27751"/>
    <w:rsid w:val="00C2790B"/>
    <w:rsid w:val="00C27A38"/>
    <w:rsid w:val="00C27C90"/>
    <w:rsid w:val="00C27D54"/>
    <w:rsid w:val="00C27D67"/>
    <w:rsid w:val="00C27DC5"/>
    <w:rsid w:val="00C27E0E"/>
    <w:rsid w:val="00C27E52"/>
    <w:rsid w:val="00C27E84"/>
    <w:rsid w:val="00C27EF4"/>
    <w:rsid w:val="00C27F94"/>
    <w:rsid w:val="00C27FB6"/>
    <w:rsid w:val="00C27FE8"/>
    <w:rsid w:val="00C30048"/>
    <w:rsid w:val="00C301CE"/>
    <w:rsid w:val="00C303FD"/>
    <w:rsid w:val="00C304F3"/>
    <w:rsid w:val="00C304FE"/>
    <w:rsid w:val="00C30500"/>
    <w:rsid w:val="00C3055B"/>
    <w:rsid w:val="00C305AF"/>
    <w:rsid w:val="00C305DD"/>
    <w:rsid w:val="00C30649"/>
    <w:rsid w:val="00C30706"/>
    <w:rsid w:val="00C30790"/>
    <w:rsid w:val="00C3085F"/>
    <w:rsid w:val="00C30869"/>
    <w:rsid w:val="00C30C30"/>
    <w:rsid w:val="00C30E72"/>
    <w:rsid w:val="00C3121B"/>
    <w:rsid w:val="00C312B6"/>
    <w:rsid w:val="00C31346"/>
    <w:rsid w:val="00C31347"/>
    <w:rsid w:val="00C31371"/>
    <w:rsid w:val="00C31380"/>
    <w:rsid w:val="00C313D3"/>
    <w:rsid w:val="00C3145B"/>
    <w:rsid w:val="00C314C3"/>
    <w:rsid w:val="00C3157B"/>
    <w:rsid w:val="00C3158A"/>
    <w:rsid w:val="00C31666"/>
    <w:rsid w:val="00C318BB"/>
    <w:rsid w:val="00C31A4A"/>
    <w:rsid w:val="00C31B9B"/>
    <w:rsid w:val="00C31C32"/>
    <w:rsid w:val="00C31CE7"/>
    <w:rsid w:val="00C31D09"/>
    <w:rsid w:val="00C320DB"/>
    <w:rsid w:val="00C32100"/>
    <w:rsid w:val="00C3213E"/>
    <w:rsid w:val="00C3216F"/>
    <w:rsid w:val="00C321E8"/>
    <w:rsid w:val="00C32283"/>
    <w:rsid w:val="00C322B9"/>
    <w:rsid w:val="00C322DA"/>
    <w:rsid w:val="00C3234D"/>
    <w:rsid w:val="00C32517"/>
    <w:rsid w:val="00C3252E"/>
    <w:rsid w:val="00C32661"/>
    <w:rsid w:val="00C3279A"/>
    <w:rsid w:val="00C3282C"/>
    <w:rsid w:val="00C3283E"/>
    <w:rsid w:val="00C32872"/>
    <w:rsid w:val="00C32994"/>
    <w:rsid w:val="00C329FE"/>
    <w:rsid w:val="00C32A0E"/>
    <w:rsid w:val="00C32ACB"/>
    <w:rsid w:val="00C32AFD"/>
    <w:rsid w:val="00C32BCA"/>
    <w:rsid w:val="00C32C68"/>
    <w:rsid w:val="00C32CEF"/>
    <w:rsid w:val="00C32F15"/>
    <w:rsid w:val="00C32F17"/>
    <w:rsid w:val="00C32F8E"/>
    <w:rsid w:val="00C3301D"/>
    <w:rsid w:val="00C332C9"/>
    <w:rsid w:val="00C33377"/>
    <w:rsid w:val="00C33394"/>
    <w:rsid w:val="00C33507"/>
    <w:rsid w:val="00C33538"/>
    <w:rsid w:val="00C335CD"/>
    <w:rsid w:val="00C335D4"/>
    <w:rsid w:val="00C33767"/>
    <w:rsid w:val="00C337F4"/>
    <w:rsid w:val="00C33887"/>
    <w:rsid w:val="00C33A42"/>
    <w:rsid w:val="00C33BCB"/>
    <w:rsid w:val="00C33C89"/>
    <w:rsid w:val="00C33D21"/>
    <w:rsid w:val="00C33E73"/>
    <w:rsid w:val="00C33EF0"/>
    <w:rsid w:val="00C33F59"/>
    <w:rsid w:val="00C34349"/>
    <w:rsid w:val="00C34362"/>
    <w:rsid w:val="00C34420"/>
    <w:rsid w:val="00C34691"/>
    <w:rsid w:val="00C347E4"/>
    <w:rsid w:val="00C347EA"/>
    <w:rsid w:val="00C348F5"/>
    <w:rsid w:val="00C34957"/>
    <w:rsid w:val="00C34B67"/>
    <w:rsid w:val="00C34BB8"/>
    <w:rsid w:val="00C34C75"/>
    <w:rsid w:val="00C34D1E"/>
    <w:rsid w:val="00C34E53"/>
    <w:rsid w:val="00C34EB6"/>
    <w:rsid w:val="00C34EE3"/>
    <w:rsid w:val="00C34F4E"/>
    <w:rsid w:val="00C3503F"/>
    <w:rsid w:val="00C3526E"/>
    <w:rsid w:val="00C35294"/>
    <w:rsid w:val="00C3548F"/>
    <w:rsid w:val="00C35555"/>
    <w:rsid w:val="00C35612"/>
    <w:rsid w:val="00C35654"/>
    <w:rsid w:val="00C35822"/>
    <w:rsid w:val="00C35A8E"/>
    <w:rsid w:val="00C35DA4"/>
    <w:rsid w:val="00C35E14"/>
    <w:rsid w:val="00C35F09"/>
    <w:rsid w:val="00C35F2E"/>
    <w:rsid w:val="00C36169"/>
    <w:rsid w:val="00C36250"/>
    <w:rsid w:val="00C363A9"/>
    <w:rsid w:val="00C36448"/>
    <w:rsid w:val="00C364B9"/>
    <w:rsid w:val="00C3668F"/>
    <w:rsid w:val="00C3680B"/>
    <w:rsid w:val="00C368A9"/>
    <w:rsid w:val="00C368D2"/>
    <w:rsid w:val="00C36ABA"/>
    <w:rsid w:val="00C36AC3"/>
    <w:rsid w:val="00C36B19"/>
    <w:rsid w:val="00C36DFB"/>
    <w:rsid w:val="00C36E44"/>
    <w:rsid w:val="00C36EB2"/>
    <w:rsid w:val="00C36F43"/>
    <w:rsid w:val="00C36F45"/>
    <w:rsid w:val="00C36FAD"/>
    <w:rsid w:val="00C36FC8"/>
    <w:rsid w:val="00C3700E"/>
    <w:rsid w:val="00C370CA"/>
    <w:rsid w:val="00C37113"/>
    <w:rsid w:val="00C37121"/>
    <w:rsid w:val="00C3713D"/>
    <w:rsid w:val="00C37148"/>
    <w:rsid w:val="00C37174"/>
    <w:rsid w:val="00C371B9"/>
    <w:rsid w:val="00C3724B"/>
    <w:rsid w:val="00C3726D"/>
    <w:rsid w:val="00C372A8"/>
    <w:rsid w:val="00C373AB"/>
    <w:rsid w:val="00C3757A"/>
    <w:rsid w:val="00C377BC"/>
    <w:rsid w:val="00C37936"/>
    <w:rsid w:val="00C37A61"/>
    <w:rsid w:val="00C37AD7"/>
    <w:rsid w:val="00C37C5E"/>
    <w:rsid w:val="00C37DB1"/>
    <w:rsid w:val="00C37DEE"/>
    <w:rsid w:val="00C37DF5"/>
    <w:rsid w:val="00C37F79"/>
    <w:rsid w:val="00C4000A"/>
    <w:rsid w:val="00C4003E"/>
    <w:rsid w:val="00C400FC"/>
    <w:rsid w:val="00C40186"/>
    <w:rsid w:val="00C40206"/>
    <w:rsid w:val="00C40335"/>
    <w:rsid w:val="00C405B5"/>
    <w:rsid w:val="00C405C5"/>
    <w:rsid w:val="00C40641"/>
    <w:rsid w:val="00C407EB"/>
    <w:rsid w:val="00C40926"/>
    <w:rsid w:val="00C40956"/>
    <w:rsid w:val="00C409FC"/>
    <w:rsid w:val="00C40A93"/>
    <w:rsid w:val="00C40B23"/>
    <w:rsid w:val="00C40C51"/>
    <w:rsid w:val="00C40E68"/>
    <w:rsid w:val="00C40EA4"/>
    <w:rsid w:val="00C40F8D"/>
    <w:rsid w:val="00C41155"/>
    <w:rsid w:val="00C411EE"/>
    <w:rsid w:val="00C412D1"/>
    <w:rsid w:val="00C41375"/>
    <w:rsid w:val="00C4143A"/>
    <w:rsid w:val="00C41480"/>
    <w:rsid w:val="00C414B6"/>
    <w:rsid w:val="00C415B5"/>
    <w:rsid w:val="00C41746"/>
    <w:rsid w:val="00C4192F"/>
    <w:rsid w:val="00C419EF"/>
    <w:rsid w:val="00C41B01"/>
    <w:rsid w:val="00C41B50"/>
    <w:rsid w:val="00C41BDD"/>
    <w:rsid w:val="00C41D72"/>
    <w:rsid w:val="00C41E9C"/>
    <w:rsid w:val="00C41EB3"/>
    <w:rsid w:val="00C41ECD"/>
    <w:rsid w:val="00C41EFE"/>
    <w:rsid w:val="00C41F56"/>
    <w:rsid w:val="00C41F76"/>
    <w:rsid w:val="00C42088"/>
    <w:rsid w:val="00C42100"/>
    <w:rsid w:val="00C42107"/>
    <w:rsid w:val="00C4211A"/>
    <w:rsid w:val="00C42135"/>
    <w:rsid w:val="00C42274"/>
    <w:rsid w:val="00C423A7"/>
    <w:rsid w:val="00C42430"/>
    <w:rsid w:val="00C42563"/>
    <w:rsid w:val="00C425A0"/>
    <w:rsid w:val="00C425C0"/>
    <w:rsid w:val="00C426D7"/>
    <w:rsid w:val="00C426EB"/>
    <w:rsid w:val="00C426F0"/>
    <w:rsid w:val="00C42757"/>
    <w:rsid w:val="00C42872"/>
    <w:rsid w:val="00C42873"/>
    <w:rsid w:val="00C42874"/>
    <w:rsid w:val="00C42900"/>
    <w:rsid w:val="00C42914"/>
    <w:rsid w:val="00C42B27"/>
    <w:rsid w:val="00C42B6C"/>
    <w:rsid w:val="00C42C26"/>
    <w:rsid w:val="00C42C5E"/>
    <w:rsid w:val="00C42DE3"/>
    <w:rsid w:val="00C42FE2"/>
    <w:rsid w:val="00C43083"/>
    <w:rsid w:val="00C4326C"/>
    <w:rsid w:val="00C432D6"/>
    <w:rsid w:val="00C432E1"/>
    <w:rsid w:val="00C433C9"/>
    <w:rsid w:val="00C435C5"/>
    <w:rsid w:val="00C4365D"/>
    <w:rsid w:val="00C43733"/>
    <w:rsid w:val="00C438DF"/>
    <w:rsid w:val="00C43AE5"/>
    <w:rsid w:val="00C43B30"/>
    <w:rsid w:val="00C43B53"/>
    <w:rsid w:val="00C43B84"/>
    <w:rsid w:val="00C43CBA"/>
    <w:rsid w:val="00C43DAF"/>
    <w:rsid w:val="00C43E37"/>
    <w:rsid w:val="00C43EA2"/>
    <w:rsid w:val="00C44027"/>
    <w:rsid w:val="00C44113"/>
    <w:rsid w:val="00C44193"/>
    <w:rsid w:val="00C4425B"/>
    <w:rsid w:val="00C442C8"/>
    <w:rsid w:val="00C4432D"/>
    <w:rsid w:val="00C44390"/>
    <w:rsid w:val="00C443BB"/>
    <w:rsid w:val="00C443D6"/>
    <w:rsid w:val="00C443F3"/>
    <w:rsid w:val="00C4444D"/>
    <w:rsid w:val="00C444B6"/>
    <w:rsid w:val="00C445F3"/>
    <w:rsid w:val="00C4468C"/>
    <w:rsid w:val="00C44714"/>
    <w:rsid w:val="00C4473C"/>
    <w:rsid w:val="00C4477C"/>
    <w:rsid w:val="00C4490B"/>
    <w:rsid w:val="00C449E8"/>
    <w:rsid w:val="00C44A02"/>
    <w:rsid w:val="00C44A62"/>
    <w:rsid w:val="00C44B8E"/>
    <w:rsid w:val="00C44C0F"/>
    <w:rsid w:val="00C44C77"/>
    <w:rsid w:val="00C44D44"/>
    <w:rsid w:val="00C44DF0"/>
    <w:rsid w:val="00C44EF4"/>
    <w:rsid w:val="00C45180"/>
    <w:rsid w:val="00C45355"/>
    <w:rsid w:val="00C4540E"/>
    <w:rsid w:val="00C45462"/>
    <w:rsid w:val="00C4546F"/>
    <w:rsid w:val="00C45691"/>
    <w:rsid w:val="00C45792"/>
    <w:rsid w:val="00C457CF"/>
    <w:rsid w:val="00C45993"/>
    <w:rsid w:val="00C459D1"/>
    <w:rsid w:val="00C459FC"/>
    <w:rsid w:val="00C45B70"/>
    <w:rsid w:val="00C45B71"/>
    <w:rsid w:val="00C45BBA"/>
    <w:rsid w:val="00C45CE4"/>
    <w:rsid w:val="00C45D1B"/>
    <w:rsid w:val="00C45EE1"/>
    <w:rsid w:val="00C45EEC"/>
    <w:rsid w:val="00C45F2E"/>
    <w:rsid w:val="00C45F87"/>
    <w:rsid w:val="00C45FB3"/>
    <w:rsid w:val="00C4605C"/>
    <w:rsid w:val="00C46116"/>
    <w:rsid w:val="00C4613C"/>
    <w:rsid w:val="00C4614C"/>
    <w:rsid w:val="00C461E6"/>
    <w:rsid w:val="00C4631F"/>
    <w:rsid w:val="00C46342"/>
    <w:rsid w:val="00C4634C"/>
    <w:rsid w:val="00C46351"/>
    <w:rsid w:val="00C4644C"/>
    <w:rsid w:val="00C46450"/>
    <w:rsid w:val="00C46593"/>
    <w:rsid w:val="00C465EE"/>
    <w:rsid w:val="00C4673E"/>
    <w:rsid w:val="00C46866"/>
    <w:rsid w:val="00C46899"/>
    <w:rsid w:val="00C468D3"/>
    <w:rsid w:val="00C468E4"/>
    <w:rsid w:val="00C46A3B"/>
    <w:rsid w:val="00C46B48"/>
    <w:rsid w:val="00C46B9A"/>
    <w:rsid w:val="00C46CC6"/>
    <w:rsid w:val="00C46CE3"/>
    <w:rsid w:val="00C46DBE"/>
    <w:rsid w:val="00C46DF6"/>
    <w:rsid w:val="00C46EB0"/>
    <w:rsid w:val="00C46FB7"/>
    <w:rsid w:val="00C46FFB"/>
    <w:rsid w:val="00C47117"/>
    <w:rsid w:val="00C47398"/>
    <w:rsid w:val="00C473E2"/>
    <w:rsid w:val="00C47498"/>
    <w:rsid w:val="00C474D4"/>
    <w:rsid w:val="00C47671"/>
    <w:rsid w:val="00C476E3"/>
    <w:rsid w:val="00C477D5"/>
    <w:rsid w:val="00C47801"/>
    <w:rsid w:val="00C47823"/>
    <w:rsid w:val="00C4795F"/>
    <w:rsid w:val="00C47A36"/>
    <w:rsid w:val="00C47A37"/>
    <w:rsid w:val="00C47A83"/>
    <w:rsid w:val="00C47CDE"/>
    <w:rsid w:val="00C47DA4"/>
    <w:rsid w:val="00C501EC"/>
    <w:rsid w:val="00C501F8"/>
    <w:rsid w:val="00C50325"/>
    <w:rsid w:val="00C50412"/>
    <w:rsid w:val="00C50495"/>
    <w:rsid w:val="00C50536"/>
    <w:rsid w:val="00C505AC"/>
    <w:rsid w:val="00C505EB"/>
    <w:rsid w:val="00C507D5"/>
    <w:rsid w:val="00C507F2"/>
    <w:rsid w:val="00C50826"/>
    <w:rsid w:val="00C508C4"/>
    <w:rsid w:val="00C50A88"/>
    <w:rsid w:val="00C50C6A"/>
    <w:rsid w:val="00C50D31"/>
    <w:rsid w:val="00C50DE7"/>
    <w:rsid w:val="00C50E16"/>
    <w:rsid w:val="00C50E5A"/>
    <w:rsid w:val="00C50F5D"/>
    <w:rsid w:val="00C50F7E"/>
    <w:rsid w:val="00C50FAE"/>
    <w:rsid w:val="00C51047"/>
    <w:rsid w:val="00C51085"/>
    <w:rsid w:val="00C5109B"/>
    <w:rsid w:val="00C510CB"/>
    <w:rsid w:val="00C5122B"/>
    <w:rsid w:val="00C5136C"/>
    <w:rsid w:val="00C513CA"/>
    <w:rsid w:val="00C514AF"/>
    <w:rsid w:val="00C5151A"/>
    <w:rsid w:val="00C51662"/>
    <w:rsid w:val="00C516AB"/>
    <w:rsid w:val="00C516B6"/>
    <w:rsid w:val="00C5170E"/>
    <w:rsid w:val="00C5174C"/>
    <w:rsid w:val="00C517B8"/>
    <w:rsid w:val="00C51827"/>
    <w:rsid w:val="00C51848"/>
    <w:rsid w:val="00C518B6"/>
    <w:rsid w:val="00C51941"/>
    <w:rsid w:val="00C51AA8"/>
    <w:rsid w:val="00C51ABB"/>
    <w:rsid w:val="00C51B18"/>
    <w:rsid w:val="00C51B30"/>
    <w:rsid w:val="00C51BB9"/>
    <w:rsid w:val="00C51BCB"/>
    <w:rsid w:val="00C51BCD"/>
    <w:rsid w:val="00C51C57"/>
    <w:rsid w:val="00C51DBE"/>
    <w:rsid w:val="00C51ED6"/>
    <w:rsid w:val="00C51F7E"/>
    <w:rsid w:val="00C51FF0"/>
    <w:rsid w:val="00C520E8"/>
    <w:rsid w:val="00C52189"/>
    <w:rsid w:val="00C52306"/>
    <w:rsid w:val="00C52344"/>
    <w:rsid w:val="00C5235A"/>
    <w:rsid w:val="00C52370"/>
    <w:rsid w:val="00C523AA"/>
    <w:rsid w:val="00C523B8"/>
    <w:rsid w:val="00C523D0"/>
    <w:rsid w:val="00C5261E"/>
    <w:rsid w:val="00C5287D"/>
    <w:rsid w:val="00C52883"/>
    <w:rsid w:val="00C5289E"/>
    <w:rsid w:val="00C5291E"/>
    <w:rsid w:val="00C52968"/>
    <w:rsid w:val="00C52985"/>
    <w:rsid w:val="00C529CD"/>
    <w:rsid w:val="00C52A00"/>
    <w:rsid w:val="00C52A05"/>
    <w:rsid w:val="00C52D1C"/>
    <w:rsid w:val="00C52E0B"/>
    <w:rsid w:val="00C52E1B"/>
    <w:rsid w:val="00C52E7B"/>
    <w:rsid w:val="00C52F55"/>
    <w:rsid w:val="00C530EE"/>
    <w:rsid w:val="00C531FD"/>
    <w:rsid w:val="00C53258"/>
    <w:rsid w:val="00C532CA"/>
    <w:rsid w:val="00C532F8"/>
    <w:rsid w:val="00C5333A"/>
    <w:rsid w:val="00C53348"/>
    <w:rsid w:val="00C533B4"/>
    <w:rsid w:val="00C53476"/>
    <w:rsid w:val="00C534E6"/>
    <w:rsid w:val="00C5365A"/>
    <w:rsid w:val="00C5374E"/>
    <w:rsid w:val="00C537D0"/>
    <w:rsid w:val="00C537FF"/>
    <w:rsid w:val="00C53811"/>
    <w:rsid w:val="00C53840"/>
    <w:rsid w:val="00C53982"/>
    <w:rsid w:val="00C539AD"/>
    <w:rsid w:val="00C539C9"/>
    <w:rsid w:val="00C539E1"/>
    <w:rsid w:val="00C53AD0"/>
    <w:rsid w:val="00C53CA0"/>
    <w:rsid w:val="00C53CA5"/>
    <w:rsid w:val="00C53CDF"/>
    <w:rsid w:val="00C53D26"/>
    <w:rsid w:val="00C53F0A"/>
    <w:rsid w:val="00C54078"/>
    <w:rsid w:val="00C540BC"/>
    <w:rsid w:val="00C540EA"/>
    <w:rsid w:val="00C54107"/>
    <w:rsid w:val="00C5413D"/>
    <w:rsid w:val="00C542FF"/>
    <w:rsid w:val="00C5433E"/>
    <w:rsid w:val="00C54447"/>
    <w:rsid w:val="00C544EA"/>
    <w:rsid w:val="00C5453C"/>
    <w:rsid w:val="00C54695"/>
    <w:rsid w:val="00C54832"/>
    <w:rsid w:val="00C54865"/>
    <w:rsid w:val="00C5487F"/>
    <w:rsid w:val="00C549CC"/>
    <w:rsid w:val="00C54AB3"/>
    <w:rsid w:val="00C54AED"/>
    <w:rsid w:val="00C54AFA"/>
    <w:rsid w:val="00C54B66"/>
    <w:rsid w:val="00C54B73"/>
    <w:rsid w:val="00C54D19"/>
    <w:rsid w:val="00C54E45"/>
    <w:rsid w:val="00C54F4D"/>
    <w:rsid w:val="00C55104"/>
    <w:rsid w:val="00C551A1"/>
    <w:rsid w:val="00C55258"/>
    <w:rsid w:val="00C552D2"/>
    <w:rsid w:val="00C553DD"/>
    <w:rsid w:val="00C55485"/>
    <w:rsid w:val="00C5555A"/>
    <w:rsid w:val="00C555A6"/>
    <w:rsid w:val="00C557E0"/>
    <w:rsid w:val="00C558F6"/>
    <w:rsid w:val="00C55BC1"/>
    <w:rsid w:val="00C55C21"/>
    <w:rsid w:val="00C55D99"/>
    <w:rsid w:val="00C55DF6"/>
    <w:rsid w:val="00C55E1A"/>
    <w:rsid w:val="00C55E88"/>
    <w:rsid w:val="00C55FA5"/>
    <w:rsid w:val="00C561E0"/>
    <w:rsid w:val="00C562AB"/>
    <w:rsid w:val="00C563E6"/>
    <w:rsid w:val="00C5642F"/>
    <w:rsid w:val="00C56551"/>
    <w:rsid w:val="00C56655"/>
    <w:rsid w:val="00C56828"/>
    <w:rsid w:val="00C5687C"/>
    <w:rsid w:val="00C56893"/>
    <w:rsid w:val="00C568B3"/>
    <w:rsid w:val="00C56B63"/>
    <w:rsid w:val="00C56C89"/>
    <w:rsid w:val="00C56C9D"/>
    <w:rsid w:val="00C56DE7"/>
    <w:rsid w:val="00C56E55"/>
    <w:rsid w:val="00C56E86"/>
    <w:rsid w:val="00C570F4"/>
    <w:rsid w:val="00C572EE"/>
    <w:rsid w:val="00C57325"/>
    <w:rsid w:val="00C5732C"/>
    <w:rsid w:val="00C57357"/>
    <w:rsid w:val="00C57370"/>
    <w:rsid w:val="00C573DE"/>
    <w:rsid w:val="00C5750A"/>
    <w:rsid w:val="00C57620"/>
    <w:rsid w:val="00C577A5"/>
    <w:rsid w:val="00C5783A"/>
    <w:rsid w:val="00C57866"/>
    <w:rsid w:val="00C57947"/>
    <w:rsid w:val="00C57974"/>
    <w:rsid w:val="00C579D4"/>
    <w:rsid w:val="00C57A06"/>
    <w:rsid w:val="00C57A1F"/>
    <w:rsid w:val="00C57D8D"/>
    <w:rsid w:val="00C57E49"/>
    <w:rsid w:val="00C57E74"/>
    <w:rsid w:val="00C57EAA"/>
    <w:rsid w:val="00C57F62"/>
    <w:rsid w:val="00C57FBD"/>
    <w:rsid w:val="00C57FF0"/>
    <w:rsid w:val="00C5ED52"/>
    <w:rsid w:val="00C6002C"/>
    <w:rsid w:val="00C60067"/>
    <w:rsid w:val="00C6013D"/>
    <w:rsid w:val="00C60284"/>
    <w:rsid w:val="00C6032E"/>
    <w:rsid w:val="00C60455"/>
    <w:rsid w:val="00C604D5"/>
    <w:rsid w:val="00C604EF"/>
    <w:rsid w:val="00C60692"/>
    <w:rsid w:val="00C60728"/>
    <w:rsid w:val="00C60841"/>
    <w:rsid w:val="00C60A9D"/>
    <w:rsid w:val="00C60B4A"/>
    <w:rsid w:val="00C60B90"/>
    <w:rsid w:val="00C60B99"/>
    <w:rsid w:val="00C60BC4"/>
    <w:rsid w:val="00C60CA9"/>
    <w:rsid w:val="00C60D5F"/>
    <w:rsid w:val="00C60EBB"/>
    <w:rsid w:val="00C60F8C"/>
    <w:rsid w:val="00C60FA9"/>
    <w:rsid w:val="00C60FFA"/>
    <w:rsid w:val="00C610C7"/>
    <w:rsid w:val="00C610CA"/>
    <w:rsid w:val="00C61139"/>
    <w:rsid w:val="00C61146"/>
    <w:rsid w:val="00C61208"/>
    <w:rsid w:val="00C613A9"/>
    <w:rsid w:val="00C61420"/>
    <w:rsid w:val="00C61650"/>
    <w:rsid w:val="00C61665"/>
    <w:rsid w:val="00C61849"/>
    <w:rsid w:val="00C61A6B"/>
    <w:rsid w:val="00C61A94"/>
    <w:rsid w:val="00C61A99"/>
    <w:rsid w:val="00C61AC6"/>
    <w:rsid w:val="00C61BF6"/>
    <w:rsid w:val="00C61DD4"/>
    <w:rsid w:val="00C61E19"/>
    <w:rsid w:val="00C61E4E"/>
    <w:rsid w:val="00C61F34"/>
    <w:rsid w:val="00C61F65"/>
    <w:rsid w:val="00C61F89"/>
    <w:rsid w:val="00C61FE6"/>
    <w:rsid w:val="00C62040"/>
    <w:rsid w:val="00C62053"/>
    <w:rsid w:val="00C62067"/>
    <w:rsid w:val="00C62108"/>
    <w:rsid w:val="00C621B2"/>
    <w:rsid w:val="00C62505"/>
    <w:rsid w:val="00C62507"/>
    <w:rsid w:val="00C62697"/>
    <w:rsid w:val="00C626EA"/>
    <w:rsid w:val="00C62A7A"/>
    <w:rsid w:val="00C62B93"/>
    <w:rsid w:val="00C62BBA"/>
    <w:rsid w:val="00C62BFD"/>
    <w:rsid w:val="00C62D54"/>
    <w:rsid w:val="00C62DDF"/>
    <w:rsid w:val="00C62E55"/>
    <w:rsid w:val="00C62F16"/>
    <w:rsid w:val="00C62FBD"/>
    <w:rsid w:val="00C63030"/>
    <w:rsid w:val="00C631D0"/>
    <w:rsid w:val="00C6329F"/>
    <w:rsid w:val="00C632BD"/>
    <w:rsid w:val="00C63529"/>
    <w:rsid w:val="00C63543"/>
    <w:rsid w:val="00C63608"/>
    <w:rsid w:val="00C63629"/>
    <w:rsid w:val="00C636EE"/>
    <w:rsid w:val="00C637C7"/>
    <w:rsid w:val="00C637FD"/>
    <w:rsid w:val="00C638ED"/>
    <w:rsid w:val="00C63907"/>
    <w:rsid w:val="00C63A8E"/>
    <w:rsid w:val="00C63B3B"/>
    <w:rsid w:val="00C63E66"/>
    <w:rsid w:val="00C63F09"/>
    <w:rsid w:val="00C63FE4"/>
    <w:rsid w:val="00C64193"/>
    <w:rsid w:val="00C64194"/>
    <w:rsid w:val="00C64208"/>
    <w:rsid w:val="00C6446E"/>
    <w:rsid w:val="00C6447E"/>
    <w:rsid w:val="00C64489"/>
    <w:rsid w:val="00C64534"/>
    <w:rsid w:val="00C64536"/>
    <w:rsid w:val="00C645B0"/>
    <w:rsid w:val="00C6460D"/>
    <w:rsid w:val="00C6465C"/>
    <w:rsid w:val="00C647D6"/>
    <w:rsid w:val="00C648CF"/>
    <w:rsid w:val="00C648EF"/>
    <w:rsid w:val="00C64A86"/>
    <w:rsid w:val="00C64B08"/>
    <w:rsid w:val="00C64BC0"/>
    <w:rsid w:val="00C64C73"/>
    <w:rsid w:val="00C64F79"/>
    <w:rsid w:val="00C64FF4"/>
    <w:rsid w:val="00C651E3"/>
    <w:rsid w:val="00C6529D"/>
    <w:rsid w:val="00C653BF"/>
    <w:rsid w:val="00C65447"/>
    <w:rsid w:val="00C65461"/>
    <w:rsid w:val="00C65521"/>
    <w:rsid w:val="00C65567"/>
    <w:rsid w:val="00C655C9"/>
    <w:rsid w:val="00C6566E"/>
    <w:rsid w:val="00C656B7"/>
    <w:rsid w:val="00C656DD"/>
    <w:rsid w:val="00C657BF"/>
    <w:rsid w:val="00C658D1"/>
    <w:rsid w:val="00C659DB"/>
    <w:rsid w:val="00C65A25"/>
    <w:rsid w:val="00C65A85"/>
    <w:rsid w:val="00C65C56"/>
    <w:rsid w:val="00C65C68"/>
    <w:rsid w:val="00C65D81"/>
    <w:rsid w:val="00C65E09"/>
    <w:rsid w:val="00C65E91"/>
    <w:rsid w:val="00C65F27"/>
    <w:rsid w:val="00C66144"/>
    <w:rsid w:val="00C661BF"/>
    <w:rsid w:val="00C661D4"/>
    <w:rsid w:val="00C6621E"/>
    <w:rsid w:val="00C66250"/>
    <w:rsid w:val="00C6629B"/>
    <w:rsid w:val="00C66332"/>
    <w:rsid w:val="00C6641C"/>
    <w:rsid w:val="00C665A7"/>
    <w:rsid w:val="00C66738"/>
    <w:rsid w:val="00C6676F"/>
    <w:rsid w:val="00C667C7"/>
    <w:rsid w:val="00C66808"/>
    <w:rsid w:val="00C6693C"/>
    <w:rsid w:val="00C66950"/>
    <w:rsid w:val="00C6698E"/>
    <w:rsid w:val="00C66D48"/>
    <w:rsid w:val="00C66D4D"/>
    <w:rsid w:val="00C66D88"/>
    <w:rsid w:val="00C66D90"/>
    <w:rsid w:val="00C66DDD"/>
    <w:rsid w:val="00C66F6D"/>
    <w:rsid w:val="00C66F94"/>
    <w:rsid w:val="00C6705D"/>
    <w:rsid w:val="00C6717F"/>
    <w:rsid w:val="00C6732D"/>
    <w:rsid w:val="00C673A4"/>
    <w:rsid w:val="00C675C7"/>
    <w:rsid w:val="00C67729"/>
    <w:rsid w:val="00C67743"/>
    <w:rsid w:val="00C67755"/>
    <w:rsid w:val="00C677D7"/>
    <w:rsid w:val="00C677FF"/>
    <w:rsid w:val="00C6793D"/>
    <w:rsid w:val="00C67B5C"/>
    <w:rsid w:val="00C67B8D"/>
    <w:rsid w:val="00C67E80"/>
    <w:rsid w:val="00C67EEF"/>
    <w:rsid w:val="00C67F59"/>
    <w:rsid w:val="00C70241"/>
    <w:rsid w:val="00C7025C"/>
    <w:rsid w:val="00C702AF"/>
    <w:rsid w:val="00C7032E"/>
    <w:rsid w:val="00C704C7"/>
    <w:rsid w:val="00C7053D"/>
    <w:rsid w:val="00C7063C"/>
    <w:rsid w:val="00C7067F"/>
    <w:rsid w:val="00C706D1"/>
    <w:rsid w:val="00C70764"/>
    <w:rsid w:val="00C707BA"/>
    <w:rsid w:val="00C70810"/>
    <w:rsid w:val="00C70943"/>
    <w:rsid w:val="00C7096A"/>
    <w:rsid w:val="00C70B52"/>
    <w:rsid w:val="00C70B8D"/>
    <w:rsid w:val="00C70C54"/>
    <w:rsid w:val="00C70C83"/>
    <w:rsid w:val="00C70D47"/>
    <w:rsid w:val="00C70DE7"/>
    <w:rsid w:val="00C70FAC"/>
    <w:rsid w:val="00C70FD9"/>
    <w:rsid w:val="00C7110B"/>
    <w:rsid w:val="00C711AD"/>
    <w:rsid w:val="00C711B4"/>
    <w:rsid w:val="00C71294"/>
    <w:rsid w:val="00C712B4"/>
    <w:rsid w:val="00C712E5"/>
    <w:rsid w:val="00C712EA"/>
    <w:rsid w:val="00C71326"/>
    <w:rsid w:val="00C71454"/>
    <w:rsid w:val="00C71544"/>
    <w:rsid w:val="00C715B4"/>
    <w:rsid w:val="00C715E4"/>
    <w:rsid w:val="00C7164A"/>
    <w:rsid w:val="00C71719"/>
    <w:rsid w:val="00C7178B"/>
    <w:rsid w:val="00C7194A"/>
    <w:rsid w:val="00C71A4C"/>
    <w:rsid w:val="00C71A6C"/>
    <w:rsid w:val="00C71A6D"/>
    <w:rsid w:val="00C71A73"/>
    <w:rsid w:val="00C71B09"/>
    <w:rsid w:val="00C71BCD"/>
    <w:rsid w:val="00C71CD9"/>
    <w:rsid w:val="00C71D18"/>
    <w:rsid w:val="00C71D40"/>
    <w:rsid w:val="00C71DE3"/>
    <w:rsid w:val="00C71F60"/>
    <w:rsid w:val="00C72023"/>
    <w:rsid w:val="00C72145"/>
    <w:rsid w:val="00C72161"/>
    <w:rsid w:val="00C72175"/>
    <w:rsid w:val="00C724CC"/>
    <w:rsid w:val="00C72514"/>
    <w:rsid w:val="00C72615"/>
    <w:rsid w:val="00C72738"/>
    <w:rsid w:val="00C727C9"/>
    <w:rsid w:val="00C72A68"/>
    <w:rsid w:val="00C72BF2"/>
    <w:rsid w:val="00C72E78"/>
    <w:rsid w:val="00C72EE0"/>
    <w:rsid w:val="00C72F16"/>
    <w:rsid w:val="00C72F52"/>
    <w:rsid w:val="00C72FF7"/>
    <w:rsid w:val="00C73113"/>
    <w:rsid w:val="00C73399"/>
    <w:rsid w:val="00C733D0"/>
    <w:rsid w:val="00C73626"/>
    <w:rsid w:val="00C7376B"/>
    <w:rsid w:val="00C737C1"/>
    <w:rsid w:val="00C73815"/>
    <w:rsid w:val="00C738D2"/>
    <w:rsid w:val="00C738DD"/>
    <w:rsid w:val="00C739FA"/>
    <w:rsid w:val="00C73A01"/>
    <w:rsid w:val="00C73C00"/>
    <w:rsid w:val="00C73C86"/>
    <w:rsid w:val="00C73D36"/>
    <w:rsid w:val="00C73E2E"/>
    <w:rsid w:val="00C74094"/>
    <w:rsid w:val="00C7413A"/>
    <w:rsid w:val="00C7413F"/>
    <w:rsid w:val="00C74155"/>
    <w:rsid w:val="00C74190"/>
    <w:rsid w:val="00C74275"/>
    <w:rsid w:val="00C742BF"/>
    <w:rsid w:val="00C742F1"/>
    <w:rsid w:val="00C7431C"/>
    <w:rsid w:val="00C743DD"/>
    <w:rsid w:val="00C74429"/>
    <w:rsid w:val="00C745F3"/>
    <w:rsid w:val="00C745F7"/>
    <w:rsid w:val="00C7466E"/>
    <w:rsid w:val="00C74731"/>
    <w:rsid w:val="00C747BA"/>
    <w:rsid w:val="00C74805"/>
    <w:rsid w:val="00C74830"/>
    <w:rsid w:val="00C74900"/>
    <w:rsid w:val="00C74945"/>
    <w:rsid w:val="00C74B39"/>
    <w:rsid w:val="00C74C72"/>
    <w:rsid w:val="00C74D15"/>
    <w:rsid w:val="00C74DA2"/>
    <w:rsid w:val="00C74EBE"/>
    <w:rsid w:val="00C74F4B"/>
    <w:rsid w:val="00C74FDE"/>
    <w:rsid w:val="00C75025"/>
    <w:rsid w:val="00C7508C"/>
    <w:rsid w:val="00C75125"/>
    <w:rsid w:val="00C75146"/>
    <w:rsid w:val="00C751BC"/>
    <w:rsid w:val="00C751F0"/>
    <w:rsid w:val="00C752DF"/>
    <w:rsid w:val="00C752E0"/>
    <w:rsid w:val="00C753B7"/>
    <w:rsid w:val="00C75405"/>
    <w:rsid w:val="00C75441"/>
    <w:rsid w:val="00C75684"/>
    <w:rsid w:val="00C7579E"/>
    <w:rsid w:val="00C757BA"/>
    <w:rsid w:val="00C75806"/>
    <w:rsid w:val="00C7581C"/>
    <w:rsid w:val="00C75874"/>
    <w:rsid w:val="00C75923"/>
    <w:rsid w:val="00C759B0"/>
    <w:rsid w:val="00C75A0D"/>
    <w:rsid w:val="00C75B29"/>
    <w:rsid w:val="00C75B2E"/>
    <w:rsid w:val="00C75B4B"/>
    <w:rsid w:val="00C75B63"/>
    <w:rsid w:val="00C75BBB"/>
    <w:rsid w:val="00C75C63"/>
    <w:rsid w:val="00C75E13"/>
    <w:rsid w:val="00C75EB6"/>
    <w:rsid w:val="00C76155"/>
    <w:rsid w:val="00C76246"/>
    <w:rsid w:val="00C76261"/>
    <w:rsid w:val="00C763A3"/>
    <w:rsid w:val="00C76424"/>
    <w:rsid w:val="00C7651F"/>
    <w:rsid w:val="00C7667A"/>
    <w:rsid w:val="00C76681"/>
    <w:rsid w:val="00C76697"/>
    <w:rsid w:val="00C76712"/>
    <w:rsid w:val="00C7672C"/>
    <w:rsid w:val="00C767D0"/>
    <w:rsid w:val="00C768A7"/>
    <w:rsid w:val="00C7692E"/>
    <w:rsid w:val="00C76A05"/>
    <w:rsid w:val="00C76A2F"/>
    <w:rsid w:val="00C76DAD"/>
    <w:rsid w:val="00C76F54"/>
    <w:rsid w:val="00C76F79"/>
    <w:rsid w:val="00C77099"/>
    <w:rsid w:val="00C7716D"/>
    <w:rsid w:val="00C7722F"/>
    <w:rsid w:val="00C77234"/>
    <w:rsid w:val="00C77297"/>
    <w:rsid w:val="00C772B7"/>
    <w:rsid w:val="00C773CF"/>
    <w:rsid w:val="00C774FF"/>
    <w:rsid w:val="00C77621"/>
    <w:rsid w:val="00C778FE"/>
    <w:rsid w:val="00C77A86"/>
    <w:rsid w:val="00C77BE9"/>
    <w:rsid w:val="00C77E15"/>
    <w:rsid w:val="00C77F74"/>
    <w:rsid w:val="00C800AB"/>
    <w:rsid w:val="00C8021B"/>
    <w:rsid w:val="00C8034F"/>
    <w:rsid w:val="00C80491"/>
    <w:rsid w:val="00C80555"/>
    <w:rsid w:val="00C80624"/>
    <w:rsid w:val="00C80627"/>
    <w:rsid w:val="00C80727"/>
    <w:rsid w:val="00C80850"/>
    <w:rsid w:val="00C808FE"/>
    <w:rsid w:val="00C809A9"/>
    <w:rsid w:val="00C809CF"/>
    <w:rsid w:val="00C80A10"/>
    <w:rsid w:val="00C80A9C"/>
    <w:rsid w:val="00C80B21"/>
    <w:rsid w:val="00C80B45"/>
    <w:rsid w:val="00C80B49"/>
    <w:rsid w:val="00C80E3B"/>
    <w:rsid w:val="00C80F50"/>
    <w:rsid w:val="00C80F64"/>
    <w:rsid w:val="00C80FF1"/>
    <w:rsid w:val="00C8117D"/>
    <w:rsid w:val="00C81215"/>
    <w:rsid w:val="00C81381"/>
    <w:rsid w:val="00C813EC"/>
    <w:rsid w:val="00C814E1"/>
    <w:rsid w:val="00C81512"/>
    <w:rsid w:val="00C816F6"/>
    <w:rsid w:val="00C81761"/>
    <w:rsid w:val="00C817B1"/>
    <w:rsid w:val="00C817C6"/>
    <w:rsid w:val="00C8185A"/>
    <w:rsid w:val="00C819A7"/>
    <w:rsid w:val="00C81AE1"/>
    <w:rsid w:val="00C81B67"/>
    <w:rsid w:val="00C81B7F"/>
    <w:rsid w:val="00C81C3B"/>
    <w:rsid w:val="00C81C46"/>
    <w:rsid w:val="00C81C80"/>
    <w:rsid w:val="00C81C8F"/>
    <w:rsid w:val="00C81D36"/>
    <w:rsid w:val="00C82015"/>
    <w:rsid w:val="00C82089"/>
    <w:rsid w:val="00C8208B"/>
    <w:rsid w:val="00C820AD"/>
    <w:rsid w:val="00C82126"/>
    <w:rsid w:val="00C82180"/>
    <w:rsid w:val="00C821F3"/>
    <w:rsid w:val="00C8223C"/>
    <w:rsid w:val="00C82270"/>
    <w:rsid w:val="00C8236A"/>
    <w:rsid w:val="00C82466"/>
    <w:rsid w:val="00C8252C"/>
    <w:rsid w:val="00C826D1"/>
    <w:rsid w:val="00C8282C"/>
    <w:rsid w:val="00C82978"/>
    <w:rsid w:val="00C829AA"/>
    <w:rsid w:val="00C82A16"/>
    <w:rsid w:val="00C82A51"/>
    <w:rsid w:val="00C82A8C"/>
    <w:rsid w:val="00C82AA8"/>
    <w:rsid w:val="00C82C71"/>
    <w:rsid w:val="00C82CB0"/>
    <w:rsid w:val="00C82E50"/>
    <w:rsid w:val="00C82ECE"/>
    <w:rsid w:val="00C82EEB"/>
    <w:rsid w:val="00C82EFC"/>
    <w:rsid w:val="00C83017"/>
    <w:rsid w:val="00C83069"/>
    <w:rsid w:val="00C8308A"/>
    <w:rsid w:val="00C8311C"/>
    <w:rsid w:val="00C83175"/>
    <w:rsid w:val="00C832BE"/>
    <w:rsid w:val="00C83562"/>
    <w:rsid w:val="00C83705"/>
    <w:rsid w:val="00C8374B"/>
    <w:rsid w:val="00C8377A"/>
    <w:rsid w:val="00C837B2"/>
    <w:rsid w:val="00C837D4"/>
    <w:rsid w:val="00C838BD"/>
    <w:rsid w:val="00C83A41"/>
    <w:rsid w:val="00C83A75"/>
    <w:rsid w:val="00C83A9B"/>
    <w:rsid w:val="00C83AB8"/>
    <w:rsid w:val="00C83B47"/>
    <w:rsid w:val="00C83C6A"/>
    <w:rsid w:val="00C83EB7"/>
    <w:rsid w:val="00C84039"/>
    <w:rsid w:val="00C841D1"/>
    <w:rsid w:val="00C84298"/>
    <w:rsid w:val="00C84323"/>
    <w:rsid w:val="00C8463B"/>
    <w:rsid w:val="00C84691"/>
    <w:rsid w:val="00C846D3"/>
    <w:rsid w:val="00C8484E"/>
    <w:rsid w:val="00C84A5F"/>
    <w:rsid w:val="00C84A7A"/>
    <w:rsid w:val="00C84BCE"/>
    <w:rsid w:val="00C84D46"/>
    <w:rsid w:val="00C84D7F"/>
    <w:rsid w:val="00C84EBA"/>
    <w:rsid w:val="00C850B5"/>
    <w:rsid w:val="00C85103"/>
    <w:rsid w:val="00C8522F"/>
    <w:rsid w:val="00C8528F"/>
    <w:rsid w:val="00C85351"/>
    <w:rsid w:val="00C8549A"/>
    <w:rsid w:val="00C85585"/>
    <w:rsid w:val="00C856A7"/>
    <w:rsid w:val="00C85713"/>
    <w:rsid w:val="00C8576D"/>
    <w:rsid w:val="00C85782"/>
    <w:rsid w:val="00C857FB"/>
    <w:rsid w:val="00C858DD"/>
    <w:rsid w:val="00C859D3"/>
    <w:rsid w:val="00C85AE0"/>
    <w:rsid w:val="00C85B3C"/>
    <w:rsid w:val="00C85CDA"/>
    <w:rsid w:val="00C85D58"/>
    <w:rsid w:val="00C85E15"/>
    <w:rsid w:val="00C85F2A"/>
    <w:rsid w:val="00C86166"/>
    <w:rsid w:val="00C86267"/>
    <w:rsid w:val="00C8629F"/>
    <w:rsid w:val="00C862C3"/>
    <w:rsid w:val="00C86337"/>
    <w:rsid w:val="00C86383"/>
    <w:rsid w:val="00C8651B"/>
    <w:rsid w:val="00C8658F"/>
    <w:rsid w:val="00C86663"/>
    <w:rsid w:val="00C866E7"/>
    <w:rsid w:val="00C869DB"/>
    <w:rsid w:val="00C86BC2"/>
    <w:rsid w:val="00C86C49"/>
    <w:rsid w:val="00C86DA0"/>
    <w:rsid w:val="00C86E0A"/>
    <w:rsid w:val="00C86E3B"/>
    <w:rsid w:val="00C86ED6"/>
    <w:rsid w:val="00C8717B"/>
    <w:rsid w:val="00C87250"/>
    <w:rsid w:val="00C87257"/>
    <w:rsid w:val="00C873E4"/>
    <w:rsid w:val="00C877C4"/>
    <w:rsid w:val="00C878A0"/>
    <w:rsid w:val="00C879F8"/>
    <w:rsid w:val="00C87AD7"/>
    <w:rsid w:val="00C87ADD"/>
    <w:rsid w:val="00C87AF4"/>
    <w:rsid w:val="00C87B6A"/>
    <w:rsid w:val="00C87D20"/>
    <w:rsid w:val="00C87DC9"/>
    <w:rsid w:val="00C87EF4"/>
    <w:rsid w:val="00C87FAF"/>
    <w:rsid w:val="00C90186"/>
    <w:rsid w:val="00C901EC"/>
    <w:rsid w:val="00C90441"/>
    <w:rsid w:val="00C90449"/>
    <w:rsid w:val="00C90459"/>
    <w:rsid w:val="00C905C7"/>
    <w:rsid w:val="00C90833"/>
    <w:rsid w:val="00C90A2B"/>
    <w:rsid w:val="00C90CB5"/>
    <w:rsid w:val="00C90D0F"/>
    <w:rsid w:val="00C90DA8"/>
    <w:rsid w:val="00C90E6E"/>
    <w:rsid w:val="00C90EBA"/>
    <w:rsid w:val="00C90F25"/>
    <w:rsid w:val="00C91041"/>
    <w:rsid w:val="00C91087"/>
    <w:rsid w:val="00C91292"/>
    <w:rsid w:val="00C912B3"/>
    <w:rsid w:val="00C912C5"/>
    <w:rsid w:val="00C9132D"/>
    <w:rsid w:val="00C914E8"/>
    <w:rsid w:val="00C91687"/>
    <w:rsid w:val="00C91759"/>
    <w:rsid w:val="00C9192C"/>
    <w:rsid w:val="00C919B4"/>
    <w:rsid w:val="00C919EE"/>
    <w:rsid w:val="00C91A30"/>
    <w:rsid w:val="00C91AAF"/>
    <w:rsid w:val="00C91AFD"/>
    <w:rsid w:val="00C91B0D"/>
    <w:rsid w:val="00C91B92"/>
    <w:rsid w:val="00C91C03"/>
    <w:rsid w:val="00C91CB7"/>
    <w:rsid w:val="00C91CC6"/>
    <w:rsid w:val="00C91CD4"/>
    <w:rsid w:val="00C91D44"/>
    <w:rsid w:val="00C91E81"/>
    <w:rsid w:val="00C91F08"/>
    <w:rsid w:val="00C91FD2"/>
    <w:rsid w:val="00C91FF3"/>
    <w:rsid w:val="00C920AC"/>
    <w:rsid w:val="00C9214C"/>
    <w:rsid w:val="00C921F6"/>
    <w:rsid w:val="00C9220F"/>
    <w:rsid w:val="00C922D7"/>
    <w:rsid w:val="00C9234C"/>
    <w:rsid w:val="00C9236D"/>
    <w:rsid w:val="00C9248C"/>
    <w:rsid w:val="00C924CC"/>
    <w:rsid w:val="00C924EF"/>
    <w:rsid w:val="00C92526"/>
    <w:rsid w:val="00C9265B"/>
    <w:rsid w:val="00C9279A"/>
    <w:rsid w:val="00C927AF"/>
    <w:rsid w:val="00C928BE"/>
    <w:rsid w:val="00C92992"/>
    <w:rsid w:val="00C92A64"/>
    <w:rsid w:val="00C92A66"/>
    <w:rsid w:val="00C92B5B"/>
    <w:rsid w:val="00C92C0F"/>
    <w:rsid w:val="00C92CB3"/>
    <w:rsid w:val="00C92D3F"/>
    <w:rsid w:val="00C92E04"/>
    <w:rsid w:val="00C93239"/>
    <w:rsid w:val="00C93260"/>
    <w:rsid w:val="00C93269"/>
    <w:rsid w:val="00C932B2"/>
    <w:rsid w:val="00C93418"/>
    <w:rsid w:val="00C935FD"/>
    <w:rsid w:val="00C93627"/>
    <w:rsid w:val="00C93765"/>
    <w:rsid w:val="00C93878"/>
    <w:rsid w:val="00C93880"/>
    <w:rsid w:val="00C938C5"/>
    <w:rsid w:val="00C938DF"/>
    <w:rsid w:val="00C93C51"/>
    <w:rsid w:val="00C93C5A"/>
    <w:rsid w:val="00C93EC8"/>
    <w:rsid w:val="00C93F32"/>
    <w:rsid w:val="00C93F94"/>
    <w:rsid w:val="00C93FA4"/>
    <w:rsid w:val="00C9404B"/>
    <w:rsid w:val="00C9406D"/>
    <w:rsid w:val="00C940A6"/>
    <w:rsid w:val="00C940BB"/>
    <w:rsid w:val="00C94282"/>
    <w:rsid w:val="00C942A3"/>
    <w:rsid w:val="00C942EB"/>
    <w:rsid w:val="00C9444E"/>
    <w:rsid w:val="00C944D3"/>
    <w:rsid w:val="00C945D8"/>
    <w:rsid w:val="00C94620"/>
    <w:rsid w:val="00C94710"/>
    <w:rsid w:val="00C947DF"/>
    <w:rsid w:val="00C949A6"/>
    <w:rsid w:val="00C94A50"/>
    <w:rsid w:val="00C94A54"/>
    <w:rsid w:val="00C94B29"/>
    <w:rsid w:val="00C94B72"/>
    <w:rsid w:val="00C94B74"/>
    <w:rsid w:val="00C94D36"/>
    <w:rsid w:val="00C94D7D"/>
    <w:rsid w:val="00C94E54"/>
    <w:rsid w:val="00C94EA7"/>
    <w:rsid w:val="00C94ED4"/>
    <w:rsid w:val="00C950DD"/>
    <w:rsid w:val="00C95226"/>
    <w:rsid w:val="00C952BC"/>
    <w:rsid w:val="00C952DE"/>
    <w:rsid w:val="00C95337"/>
    <w:rsid w:val="00C953C1"/>
    <w:rsid w:val="00C95421"/>
    <w:rsid w:val="00C95464"/>
    <w:rsid w:val="00C954DD"/>
    <w:rsid w:val="00C955D1"/>
    <w:rsid w:val="00C95620"/>
    <w:rsid w:val="00C956E3"/>
    <w:rsid w:val="00C95724"/>
    <w:rsid w:val="00C958AF"/>
    <w:rsid w:val="00C9597D"/>
    <w:rsid w:val="00C95ACC"/>
    <w:rsid w:val="00C95BD9"/>
    <w:rsid w:val="00C95E82"/>
    <w:rsid w:val="00C95F10"/>
    <w:rsid w:val="00C96089"/>
    <w:rsid w:val="00C960AB"/>
    <w:rsid w:val="00C9612B"/>
    <w:rsid w:val="00C9647D"/>
    <w:rsid w:val="00C9663E"/>
    <w:rsid w:val="00C9666A"/>
    <w:rsid w:val="00C96673"/>
    <w:rsid w:val="00C9671C"/>
    <w:rsid w:val="00C967A3"/>
    <w:rsid w:val="00C9685A"/>
    <w:rsid w:val="00C9692D"/>
    <w:rsid w:val="00C96A6A"/>
    <w:rsid w:val="00C96B13"/>
    <w:rsid w:val="00C96B16"/>
    <w:rsid w:val="00C96D20"/>
    <w:rsid w:val="00C9700E"/>
    <w:rsid w:val="00C970A1"/>
    <w:rsid w:val="00C97118"/>
    <w:rsid w:val="00C97153"/>
    <w:rsid w:val="00C971DC"/>
    <w:rsid w:val="00C97205"/>
    <w:rsid w:val="00C97249"/>
    <w:rsid w:val="00C974F3"/>
    <w:rsid w:val="00C97611"/>
    <w:rsid w:val="00C976F9"/>
    <w:rsid w:val="00C976FC"/>
    <w:rsid w:val="00C977F1"/>
    <w:rsid w:val="00C97877"/>
    <w:rsid w:val="00C978D7"/>
    <w:rsid w:val="00C97900"/>
    <w:rsid w:val="00C97A3C"/>
    <w:rsid w:val="00C97B87"/>
    <w:rsid w:val="00C97C83"/>
    <w:rsid w:val="00C97CCE"/>
    <w:rsid w:val="00C97D95"/>
    <w:rsid w:val="00C98723"/>
    <w:rsid w:val="00CA0132"/>
    <w:rsid w:val="00CA02E7"/>
    <w:rsid w:val="00CA04B3"/>
    <w:rsid w:val="00CA0550"/>
    <w:rsid w:val="00CA069D"/>
    <w:rsid w:val="00CA0934"/>
    <w:rsid w:val="00CA0B41"/>
    <w:rsid w:val="00CA0B47"/>
    <w:rsid w:val="00CA0BA1"/>
    <w:rsid w:val="00CA0D48"/>
    <w:rsid w:val="00CA0EE6"/>
    <w:rsid w:val="00CA0FA1"/>
    <w:rsid w:val="00CA115B"/>
    <w:rsid w:val="00CA1200"/>
    <w:rsid w:val="00CA1293"/>
    <w:rsid w:val="00CA16B7"/>
    <w:rsid w:val="00CA16F3"/>
    <w:rsid w:val="00CA1802"/>
    <w:rsid w:val="00CA1859"/>
    <w:rsid w:val="00CA18CF"/>
    <w:rsid w:val="00CA1920"/>
    <w:rsid w:val="00CA1976"/>
    <w:rsid w:val="00CA19B3"/>
    <w:rsid w:val="00CA1C7B"/>
    <w:rsid w:val="00CA1C9F"/>
    <w:rsid w:val="00CA1CB5"/>
    <w:rsid w:val="00CA1E5E"/>
    <w:rsid w:val="00CA22B1"/>
    <w:rsid w:val="00CA22E4"/>
    <w:rsid w:val="00CA2304"/>
    <w:rsid w:val="00CA2334"/>
    <w:rsid w:val="00CA2450"/>
    <w:rsid w:val="00CA24B9"/>
    <w:rsid w:val="00CA25BC"/>
    <w:rsid w:val="00CA2635"/>
    <w:rsid w:val="00CA2653"/>
    <w:rsid w:val="00CA26E9"/>
    <w:rsid w:val="00CA29CD"/>
    <w:rsid w:val="00CA29F7"/>
    <w:rsid w:val="00CA2B86"/>
    <w:rsid w:val="00CA2C21"/>
    <w:rsid w:val="00CA2CFC"/>
    <w:rsid w:val="00CA2E86"/>
    <w:rsid w:val="00CA2EBC"/>
    <w:rsid w:val="00CA2EFA"/>
    <w:rsid w:val="00CA2F23"/>
    <w:rsid w:val="00CA305D"/>
    <w:rsid w:val="00CA3095"/>
    <w:rsid w:val="00CA3108"/>
    <w:rsid w:val="00CA3259"/>
    <w:rsid w:val="00CA32B4"/>
    <w:rsid w:val="00CA3518"/>
    <w:rsid w:val="00CA3524"/>
    <w:rsid w:val="00CA357B"/>
    <w:rsid w:val="00CA378A"/>
    <w:rsid w:val="00CA3839"/>
    <w:rsid w:val="00CA387F"/>
    <w:rsid w:val="00CA3910"/>
    <w:rsid w:val="00CA391C"/>
    <w:rsid w:val="00CA3953"/>
    <w:rsid w:val="00CA3993"/>
    <w:rsid w:val="00CA3BBF"/>
    <w:rsid w:val="00CA3BD5"/>
    <w:rsid w:val="00CA3BD6"/>
    <w:rsid w:val="00CA3DC4"/>
    <w:rsid w:val="00CA3E35"/>
    <w:rsid w:val="00CA3E41"/>
    <w:rsid w:val="00CA3E71"/>
    <w:rsid w:val="00CA3ECD"/>
    <w:rsid w:val="00CA3F47"/>
    <w:rsid w:val="00CA3F4C"/>
    <w:rsid w:val="00CA419D"/>
    <w:rsid w:val="00CA41BD"/>
    <w:rsid w:val="00CA425D"/>
    <w:rsid w:val="00CA439A"/>
    <w:rsid w:val="00CA452F"/>
    <w:rsid w:val="00CA459B"/>
    <w:rsid w:val="00CA46F5"/>
    <w:rsid w:val="00CA475C"/>
    <w:rsid w:val="00CA4786"/>
    <w:rsid w:val="00CA4845"/>
    <w:rsid w:val="00CA4875"/>
    <w:rsid w:val="00CA4895"/>
    <w:rsid w:val="00CA48A1"/>
    <w:rsid w:val="00CA49BF"/>
    <w:rsid w:val="00CA4BAA"/>
    <w:rsid w:val="00CA4D7C"/>
    <w:rsid w:val="00CA4E2E"/>
    <w:rsid w:val="00CA4EF4"/>
    <w:rsid w:val="00CA4FAB"/>
    <w:rsid w:val="00CA5006"/>
    <w:rsid w:val="00CA5066"/>
    <w:rsid w:val="00CA508E"/>
    <w:rsid w:val="00CA5091"/>
    <w:rsid w:val="00CA5099"/>
    <w:rsid w:val="00CA5100"/>
    <w:rsid w:val="00CA517E"/>
    <w:rsid w:val="00CA525D"/>
    <w:rsid w:val="00CA52B9"/>
    <w:rsid w:val="00CA5342"/>
    <w:rsid w:val="00CA53DF"/>
    <w:rsid w:val="00CA53E0"/>
    <w:rsid w:val="00CA5561"/>
    <w:rsid w:val="00CA5598"/>
    <w:rsid w:val="00CA55B3"/>
    <w:rsid w:val="00CA55EB"/>
    <w:rsid w:val="00CA57AE"/>
    <w:rsid w:val="00CA5916"/>
    <w:rsid w:val="00CA59D3"/>
    <w:rsid w:val="00CA5A8E"/>
    <w:rsid w:val="00CA5AB1"/>
    <w:rsid w:val="00CA5B82"/>
    <w:rsid w:val="00CA5BAA"/>
    <w:rsid w:val="00CA5C9C"/>
    <w:rsid w:val="00CA5F7C"/>
    <w:rsid w:val="00CA5FD4"/>
    <w:rsid w:val="00CA60AA"/>
    <w:rsid w:val="00CA62AE"/>
    <w:rsid w:val="00CA631E"/>
    <w:rsid w:val="00CA642E"/>
    <w:rsid w:val="00CA644C"/>
    <w:rsid w:val="00CA64F2"/>
    <w:rsid w:val="00CA6572"/>
    <w:rsid w:val="00CA663A"/>
    <w:rsid w:val="00CA69EE"/>
    <w:rsid w:val="00CA6A87"/>
    <w:rsid w:val="00CA6C75"/>
    <w:rsid w:val="00CA6C96"/>
    <w:rsid w:val="00CA6CAB"/>
    <w:rsid w:val="00CA6CC4"/>
    <w:rsid w:val="00CA6D36"/>
    <w:rsid w:val="00CA6DD2"/>
    <w:rsid w:val="00CA6DEA"/>
    <w:rsid w:val="00CA6E97"/>
    <w:rsid w:val="00CA6E9B"/>
    <w:rsid w:val="00CA70AE"/>
    <w:rsid w:val="00CA73CD"/>
    <w:rsid w:val="00CA73FD"/>
    <w:rsid w:val="00CA7442"/>
    <w:rsid w:val="00CA7453"/>
    <w:rsid w:val="00CA7527"/>
    <w:rsid w:val="00CA7576"/>
    <w:rsid w:val="00CA7639"/>
    <w:rsid w:val="00CA7920"/>
    <w:rsid w:val="00CA79A2"/>
    <w:rsid w:val="00CA79B0"/>
    <w:rsid w:val="00CA7B5F"/>
    <w:rsid w:val="00CA7BC7"/>
    <w:rsid w:val="00CA7F2D"/>
    <w:rsid w:val="00CA7F8A"/>
    <w:rsid w:val="00CA7FE7"/>
    <w:rsid w:val="00CB0191"/>
    <w:rsid w:val="00CB01EE"/>
    <w:rsid w:val="00CB029F"/>
    <w:rsid w:val="00CB02FC"/>
    <w:rsid w:val="00CB035C"/>
    <w:rsid w:val="00CB03C3"/>
    <w:rsid w:val="00CB048A"/>
    <w:rsid w:val="00CB04C4"/>
    <w:rsid w:val="00CB04CE"/>
    <w:rsid w:val="00CB04D9"/>
    <w:rsid w:val="00CB04F0"/>
    <w:rsid w:val="00CB08BD"/>
    <w:rsid w:val="00CB08DE"/>
    <w:rsid w:val="00CB0AA8"/>
    <w:rsid w:val="00CB0BA4"/>
    <w:rsid w:val="00CB0CA3"/>
    <w:rsid w:val="00CB0CDA"/>
    <w:rsid w:val="00CB0DC0"/>
    <w:rsid w:val="00CB0EEE"/>
    <w:rsid w:val="00CB0EFD"/>
    <w:rsid w:val="00CB0F13"/>
    <w:rsid w:val="00CB0F78"/>
    <w:rsid w:val="00CB0FE3"/>
    <w:rsid w:val="00CB1147"/>
    <w:rsid w:val="00CB129F"/>
    <w:rsid w:val="00CB1394"/>
    <w:rsid w:val="00CB1396"/>
    <w:rsid w:val="00CB1471"/>
    <w:rsid w:val="00CB15B3"/>
    <w:rsid w:val="00CB1A74"/>
    <w:rsid w:val="00CB1AA7"/>
    <w:rsid w:val="00CB1B64"/>
    <w:rsid w:val="00CB22D2"/>
    <w:rsid w:val="00CB2434"/>
    <w:rsid w:val="00CB2476"/>
    <w:rsid w:val="00CB247A"/>
    <w:rsid w:val="00CB24CB"/>
    <w:rsid w:val="00CB2589"/>
    <w:rsid w:val="00CB26DC"/>
    <w:rsid w:val="00CB2719"/>
    <w:rsid w:val="00CB274C"/>
    <w:rsid w:val="00CB2816"/>
    <w:rsid w:val="00CB2886"/>
    <w:rsid w:val="00CB2932"/>
    <w:rsid w:val="00CB29AC"/>
    <w:rsid w:val="00CB29F3"/>
    <w:rsid w:val="00CB2B2E"/>
    <w:rsid w:val="00CB2C62"/>
    <w:rsid w:val="00CB2CFB"/>
    <w:rsid w:val="00CB2D27"/>
    <w:rsid w:val="00CB2E02"/>
    <w:rsid w:val="00CB2E45"/>
    <w:rsid w:val="00CB2F15"/>
    <w:rsid w:val="00CB2F3D"/>
    <w:rsid w:val="00CB2F91"/>
    <w:rsid w:val="00CB33A4"/>
    <w:rsid w:val="00CB33F6"/>
    <w:rsid w:val="00CB33F8"/>
    <w:rsid w:val="00CB3523"/>
    <w:rsid w:val="00CB35C4"/>
    <w:rsid w:val="00CB3648"/>
    <w:rsid w:val="00CB36FD"/>
    <w:rsid w:val="00CB3772"/>
    <w:rsid w:val="00CB3857"/>
    <w:rsid w:val="00CB3A00"/>
    <w:rsid w:val="00CB3A23"/>
    <w:rsid w:val="00CB3C00"/>
    <w:rsid w:val="00CB3CC6"/>
    <w:rsid w:val="00CB3D3B"/>
    <w:rsid w:val="00CB3D9C"/>
    <w:rsid w:val="00CB3DE5"/>
    <w:rsid w:val="00CB3E3F"/>
    <w:rsid w:val="00CB3F4A"/>
    <w:rsid w:val="00CB40A1"/>
    <w:rsid w:val="00CB4276"/>
    <w:rsid w:val="00CB42C2"/>
    <w:rsid w:val="00CB4493"/>
    <w:rsid w:val="00CB44BA"/>
    <w:rsid w:val="00CB4552"/>
    <w:rsid w:val="00CB464E"/>
    <w:rsid w:val="00CB4653"/>
    <w:rsid w:val="00CB4A4F"/>
    <w:rsid w:val="00CB4A6F"/>
    <w:rsid w:val="00CB4A9C"/>
    <w:rsid w:val="00CB4ABF"/>
    <w:rsid w:val="00CB4B3A"/>
    <w:rsid w:val="00CB4B61"/>
    <w:rsid w:val="00CB4CEE"/>
    <w:rsid w:val="00CB4D4B"/>
    <w:rsid w:val="00CB4D59"/>
    <w:rsid w:val="00CB4DE1"/>
    <w:rsid w:val="00CB4E10"/>
    <w:rsid w:val="00CB4E66"/>
    <w:rsid w:val="00CB51B9"/>
    <w:rsid w:val="00CB5216"/>
    <w:rsid w:val="00CB5286"/>
    <w:rsid w:val="00CB5341"/>
    <w:rsid w:val="00CB53C6"/>
    <w:rsid w:val="00CB5585"/>
    <w:rsid w:val="00CB5678"/>
    <w:rsid w:val="00CB56B1"/>
    <w:rsid w:val="00CB5A17"/>
    <w:rsid w:val="00CB5B1A"/>
    <w:rsid w:val="00CB5B35"/>
    <w:rsid w:val="00CB5E3D"/>
    <w:rsid w:val="00CB5F42"/>
    <w:rsid w:val="00CB5F63"/>
    <w:rsid w:val="00CB6385"/>
    <w:rsid w:val="00CB6487"/>
    <w:rsid w:val="00CB64ED"/>
    <w:rsid w:val="00CB65C7"/>
    <w:rsid w:val="00CB66D9"/>
    <w:rsid w:val="00CB6706"/>
    <w:rsid w:val="00CB6920"/>
    <w:rsid w:val="00CB6A70"/>
    <w:rsid w:val="00CB6B7C"/>
    <w:rsid w:val="00CB6B85"/>
    <w:rsid w:val="00CB6B9A"/>
    <w:rsid w:val="00CB6CDC"/>
    <w:rsid w:val="00CB6D13"/>
    <w:rsid w:val="00CB6D4A"/>
    <w:rsid w:val="00CB6DD0"/>
    <w:rsid w:val="00CB6EE3"/>
    <w:rsid w:val="00CB6F2B"/>
    <w:rsid w:val="00CB6FC6"/>
    <w:rsid w:val="00CB7011"/>
    <w:rsid w:val="00CB70A3"/>
    <w:rsid w:val="00CB718A"/>
    <w:rsid w:val="00CB7480"/>
    <w:rsid w:val="00CB749D"/>
    <w:rsid w:val="00CB74F3"/>
    <w:rsid w:val="00CB755F"/>
    <w:rsid w:val="00CB75A6"/>
    <w:rsid w:val="00CB76C4"/>
    <w:rsid w:val="00CB76DB"/>
    <w:rsid w:val="00CB779B"/>
    <w:rsid w:val="00CB7842"/>
    <w:rsid w:val="00CB78E1"/>
    <w:rsid w:val="00CB795E"/>
    <w:rsid w:val="00CB79C7"/>
    <w:rsid w:val="00CB79FD"/>
    <w:rsid w:val="00CB7A4A"/>
    <w:rsid w:val="00CB7A68"/>
    <w:rsid w:val="00CC0177"/>
    <w:rsid w:val="00CC01A2"/>
    <w:rsid w:val="00CC01EF"/>
    <w:rsid w:val="00CC02B3"/>
    <w:rsid w:val="00CC0327"/>
    <w:rsid w:val="00CC03C7"/>
    <w:rsid w:val="00CC0457"/>
    <w:rsid w:val="00CC0489"/>
    <w:rsid w:val="00CC04E6"/>
    <w:rsid w:val="00CC0579"/>
    <w:rsid w:val="00CC05BF"/>
    <w:rsid w:val="00CC067E"/>
    <w:rsid w:val="00CC0745"/>
    <w:rsid w:val="00CC07FE"/>
    <w:rsid w:val="00CC0836"/>
    <w:rsid w:val="00CC0885"/>
    <w:rsid w:val="00CC08D7"/>
    <w:rsid w:val="00CC092C"/>
    <w:rsid w:val="00CC09D5"/>
    <w:rsid w:val="00CC0AA5"/>
    <w:rsid w:val="00CC0ACB"/>
    <w:rsid w:val="00CC0AE5"/>
    <w:rsid w:val="00CC0CFD"/>
    <w:rsid w:val="00CC0D85"/>
    <w:rsid w:val="00CC0D8E"/>
    <w:rsid w:val="00CC0E48"/>
    <w:rsid w:val="00CC10E3"/>
    <w:rsid w:val="00CC1194"/>
    <w:rsid w:val="00CC11EA"/>
    <w:rsid w:val="00CC11F7"/>
    <w:rsid w:val="00CC12B5"/>
    <w:rsid w:val="00CC12B8"/>
    <w:rsid w:val="00CC142E"/>
    <w:rsid w:val="00CC149E"/>
    <w:rsid w:val="00CC14B0"/>
    <w:rsid w:val="00CC14C0"/>
    <w:rsid w:val="00CC14CA"/>
    <w:rsid w:val="00CC15A6"/>
    <w:rsid w:val="00CC173B"/>
    <w:rsid w:val="00CC1756"/>
    <w:rsid w:val="00CC17CE"/>
    <w:rsid w:val="00CC1842"/>
    <w:rsid w:val="00CC18E5"/>
    <w:rsid w:val="00CC1907"/>
    <w:rsid w:val="00CC19CC"/>
    <w:rsid w:val="00CC1A5E"/>
    <w:rsid w:val="00CC1B20"/>
    <w:rsid w:val="00CC1BFE"/>
    <w:rsid w:val="00CC1C9C"/>
    <w:rsid w:val="00CC1CB7"/>
    <w:rsid w:val="00CC1D5B"/>
    <w:rsid w:val="00CC1DB3"/>
    <w:rsid w:val="00CC1FCA"/>
    <w:rsid w:val="00CC2091"/>
    <w:rsid w:val="00CC220B"/>
    <w:rsid w:val="00CC2224"/>
    <w:rsid w:val="00CC2338"/>
    <w:rsid w:val="00CC23EC"/>
    <w:rsid w:val="00CC2471"/>
    <w:rsid w:val="00CC2575"/>
    <w:rsid w:val="00CC25C1"/>
    <w:rsid w:val="00CC27A6"/>
    <w:rsid w:val="00CC2A4A"/>
    <w:rsid w:val="00CC2AF4"/>
    <w:rsid w:val="00CC2B2C"/>
    <w:rsid w:val="00CC2B46"/>
    <w:rsid w:val="00CC2C08"/>
    <w:rsid w:val="00CC2C89"/>
    <w:rsid w:val="00CC2CEE"/>
    <w:rsid w:val="00CC2D81"/>
    <w:rsid w:val="00CC2E36"/>
    <w:rsid w:val="00CC2E5B"/>
    <w:rsid w:val="00CC2E87"/>
    <w:rsid w:val="00CC2F1C"/>
    <w:rsid w:val="00CC2F47"/>
    <w:rsid w:val="00CC2F75"/>
    <w:rsid w:val="00CC2F91"/>
    <w:rsid w:val="00CC300E"/>
    <w:rsid w:val="00CC30C5"/>
    <w:rsid w:val="00CC31A4"/>
    <w:rsid w:val="00CC32FC"/>
    <w:rsid w:val="00CC33CB"/>
    <w:rsid w:val="00CC35F5"/>
    <w:rsid w:val="00CC3723"/>
    <w:rsid w:val="00CC37BB"/>
    <w:rsid w:val="00CC385B"/>
    <w:rsid w:val="00CC38C8"/>
    <w:rsid w:val="00CC3AE5"/>
    <w:rsid w:val="00CC3B0B"/>
    <w:rsid w:val="00CC3B59"/>
    <w:rsid w:val="00CC3B5C"/>
    <w:rsid w:val="00CC3C5E"/>
    <w:rsid w:val="00CC3CD0"/>
    <w:rsid w:val="00CC3CDC"/>
    <w:rsid w:val="00CC3D87"/>
    <w:rsid w:val="00CC3E16"/>
    <w:rsid w:val="00CC3E20"/>
    <w:rsid w:val="00CC3E43"/>
    <w:rsid w:val="00CC3FCA"/>
    <w:rsid w:val="00CC408A"/>
    <w:rsid w:val="00CC408F"/>
    <w:rsid w:val="00CC4127"/>
    <w:rsid w:val="00CC41B9"/>
    <w:rsid w:val="00CC4289"/>
    <w:rsid w:val="00CC4496"/>
    <w:rsid w:val="00CC45DD"/>
    <w:rsid w:val="00CC4666"/>
    <w:rsid w:val="00CC47EA"/>
    <w:rsid w:val="00CC48D3"/>
    <w:rsid w:val="00CC4942"/>
    <w:rsid w:val="00CC49AB"/>
    <w:rsid w:val="00CC49B2"/>
    <w:rsid w:val="00CC4B17"/>
    <w:rsid w:val="00CC4C42"/>
    <w:rsid w:val="00CC4C6D"/>
    <w:rsid w:val="00CC4C92"/>
    <w:rsid w:val="00CC4DAF"/>
    <w:rsid w:val="00CC4E92"/>
    <w:rsid w:val="00CC52B1"/>
    <w:rsid w:val="00CC5329"/>
    <w:rsid w:val="00CC5378"/>
    <w:rsid w:val="00CC541F"/>
    <w:rsid w:val="00CC557A"/>
    <w:rsid w:val="00CC5601"/>
    <w:rsid w:val="00CC579D"/>
    <w:rsid w:val="00CC5860"/>
    <w:rsid w:val="00CC58DE"/>
    <w:rsid w:val="00CC59B5"/>
    <w:rsid w:val="00CC59BA"/>
    <w:rsid w:val="00CC5B05"/>
    <w:rsid w:val="00CC5B0A"/>
    <w:rsid w:val="00CC5C43"/>
    <w:rsid w:val="00CC5E07"/>
    <w:rsid w:val="00CC5FEE"/>
    <w:rsid w:val="00CC62C6"/>
    <w:rsid w:val="00CC62FD"/>
    <w:rsid w:val="00CC641A"/>
    <w:rsid w:val="00CC64A7"/>
    <w:rsid w:val="00CC6503"/>
    <w:rsid w:val="00CC650B"/>
    <w:rsid w:val="00CC6523"/>
    <w:rsid w:val="00CC6586"/>
    <w:rsid w:val="00CC6705"/>
    <w:rsid w:val="00CC6A75"/>
    <w:rsid w:val="00CC6B03"/>
    <w:rsid w:val="00CC6B53"/>
    <w:rsid w:val="00CC6DE8"/>
    <w:rsid w:val="00CC6DF7"/>
    <w:rsid w:val="00CC6E03"/>
    <w:rsid w:val="00CC6E50"/>
    <w:rsid w:val="00CC6E9C"/>
    <w:rsid w:val="00CC6E9E"/>
    <w:rsid w:val="00CC6FAD"/>
    <w:rsid w:val="00CC6FC2"/>
    <w:rsid w:val="00CC703F"/>
    <w:rsid w:val="00CC7075"/>
    <w:rsid w:val="00CC70AF"/>
    <w:rsid w:val="00CC70D4"/>
    <w:rsid w:val="00CC7240"/>
    <w:rsid w:val="00CC7288"/>
    <w:rsid w:val="00CC72A1"/>
    <w:rsid w:val="00CC7337"/>
    <w:rsid w:val="00CC737C"/>
    <w:rsid w:val="00CC739F"/>
    <w:rsid w:val="00CC73C9"/>
    <w:rsid w:val="00CC73D7"/>
    <w:rsid w:val="00CC7490"/>
    <w:rsid w:val="00CC76A4"/>
    <w:rsid w:val="00CC77D7"/>
    <w:rsid w:val="00CC78CE"/>
    <w:rsid w:val="00CC791F"/>
    <w:rsid w:val="00CC79D3"/>
    <w:rsid w:val="00CC79D8"/>
    <w:rsid w:val="00CC7A60"/>
    <w:rsid w:val="00CC7A9E"/>
    <w:rsid w:val="00CC7B5D"/>
    <w:rsid w:val="00CC7D3B"/>
    <w:rsid w:val="00CC7D6F"/>
    <w:rsid w:val="00CC7DC0"/>
    <w:rsid w:val="00CC7E42"/>
    <w:rsid w:val="00CC7EB1"/>
    <w:rsid w:val="00CC7ED0"/>
    <w:rsid w:val="00CC7ED8"/>
    <w:rsid w:val="00CC7F53"/>
    <w:rsid w:val="00CC7FAC"/>
    <w:rsid w:val="00CC7FEE"/>
    <w:rsid w:val="00CD0138"/>
    <w:rsid w:val="00CD02AE"/>
    <w:rsid w:val="00CD02B7"/>
    <w:rsid w:val="00CD03AE"/>
    <w:rsid w:val="00CD03D9"/>
    <w:rsid w:val="00CD03F8"/>
    <w:rsid w:val="00CD0422"/>
    <w:rsid w:val="00CD04A5"/>
    <w:rsid w:val="00CD050B"/>
    <w:rsid w:val="00CD05D2"/>
    <w:rsid w:val="00CD066D"/>
    <w:rsid w:val="00CD06F1"/>
    <w:rsid w:val="00CD070C"/>
    <w:rsid w:val="00CD0762"/>
    <w:rsid w:val="00CD0768"/>
    <w:rsid w:val="00CD09A3"/>
    <w:rsid w:val="00CD0D64"/>
    <w:rsid w:val="00CD0D8F"/>
    <w:rsid w:val="00CD0DD7"/>
    <w:rsid w:val="00CD0E3D"/>
    <w:rsid w:val="00CD0EC3"/>
    <w:rsid w:val="00CD0FE7"/>
    <w:rsid w:val="00CD1026"/>
    <w:rsid w:val="00CD10E5"/>
    <w:rsid w:val="00CD1112"/>
    <w:rsid w:val="00CD115E"/>
    <w:rsid w:val="00CD11E9"/>
    <w:rsid w:val="00CD11FA"/>
    <w:rsid w:val="00CD1226"/>
    <w:rsid w:val="00CD1249"/>
    <w:rsid w:val="00CD142D"/>
    <w:rsid w:val="00CD144C"/>
    <w:rsid w:val="00CD1461"/>
    <w:rsid w:val="00CD1463"/>
    <w:rsid w:val="00CD1470"/>
    <w:rsid w:val="00CD147A"/>
    <w:rsid w:val="00CD14E1"/>
    <w:rsid w:val="00CD1509"/>
    <w:rsid w:val="00CD154B"/>
    <w:rsid w:val="00CD174A"/>
    <w:rsid w:val="00CD17C7"/>
    <w:rsid w:val="00CD17CE"/>
    <w:rsid w:val="00CD1A17"/>
    <w:rsid w:val="00CD1B44"/>
    <w:rsid w:val="00CD1C04"/>
    <w:rsid w:val="00CD1C9D"/>
    <w:rsid w:val="00CD1F67"/>
    <w:rsid w:val="00CD1FD6"/>
    <w:rsid w:val="00CD20A6"/>
    <w:rsid w:val="00CD2264"/>
    <w:rsid w:val="00CD23E9"/>
    <w:rsid w:val="00CD244A"/>
    <w:rsid w:val="00CD2456"/>
    <w:rsid w:val="00CD246B"/>
    <w:rsid w:val="00CD256C"/>
    <w:rsid w:val="00CD2685"/>
    <w:rsid w:val="00CD2851"/>
    <w:rsid w:val="00CD28E2"/>
    <w:rsid w:val="00CD2964"/>
    <w:rsid w:val="00CD2991"/>
    <w:rsid w:val="00CD29AB"/>
    <w:rsid w:val="00CD29B2"/>
    <w:rsid w:val="00CD2A4F"/>
    <w:rsid w:val="00CD2B03"/>
    <w:rsid w:val="00CD2B60"/>
    <w:rsid w:val="00CD2B92"/>
    <w:rsid w:val="00CD30A0"/>
    <w:rsid w:val="00CD30D9"/>
    <w:rsid w:val="00CD3100"/>
    <w:rsid w:val="00CD31BB"/>
    <w:rsid w:val="00CD31FD"/>
    <w:rsid w:val="00CD3249"/>
    <w:rsid w:val="00CD3484"/>
    <w:rsid w:val="00CD34DF"/>
    <w:rsid w:val="00CD3527"/>
    <w:rsid w:val="00CD3564"/>
    <w:rsid w:val="00CD35A0"/>
    <w:rsid w:val="00CD35B1"/>
    <w:rsid w:val="00CD37BB"/>
    <w:rsid w:val="00CD37C9"/>
    <w:rsid w:val="00CD3801"/>
    <w:rsid w:val="00CD3A32"/>
    <w:rsid w:val="00CD3ABC"/>
    <w:rsid w:val="00CD3B09"/>
    <w:rsid w:val="00CD3CD9"/>
    <w:rsid w:val="00CD3CF3"/>
    <w:rsid w:val="00CD3CFC"/>
    <w:rsid w:val="00CD3D52"/>
    <w:rsid w:val="00CD3DB6"/>
    <w:rsid w:val="00CD3DF2"/>
    <w:rsid w:val="00CD3E32"/>
    <w:rsid w:val="00CD3F16"/>
    <w:rsid w:val="00CD3F1A"/>
    <w:rsid w:val="00CD3F1D"/>
    <w:rsid w:val="00CD3F4F"/>
    <w:rsid w:val="00CD412B"/>
    <w:rsid w:val="00CD4293"/>
    <w:rsid w:val="00CD437E"/>
    <w:rsid w:val="00CD4432"/>
    <w:rsid w:val="00CD44E3"/>
    <w:rsid w:val="00CD4549"/>
    <w:rsid w:val="00CD45FF"/>
    <w:rsid w:val="00CD4600"/>
    <w:rsid w:val="00CD464B"/>
    <w:rsid w:val="00CD46F0"/>
    <w:rsid w:val="00CD470C"/>
    <w:rsid w:val="00CD4786"/>
    <w:rsid w:val="00CD4823"/>
    <w:rsid w:val="00CD487B"/>
    <w:rsid w:val="00CD488B"/>
    <w:rsid w:val="00CD48DD"/>
    <w:rsid w:val="00CD490A"/>
    <w:rsid w:val="00CD4A4B"/>
    <w:rsid w:val="00CD4A71"/>
    <w:rsid w:val="00CD4AB2"/>
    <w:rsid w:val="00CD4ABD"/>
    <w:rsid w:val="00CD4C28"/>
    <w:rsid w:val="00CD4D82"/>
    <w:rsid w:val="00CD4E10"/>
    <w:rsid w:val="00CD4F4D"/>
    <w:rsid w:val="00CD5194"/>
    <w:rsid w:val="00CD520A"/>
    <w:rsid w:val="00CD5228"/>
    <w:rsid w:val="00CD52F1"/>
    <w:rsid w:val="00CD531D"/>
    <w:rsid w:val="00CD5378"/>
    <w:rsid w:val="00CD5439"/>
    <w:rsid w:val="00CD5445"/>
    <w:rsid w:val="00CD5575"/>
    <w:rsid w:val="00CD55FB"/>
    <w:rsid w:val="00CD57E2"/>
    <w:rsid w:val="00CD582B"/>
    <w:rsid w:val="00CD583D"/>
    <w:rsid w:val="00CD593B"/>
    <w:rsid w:val="00CD59E6"/>
    <w:rsid w:val="00CD5BA0"/>
    <w:rsid w:val="00CD5BDE"/>
    <w:rsid w:val="00CD5C45"/>
    <w:rsid w:val="00CD5DB6"/>
    <w:rsid w:val="00CD5EA2"/>
    <w:rsid w:val="00CD5EC3"/>
    <w:rsid w:val="00CD5EE1"/>
    <w:rsid w:val="00CD6111"/>
    <w:rsid w:val="00CD61A9"/>
    <w:rsid w:val="00CD61CA"/>
    <w:rsid w:val="00CD6310"/>
    <w:rsid w:val="00CD632A"/>
    <w:rsid w:val="00CD632E"/>
    <w:rsid w:val="00CD6346"/>
    <w:rsid w:val="00CD63DD"/>
    <w:rsid w:val="00CD662B"/>
    <w:rsid w:val="00CD66E7"/>
    <w:rsid w:val="00CD6715"/>
    <w:rsid w:val="00CD673A"/>
    <w:rsid w:val="00CD673E"/>
    <w:rsid w:val="00CD6760"/>
    <w:rsid w:val="00CD6765"/>
    <w:rsid w:val="00CD6A06"/>
    <w:rsid w:val="00CD6A32"/>
    <w:rsid w:val="00CD6A61"/>
    <w:rsid w:val="00CD6A6B"/>
    <w:rsid w:val="00CD6AA9"/>
    <w:rsid w:val="00CD6B31"/>
    <w:rsid w:val="00CD6C77"/>
    <w:rsid w:val="00CD6D15"/>
    <w:rsid w:val="00CD6E8F"/>
    <w:rsid w:val="00CD6EB2"/>
    <w:rsid w:val="00CD6F0C"/>
    <w:rsid w:val="00CD7074"/>
    <w:rsid w:val="00CD70D4"/>
    <w:rsid w:val="00CD7113"/>
    <w:rsid w:val="00CD73B4"/>
    <w:rsid w:val="00CD73CB"/>
    <w:rsid w:val="00CD7419"/>
    <w:rsid w:val="00CD7585"/>
    <w:rsid w:val="00CD7656"/>
    <w:rsid w:val="00CD770A"/>
    <w:rsid w:val="00CD77F6"/>
    <w:rsid w:val="00CD782C"/>
    <w:rsid w:val="00CD78A2"/>
    <w:rsid w:val="00CD791A"/>
    <w:rsid w:val="00CD7BCC"/>
    <w:rsid w:val="00CD7D02"/>
    <w:rsid w:val="00CD7D75"/>
    <w:rsid w:val="00CD7EC8"/>
    <w:rsid w:val="00CD7FA3"/>
    <w:rsid w:val="00CE0008"/>
    <w:rsid w:val="00CE0025"/>
    <w:rsid w:val="00CE00B3"/>
    <w:rsid w:val="00CE0126"/>
    <w:rsid w:val="00CE0175"/>
    <w:rsid w:val="00CE0208"/>
    <w:rsid w:val="00CE0237"/>
    <w:rsid w:val="00CE0241"/>
    <w:rsid w:val="00CE03CA"/>
    <w:rsid w:val="00CE041E"/>
    <w:rsid w:val="00CE04F0"/>
    <w:rsid w:val="00CE05F7"/>
    <w:rsid w:val="00CE0657"/>
    <w:rsid w:val="00CE0678"/>
    <w:rsid w:val="00CE07CE"/>
    <w:rsid w:val="00CE07DF"/>
    <w:rsid w:val="00CE0835"/>
    <w:rsid w:val="00CE089A"/>
    <w:rsid w:val="00CE0950"/>
    <w:rsid w:val="00CE0968"/>
    <w:rsid w:val="00CE09D9"/>
    <w:rsid w:val="00CE0B84"/>
    <w:rsid w:val="00CE0C2C"/>
    <w:rsid w:val="00CE0C59"/>
    <w:rsid w:val="00CE0D91"/>
    <w:rsid w:val="00CE0DBB"/>
    <w:rsid w:val="00CE0E50"/>
    <w:rsid w:val="00CE0E68"/>
    <w:rsid w:val="00CE1081"/>
    <w:rsid w:val="00CE113D"/>
    <w:rsid w:val="00CE117A"/>
    <w:rsid w:val="00CE13A1"/>
    <w:rsid w:val="00CE1481"/>
    <w:rsid w:val="00CE148E"/>
    <w:rsid w:val="00CE14B1"/>
    <w:rsid w:val="00CE14F4"/>
    <w:rsid w:val="00CE1549"/>
    <w:rsid w:val="00CE17AA"/>
    <w:rsid w:val="00CE1825"/>
    <w:rsid w:val="00CE183D"/>
    <w:rsid w:val="00CE1A2B"/>
    <w:rsid w:val="00CE1A79"/>
    <w:rsid w:val="00CE1B1C"/>
    <w:rsid w:val="00CE1BA1"/>
    <w:rsid w:val="00CE1BCC"/>
    <w:rsid w:val="00CE1C5A"/>
    <w:rsid w:val="00CE1CDF"/>
    <w:rsid w:val="00CE1E3E"/>
    <w:rsid w:val="00CE1EB3"/>
    <w:rsid w:val="00CE1F21"/>
    <w:rsid w:val="00CE1F66"/>
    <w:rsid w:val="00CE20AB"/>
    <w:rsid w:val="00CE210C"/>
    <w:rsid w:val="00CE2179"/>
    <w:rsid w:val="00CE22E4"/>
    <w:rsid w:val="00CE22F1"/>
    <w:rsid w:val="00CE234A"/>
    <w:rsid w:val="00CE23A3"/>
    <w:rsid w:val="00CE2481"/>
    <w:rsid w:val="00CE2691"/>
    <w:rsid w:val="00CE289B"/>
    <w:rsid w:val="00CE2954"/>
    <w:rsid w:val="00CE2968"/>
    <w:rsid w:val="00CE29D9"/>
    <w:rsid w:val="00CE2A9D"/>
    <w:rsid w:val="00CE2AF1"/>
    <w:rsid w:val="00CE2AFA"/>
    <w:rsid w:val="00CE2B05"/>
    <w:rsid w:val="00CE2B08"/>
    <w:rsid w:val="00CE2B31"/>
    <w:rsid w:val="00CE2B82"/>
    <w:rsid w:val="00CE2C08"/>
    <w:rsid w:val="00CE2C22"/>
    <w:rsid w:val="00CE2C4E"/>
    <w:rsid w:val="00CE2D3F"/>
    <w:rsid w:val="00CE2D70"/>
    <w:rsid w:val="00CE2EB4"/>
    <w:rsid w:val="00CE2F1A"/>
    <w:rsid w:val="00CE2F8F"/>
    <w:rsid w:val="00CE2FC1"/>
    <w:rsid w:val="00CE300D"/>
    <w:rsid w:val="00CE304C"/>
    <w:rsid w:val="00CE3054"/>
    <w:rsid w:val="00CE31BE"/>
    <w:rsid w:val="00CE31FF"/>
    <w:rsid w:val="00CE3319"/>
    <w:rsid w:val="00CE3472"/>
    <w:rsid w:val="00CE3496"/>
    <w:rsid w:val="00CE349C"/>
    <w:rsid w:val="00CE3590"/>
    <w:rsid w:val="00CE3680"/>
    <w:rsid w:val="00CE36C3"/>
    <w:rsid w:val="00CE3763"/>
    <w:rsid w:val="00CE3A10"/>
    <w:rsid w:val="00CE3C8E"/>
    <w:rsid w:val="00CE3D18"/>
    <w:rsid w:val="00CE3D41"/>
    <w:rsid w:val="00CE3D97"/>
    <w:rsid w:val="00CE3DDD"/>
    <w:rsid w:val="00CE3E3C"/>
    <w:rsid w:val="00CE4030"/>
    <w:rsid w:val="00CE4085"/>
    <w:rsid w:val="00CE4257"/>
    <w:rsid w:val="00CE4270"/>
    <w:rsid w:val="00CE427E"/>
    <w:rsid w:val="00CE4310"/>
    <w:rsid w:val="00CE4352"/>
    <w:rsid w:val="00CE43B3"/>
    <w:rsid w:val="00CE43F0"/>
    <w:rsid w:val="00CE446C"/>
    <w:rsid w:val="00CE4500"/>
    <w:rsid w:val="00CE471B"/>
    <w:rsid w:val="00CE47CE"/>
    <w:rsid w:val="00CE4948"/>
    <w:rsid w:val="00CE4950"/>
    <w:rsid w:val="00CE4952"/>
    <w:rsid w:val="00CE495E"/>
    <w:rsid w:val="00CE49D9"/>
    <w:rsid w:val="00CE4AB9"/>
    <w:rsid w:val="00CE4B5C"/>
    <w:rsid w:val="00CE4B6C"/>
    <w:rsid w:val="00CE4B96"/>
    <w:rsid w:val="00CE4D6F"/>
    <w:rsid w:val="00CE4F6D"/>
    <w:rsid w:val="00CE50CD"/>
    <w:rsid w:val="00CE50F2"/>
    <w:rsid w:val="00CE5128"/>
    <w:rsid w:val="00CE5154"/>
    <w:rsid w:val="00CE5438"/>
    <w:rsid w:val="00CE54AE"/>
    <w:rsid w:val="00CE54C2"/>
    <w:rsid w:val="00CE5507"/>
    <w:rsid w:val="00CE55E5"/>
    <w:rsid w:val="00CE56E8"/>
    <w:rsid w:val="00CE56E9"/>
    <w:rsid w:val="00CE56FF"/>
    <w:rsid w:val="00CE5745"/>
    <w:rsid w:val="00CE57EA"/>
    <w:rsid w:val="00CE583D"/>
    <w:rsid w:val="00CE58D0"/>
    <w:rsid w:val="00CE5907"/>
    <w:rsid w:val="00CE59AE"/>
    <w:rsid w:val="00CE59E0"/>
    <w:rsid w:val="00CE5A07"/>
    <w:rsid w:val="00CE5A7F"/>
    <w:rsid w:val="00CE5A8D"/>
    <w:rsid w:val="00CE5B6E"/>
    <w:rsid w:val="00CE5BC9"/>
    <w:rsid w:val="00CE5C6C"/>
    <w:rsid w:val="00CE5CCB"/>
    <w:rsid w:val="00CE5D2E"/>
    <w:rsid w:val="00CE5D5D"/>
    <w:rsid w:val="00CE5E55"/>
    <w:rsid w:val="00CE5F0E"/>
    <w:rsid w:val="00CE5FFC"/>
    <w:rsid w:val="00CE60A2"/>
    <w:rsid w:val="00CE6166"/>
    <w:rsid w:val="00CE61D3"/>
    <w:rsid w:val="00CE63DF"/>
    <w:rsid w:val="00CE6416"/>
    <w:rsid w:val="00CE6502"/>
    <w:rsid w:val="00CE65AC"/>
    <w:rsid w:val="00CE65F1"/>
    <w:rsid w:val="00CE66BC"/>
    <w:rsid w:val="00CE67E3"/>
    <w:rsid w:val="00CE682C"/>
    <w:rsid w:val="00CE6A85"/>
    <w:rsid w:val="00CE6A9A"/>
    <w:rsid w:val="00CE6AAA"/>
    <w:rsid w:val="00CE6B58"/>
    <w:rsid w:val="00CE6BD7"/>
    <w:rsid w:val="00CE6C76"/>
    <w:rsid w:val="00CE6C7D"/>
    <w:rsid w:val="00CE6CDC"/>
    <w:rsid w:val="00CE6D4E"/>
    <w:rsid w:val="00CE6E58"/>
    <w:rsid w:val="00CE6E5E"/>
    <w:rsid w:val="00CE7043"/>
    <w:rsid w:val="00CE70E7"/>
    <w:rsid w:val="00CE71AB"/>
    <w:rsid w:val="00CE721F"/>
    <w:rsid w:val="00CE72AE"/>
    <w:rsid w:val="00CE737F"/>
    <w:rsid w:val="00CE744E"/>
    <w:rsid w:val="00CE7468"/>
    <w:rsid w:val="00CE74B1"/>
    <w:rsid w:val="00CE758D"/>
    <w:rsid w:val="00CE75A4"/>
    <w:rsid w:val="00CE75F7"/>
    <w:rsid w:val="00CE7638"/>
    <w:rsid w:val="00CE76BA"/>
    <w:rsid w:val="00CE787C"/>
    <w:rsid w:val="00CE7940"/>
    <w:rsid w:val="00CE79A9"/>
    <w:rsid w:val="00CE7A2D"/>
    <w:rsid w:val="00CE7A56"/>
    <w:rsid w:val="00CE7CD5"/>
    <w:rsid w:val="00CE7EB0"/>
    <w:rsid w:val="00CE7F7E"/>
    <w:rsid w:val="00CE7FED"/>
    <w:rsid w:val="00CF002D"/>
    <w:rsid w:val="00CF0067"/>
    <w:rsid w:val="00CF0141"/>
    <w:rsid w:val="00CF021A"/>
    <w:rsid w:val="00CF0290"/>
    <w:rsid w:val="00CF02AB"/>
    <w:rsid w:val="00CF02BC"/>
    <w:rsid w:val="00CF031C"/>
    <w:rsid w:val="00CF0371"/>
    <w:rsid w:val="00CF037C"/>
    <w:rsid w:val="00CF0478"/>
    <w:rsid w:val="00CF050D"/>
    <w:rsid w:val="00CF05CF"/>
    <w:rsid w:val="00CF074E"/>
    <w:rsid w:val="00CF0917"/>
    <w:rsid w:val="00CF0993"/>
    <w:rsid w:val="00CF09AE"/>
    <w:rsid w:val="00CF0AFA"/>
    <w:rsid w:val="00CF0C6E"/>
    <w:rsid w:val="00CF0C71"/>
    <w:rsid w:val="00CF0D08"/>
    <w:rsid w:val="00CF0D31"/>
    <w:rsid w:val="00CF0DEA"/>
    <w:rsid w:val="00CF0EB1"/>
    <w:rsid w:val="00CF0FC6"/>
    <w:rsid w:val="00CF1044"/>
    <w:rsid w:val="00CF1485"/>
    <w:rsid w:val="00CF14A2"/>
    <w:rsid w:val="00CF14B3"/>
    <w:rsid w:val="00CF16F4"/>
    <w:rsid w:val="00CF173C"/>
    <w:rsid w:val="00CF17DE"/>
    <w:rsid w:val="00CF17EF"/>
    <w:rsid w:val="00CF18AA"/>
    <w:rsid w:val="00CF18E4"/>
    <w:rsid w:val="00CF1939"/>
    <w:rsid w:val="00CF198A"/>
    <w:rsid w:val="00CF1997"/>
    <w:rsid w:val="00CF19E2"/>
    <w:rsid w:val="00CF19E3"/>
    <w:rsid w:val="00CF1B54"/>
    <w:rsid w:val="00CF1BBD"/>
    <w:rsid w:val="00CF1E67"/>
    <w:rsid w:val="00CF1F17"/>
    <w:rsid w:val="00CF1F8A"/>
    <w:rsid w:val="00CF20E4"/>
    <w:rsid w:val="00CF2103"/>
    <w:rsid w:val="00CF2148"/>
    <w:rsid w:val="00CF215F"/>
    <w:rsid w:val="00CF21D1"/>
    <w:rsid w:val="00CF2283"/>
    <w:rsid w:val="00CF22C2"/>
    <w:rsid w:val="00CF22E2"/>
    <w:rsid w:val="00CF23BC"/>
    <w:rsid w:val="00CF24C1"/>
    <w:rsid w:val="00CF257B"/>
    <w:rsid w:val="00CF2664"/>
    <w:rsid w:val="00CF2855"/>
    <w:rsid w:val="00CF28B3"/>
    <w:rsid w:val="00CF2A45"/>
    <w:rsid w:val="00CF2B56"/>
    <w:rsid w:val="00CF2BB7"/>
    <w:rsid w:val="00CF2DD2"/>
    <w:rsid w:val="00CF2EBB"/>
    <w:rsid w:val="00CF2F89"/>
    <w:rsid w:val="00CF2FE5"/>
    <w:rsid w:val="00CF30B2"/>
    <w:rsid w:val="00CF3173"/>
    <w:rsid w:val="00CF31C7"/>
    <w:rsid w:val="00CF31E1"/>
    <w:rsid w:val="00CF3236"/>
    <w:rsid w:val="00CF32B6"/>
    <w:rsid w:val="00CF32BF"/>
    <w:rsid w:val="00CF32DC"/>
    <w:rsid w:val="00CF3578"/>
    <w:rsid w:val="00CF3588"/>
    <w:rsid w:val="00CF36EF"/>
    <w:rsid w:val="00CF3819"/>
    <w:rsid w:val="00CF38B9"/>
    <w:rsid w:val="00CF3941"/>
    <w:rsid w:val="00CF39E3"/>
    <w:rsid w:val="00CF3A8D"/>
    <w:rsid w:val="00CF3B22"/>
    <w:rsid w:val="00CF3C08"/>
    <w:rsid w:val="00CF3CF7"/>
    <w:rsid w:val="00CF3E20"/>
    <w:rsid w:val="00CF3EA3"/>
    <w:rsid w:val="00CF4024"/>
    <w:rsid w:val="00CF4208"/>
    <w:rsid w:val="00CF428A"/>
    <w:rsid w:val="00CF4382"/>
    <w:rsid w:val="00CF43CE"/>
    <w:rsid w:val="00CF4628"/>
    <w:rsid w:val="00CF462B"/>
    <w:rsid w:val="00CF467E"/>
    <w:rsid w:val="00CF4AE4"/>
    <w:rsid w:val="00CF4B8E"/>
    <w:rsid w:val="00CF4C85"/>
    <w:rsid w:val="00CF4D2C"/>
    <w:rsid w:val="00CF4D8C"/>
    <w:rsid w:val="00CF4DCF"/>
    <w:rsid w:val="00CF4E0A"/>
    <w:rsid w:val="00CF4E12"/>
    <w:rsid w:val="00CF4EBC"/>
    <w:rsid w:val="00CF4EF0"/>
    <w:rsid w:val="00CF4F2F"/>
    <w:rsid w:val="00CF4F58"/>
    <w:rsid w:val="00CF502A"/>
    <w:rsid w:val="00CF51A1"/>
    <w:rsid w:val="00CF5292"/>
    <w:rsid w:val="00CF52AA"/>
    <w:rsid w:val="00CF53EF"/>
    <w:rsid w:val="00CF53F2"/>
    <w:rsid w:val="00CF5411"/>
    <w:rsid w:val="00CF5551"/>
    <w:rsid w:val="00CF56A1"/>
    <w:rsid w:val="00CF573E"/>
    <w:rsid w:val="00CF5787"/>
    <w:rsid w:val="00CF5850"/>
    <w:rsid w:val="00CF5854"/>
    <w:rsid w:val="00CF591C"/>
    <w:rsid w:val="00CF596A"/>
    <w:rsid w:val="00CF5A2B"/>
    <w:rsid w:val="00CF5A74"/>
    <w:rsid w:val="00CF5BD9"/>
    <w:rsid w:val="00CF5C06"/>
    <w:rsid w:val="00CF5C2D"/>
    <w:rsid w:val="00CF5D0A"/>
    <w:rsid w:val="00CF5D42"/>
    <w:rsid w:val="00CF5DEA"/>
    <w:rsid w:val="00CF5DFB"/>
    <w:rsid w:val="00CF612A"/>
    <w:rsid w:val="00CF618B"/>
    <w:rsid w:val="00CF6350"/>
    <w:rsid w:val="00CF6357"/>
    <w:rsid w:val="00CF639E"/>
    <w:rsid w:val="00CF645D"/>
    <w:rsid w:val="00CF646B"/>
    <w:rsid w:val="00CF66FC"/>
    <w:rsid w:val="00CF670D"/>
    <w:rsid w:val="00CF6710"/>
    <w:rsid w:val="00CF67B7"/>
    <w:rsid w:val="00CF683A"/>
    <w:rsid w:val="00CF69FF"/>
    <w:rsid w:val="00CF6AA3"/>
    <w:rsid w:val="00CF6AB2"/>
    <w:rsid w:val="00CF6AB6"/>
    <w:rsid w:val="00CF6C99"/>
    <w:rsid w:val="00CF6CA6"/>
    <w:rsid w:val="00CF6D7C"/>
    <w:rsid w:val="00CF6DEC"/>
    <w:rsid w:val="00CF6E98"/>
    <w:rsid w:val="00CF6F94"/>
    <w:rsid w:val="00CF7010"/>
    <w:rsid w:val="00CF70BE"/>
    <w:rsid w:val="00CF713D"/>
    <w:rsid w:val="00CF71BE"/>
    <w:rsid w:val="00CF732C"/>
    <w:rsid w:val="00CF73D8"/>
    <w:rsid w:val="00CF7429"/>
    <w:rsid w:val="00CF74AB"/>
    <w:rsid w:val="00CF7521"/>
    <w:rsid w:val="00CF757B"/>
    <w:rsid w:val="00CF75C1"/>
    <w:rsid w:val="00CF765F"/>
    <w:rsid w:val="00CF772E"/>
    <w:rsid w:val="00CF780E"/>
    <w:rsid w:val="00CF7810"/>
    <w:rsid w:val="00CF788C"/>
    <w:rsid w:val="00CF78A7"/>
    <w:rsid w:val="00CF7A06"/>
    <w:rsid w:val="00CF7BD6"/>
    <w:rsid w:val="00CF7C25"/>
    <w:rsid w:val="00CF7C79"/>
    <w:rsid w:val="00CF7CA9"/>
    <w:rsid w:val="00CF7CB0"/>
    <w:rsid w:val="00CF7D3C"/>
    <w:rsid w:val="00D00080"/>
    <w:rsid w:val="00D000FF"/>
    <w:rsid w:val="00D0034D"/>
    <w:rsid w:val="00D0051D"/>
    <w:rsid w:val="00D00665"/>
    <w:rsid w:val="00D0068A"/>
    <w:rsid w:val="00D006DD"/>
    <w:rsid w:val="00D008AA"/>
    <w:rsid w:val="00D009C2"/>
    <w:rsid w:val="00D00C1A"/>
    <w:rsid w:val="00D00C1D"/>
    <w:rsid w:val="00D00D6E"/>
    <w:rsid w:val="00D00FAD"/>
    <w:rsid w:val="00D00FCA"/>
    <w:rsid w:val="00D01046"/>
    <w:rsid w:val="00D010C6"/>
    <w:rsid w:val="00D01226"/>
    <w:rsid w:val="00D01607"/>
    <w:rsid w:val="00D01711"/>
    <w:rsid w:val="00D01840"/>
    <w:rsid w:val="00D01883"/>
    <w:rsid w:val="00D018C3"/>
    <w:rsid w:val="00D018C9"/>
    <w:rsid w:val="00D01AA2"/>
    <w:rsid w:val="00D01AD0"/>
    <w:rsid w:val="00D01D2D"/>
    <w:rsid w:val="00D01D4D"/>
    <w:rsid w:val="00D01D62"/>
    <w:rsid w:val="00D01F09"/>
    <w:rsid w:val="00D020BD"/>
    <w:rsid w:val="00D020E4"/>
    <w:rsid w:val="00D023E9"/>
    <w:rsid w:val="00D02485"/>
    <w:rsid w:val="00D02582"/>
    <w:rsid w:val="00D02647"/>
    <w:rsid w:val="00D02737"/>
    <w:rsid w:val="00D02792"/>
    <w:rsid w:val="00D029D9"/>
    <w:rsid w:val="00D02A38"/>
    <w:rsid w:val="00D02A58"/>
    <w:rsid w:val="00D02C0E"/>
    <w:rsid w:val="00D02D92"/>
    <w:rsid w:val="00D02F77"/>
    <w:rsid w:val="00D02FA4"/>
    <w:rsid w:val="00D02FE2"/>
    <w:rsid w:val="00D031B3"/>
    <w:rsid w:val="00D03248"/>
    <w:rsid w:val="00D03293"/>
    <w:rsid w:val="00D03680"/>
    <w:rsid w:val="00D03753"/>
    <w:rsid w:val="00D03B33"/>
    <w:rsid w:val="00D03B78"/>
    <w:rsid w:val="00D03BB8"/>
    <w:rsid w:val="00D03E47"/>
    <w:rsid w:val="00D03E4E"/>
    <w:rsid w:val="00D03E4F"/>
    <w:rsid w:val="00D03EBD"/>
    <w:rsid w:val="00D03F71"/>
    <w:rsid w:val="00D041AE"/>
    <w:rsid w:val="00D041C7"/>
    <w:rsid w:val="00D042A3"/>
    <w:rsid w:val="00D042A8"/>
    <w:rsid w:val="00D044BD"/>
    <w:rsid w:val="00D044D5"/>
    <w:rsid w:val="00D04726"/>
    <w:rsid w:val="00D047BC"/>
    <w:rsid w:val="00D04943"/>
    <w:rsid w:val="00D04A0C"/>
    <w:rsid w:val="00D04A42"/>
    <w:rsid w:val="00D04A59"/>
    <w:rsid w:val="00D04A5E"/>
    <w:rsid w:val="00D04BA8"/>
    <w:rsid w:val="00D04BDA"/>
    <w:rsid w:val="00D04DD9"/>
    <w:rsid w:val="00D05150"/>
    <w:rsid w:val="00D05154"/>
    <w:rsid w:val="00D05191"/>
    <w:rsid w:val="00D051CE"/>
    <w:rsid w:val="00D0521C"/>
    <w:rsid w:val="00D05257"/>
    <w:rsid w:val="00D05324"/>
    <w:rsid w:val="00D0552F"/>
    <w:rsid w:val="00D0561E"/>
    <w:rsid w:val="00D059A0"/>
    <w:rsid w:val="00D05A35"/>
    <w:rsid w:val="00D05CC4"/>
    <w:rsid w:val="00D05CE4"/>
    <w:rsid w:val="00D05DC3"/>
    <w:rsid w:val="00D05DFD"/>
    <w:rsid w:val="00D05E6D"/>
    <w:rsid w:val="00D05F44"/>
    <w:rsid w:val="00D0607E"/>
    <w:rsid w:val="00D061EA"/>
    <w:rsid w:val="00D0624B"/>
    <w:rsid w:val="00D062ED"/>
    <w:rsid w:val="00D06504"/>
    <w:rsid w:val="00D06587"/>
    <w:rsid w:val="00D06648"/>
    <w:rsid w:val="00D06695"/>
    <w:rsid w:val="00D0675E"/>
    <w:rsid w:val="00D067AB"/>
    <w:rsid w:val="00D06927"/>
    <w:rsid w:val="00D0698B"/>
    <w:rsid w:val="00D069D4"/>
    <w:rsid w:val="00D06A43"/>
    <w:rsid w:val="00D06B5E"/>
    <w:rsid w:val="00D06B73"/>
    <w:rsid w:val="00D06B75"/>
    <w:rsid w:val="00D06BCA"/>
    <w:rsid w:val="00D06BF1"/>
    <w:rsid w:val="00D06C47"/>
    <w:rsid w:val="00D06C82"/>
    <w:rsid w:val="00D06CAE"/>
    <w:rsid w:val="00D06D2B"/>
    <w:rsid w:val="00D06E22"/>
    <w:rsid w:val="00D06EB4"/>
    <w:rsid w:val="00D06F9E"/>
    <w:rsid w:val="00D06FE6"/>
    <w:rsid w:val="00D071A0"/>
    <w:rsid w:val="00D0722F"/>
    <w:rsid w:val="00D07235"/>
    <w:rsid w:val="00D07282"/>
    <w:rsid w:val="00D0730C"/>
    <w:rsid w:val="00D073E4"/>
    <w:rsid w:val="00D074F1"/>
    <w:rsid w:val="00D0776E"/>
    <w:rsid w:val="00D077C0"/>
    <w:rsid w:val="00D07865"/>
    <w:rsid w:val="00D078BC"/>
    <w:rsid w:val="00D07A13"/>
    <w:rsid w:val="00D07A95"/>
    <w:rsid w:val="00D07B5E"/>
    <w:rsid w:val="00D07C36"/>
    <w:rsid w:val="00D07D6E"/>
    <w:rsid w:val="00D07E18"/>
    <w:rsid w:val="00D07EF9"/>
    <w:rsid w:val="00D10040"/>
    <w:rsid w:val="00D10164"/>
    <w:rsid w:val="00D1018C"/>
    <w:rsid w:val="00D10351"/>
    <w:rsid w:val="00D10497"/>
    <w:rsid w:val="00D10556"/>
    <w:rsid w:val="00D105F0"/>
    <w:rsid w:val="00D1065A"/>
    <w:rsid w:val="00D106BF"/>
    <w:rsid w:val="00D106C0"/>
    <w:rsid w:val="00D1072C"/>
    <w:rsid w:val="00D108DA"/>
    <w:rsid w:val="00D108E5"/>
    <w:rsid w:val="00D10B6A"/>
    <w:rsid w:val="00D10C0B"/>
    <w:rsid w:val="00D10C0E"/>
    <w:rsid w:val="00D10DD3"/>
    <w:rsid w:val="00D10E86"/>
    <w:rsid w:val="00D10F21"/>
    <w:rsid w:val="00D10FD2"/>
    <w:rsid w:val="00D1105E"/>
    <w:rsid w:val="00D110B1"/>
    <w:rsid w:val="00D111B5"/>
    <w:rsid w:val="00D1122F"/>
    <w:rsid w:val="00D1125A"/>
    <w:rsid w:val="00D112F8"/>
    <w:rsid w:val="00D11382"/>
    <w:rsid w:val="00D11418"/>
    <w:rsid w:val="00D114C2"/>
    <w:rsid w:val="00D11502"/>
    <w:rsid w:val="00D11533"/>
    <w:rsid w:val="00D1159F"/>
    <w:rsid w:val="00D115E2"/>
    <w:rsid w:val="00D11782"/>
    <w:rsid w:val="00D117EC"/>
    <w:rsid w:val="00D117F6"/>
    <w:rsid w:val="00D11831"/>
    <w:rsid w:val="00D1196E"/>
    <w:rsid w:val="00D11A7D"/>
    <w:rsid w:val="00D11A8C"/>
    <w:rsid w:val="00D11AD7"/>
    <w:rsid w:val="00D11B6D"/>
    <w:rsid w:val="00D11BD6"/>
    <w:rsid w:val="00D11BDE"/>
    <w:rsid w:val="00D11C98"/>
    <w:rsid w:val="00D11CB4"/>
    <w:rsid w:val="00D11D29"/>
    <w:rsid w:val="00D11DCE"/>
    <w:rsid w:val="00D11DD2"/>
    <w:rsid w:val="00D11EF9"/>
    <w:rsid w:val="00D11EFE"/>
    <w:rsid w:val="00D11F9B"/>
    <w:rsid w:val="00D12044"/>
    <w:rsid w:val="00D120FC"/>
    <w:rsid w:val="00D1214B"/>
    <w:rsid w:val="00D1217D"/>
    <w:rsid w:val="00D1227A"/>
    <w:rsid w:val="00D122E9"/>
    <w:rsid w:val="00D12447"/>
    <w:rsid w:val="00D1248C"/>
    <w:rsid w:val="00D12642"/>
    <w:rsid w:val="00D128FB"/>
    <w:rsid w:val="00D129D3"/>
    <w:rsid w:val="00D12A79"/>
    <w:rsid w:val="00D12ABE"/>
    <w:rsid w:val="00D12B2F"/>
    <w:rsid w:val="00D12BBE"/>
    <w:rsid w:val="00D12BED"/>
    <w:rsid w:val="00D12DB3"/>
    <w:rsid w:val="00D12EB1"/>
    <w:rsid w:val="00D12EE9"/>
    <w:rsid w:val="00D12F3E"/>
    <w:rsid w:val="00D13084"/>
    <w:rsid w:val="00D1309D"/>
    <w:rsid w:val="00D1313C"/>
    <w:rsid w:val="00D131BD"/>
    <w:rsid w:val="00D13257"/>
    <w:rsid w:val="00D132CE"/>
    <w:rsid w:val="00D13341"/>
    <w:rsid w:val="00D133D6"/>
    <w:rsid w:val="00D134BD"/>
    <w:rsid w:val="00D134D1"/>
    <w:rsid w:val="00D1350E"/>
    <w:rsid w:val="00D13537"/>
    <w:rsid w:val="00D1367A"/>
    <w:rsid w:val="00D13690"/>
    <w:rsid w:val="00D13A5A"/>
    <w:rsid w:val="00D13AA0"/>
    <w:rsid w:val="00D13AB6"/>
    <w:rsid w:val="00D13AD2"/>
    <w:rsid w:val="00D13B6C"/>
    <w:rsid w:val="00D13DF2"/>
    <w:rsid w:val="00D13E13"/>
    <w:rsid w:val="00D13E34"/>
    <w:rsid w:val="00D13E48"/>
    <w:rsid w:val="00D13E6A"/>
    <w:rsid w:val="00D13EC7"/>
    <w:rsid w:val="00D13F93"/>
    <w:rsid w:val="00D1404D"/>
    <w:rsid w:val="00D14081"/>
    <w:rsid w:val="00D140BD"/>
    <w:rsid w:val="00D142C6"/>
    <w:rsid w:val="00D1444E"/>
    <w:rsid w:val="00D14480"/>
    <w:rsid w:val="00D1453F"/>
    <w:rsid w:val="00D14556"/>
    <w:rsid w:val="00D14799"/>
    <w:rsid w:val="00D147EB"/>
    <w:rsid w:val="00D148DA"/>
    <w:rsid w:val="00D14955"/>
    <w:rsid w:val="00D14A83"/>
    <w:rsid w:val="00D14AF9"/>
    <w:rsid w:val="00D14B9E"/>
    <w:rsid w:val="00D14D67"/>
    <w:rsid w:val="00D150AA"/>
    <w:rsid w:val="00D150E4"/>
    <w:rsid w:val="00D15112"/>
    <w:rsid w:val="00D15124"/>
    <w:rsid w:val="00D15177"/>
    <w:rsid w:val="00D152C3"/>
    <w:rsid w:val="00D1538A"/>
    <w:rsid w:val="00D153BF"/>
    <w:rsid w:val="00D1551F"/>
    <w:rsid w:val="00D1560E"/>
    <w:rsid w:val="00D15769"/>
    <w:rsid w:val="00D15781"/>
    <w:rsid w:val="00D159CC"/>
    <w:rsid w:val="00D15ABA"/>
    <w:rsid w:val="00D15C87"/>
    <w:rsid w:val="00D15D27"/>
    <w:rsid w:val="00D15D41"/>
    <w:rsid w:val="00D15FB9"/>
    <w:rsid w:val="00D1604C"/>
    <w:rsid w:val="00D16065"/>
    <w:rsid w:val="00D161DC"/>
    <w:rsid w:val="00D16360"/>
    <w:rsid w:val="00D163D0"/>
    <w:rsid w:val="00D163F9"/>
    <w:rsid w:val="00D164EE"/>
    <w:rsid w:val="00D16590"/>
    <w:rsid w:val="00D16948"/>
    <w:rsid w:val="00D16AAD"/>
    <w:rsid w:val="00D16C3D"/>
    <w:rsid w:val="00D16C92"/>
    <w:rsid w:val="00D16E77"/>
    <w:rsid w:val="00D17080"/>
    <w:rsid w:val="00D170F9"/>
    <w:rsid w:val="00D17113"/>
    <w:rsid w:val="00D171C3"/>
    <w:rsid w:val="00D172A7"/>
    <w:rsid w:val="00D17514"/>
    <w:rsid w:val="00D17604"/>
    <w:rsid w:val="00D17759"/>
    <w:rsid w:val="00D177F6"/>
    <w:rsid w:val="00D1787E"/>
    <w:rsid w:val="00D17A08"/>
    <w:rsid w:val="00D17B26"/>
    <w:rsid w:val="00D17CA4"/>
    <w:rsid w:val="00D17CB0"/>
    <w:rsid w:val="00D17E6C"/>
    <w:rsid w:val="00D20058"/>
    <w:rsid w:val="00D2010C"/>
    <w:rsid w:val="00D20120"/>
    <w:rsid w:val="00D201C7"/>
    <w:rsid w:val="00D20202"/>
    <w:rsid w:val="00D2034C"/>
    <w:rsid w:val="00D2036E"/>
    <w:rsid w:val="00D20437"/>
    <w:rsid w:val="00D20499"/>
    <w:rsid w:val="00D2055D"/>
    <w:rsid w:val="00D2061A"/>
    <w:rsid w:val="00D20634"/>
    <w:rsid w:val="00D2098C"/>
    <w:rsid w:val="00D20B6C"/>
    <w:rsid w:val="00D20D24"/>
    <w:rsid w:val="00D20D4E"/>
    <w:rsid w:val="00D20EFE"/>
    <w:rsid w:val="00D21010"/>
    <w:rsid w:val="00D21052"/>
    <w:rsid w:val="00D2109B"/>
    <w:rsid w:val="00D210CB"/>
    <w:rsid w:val="00D2126D"/>
    <w:rsid w:val="00D213CC"/>
    <w:rsid w:val="00D216E2"/>
    <w:rsid w:val="00D216FE"/>
    <w:rsid w:val="00D217D7"/>
    <w:rsid w:val="00D218EF"/>
    <w:rsid w:val="00D2193E"/>
    <w:rsid w:val="00D21996"/>
    <w:rsid w:val="00D219D1"/>
    <w:rsid w:val="00D21A67"/>
    <w:rsid w:val="00D21A77"/>
    <w:rsid w:val="00D21B67"/>
    <w:rsid w:val="00D21B83"/>
    <w:rsid w:val="00D21B89"/>
    <w:rsid w:val="00D21BF6"/>
    <w:rsid w:val="00D21CBF"/>
    <w:rsid w:val="00D21D0D"/>
    <w:rsid w:val="00D21DB4"/>
    <w:rsid w:val="00D21DEF"/>
    <w:rsid w:val="00D21E16"/>
    <w:rsid w:val="00D21EA8"/>
    <w:rsid w:val="00D21F51"/>
    <w:rsid w:val="00D22172"/>
    <w:rsid w:val="00D221B3"/>
    <w:rsid w:val="00D2223C"/>
    <w:rsid w:val="00D22297"/>
    <w:rsid w:val="00D223B3"/>
    <w:rsid w:val="00D223E1"/>
    <w:rsid w:val="00D223FA"/>
    <w:rsid w:val="00D2252F"/>
    <w:rsid w:val="00D2256A"/>
    <w:rsid w:val="00D2259E"/>
    <w:rsid w:val="00D2269C"/>
    <w:rsid w:val="00D226E6"/>
    <w:rsid w:val="00D22772"/>
    <w:rsid w:val="00D228AB"/>
    <w:rsid w:val="00D229C7"/>
    <w:rsid w:val="00D22A56"/>
    <w:rsid w:val="00D22AD8"/>
    <w:rsid w:val="00D22B1E"/>
    <w:rsid w:val="00D22B44"/>
    <w:rsid w:val="00D22D6A"/>
    <w:rsid w:val="00D22DB7"/>
    <w:rsid w:val="00D22E3F"/>
    <w:rsid w:val="00D22E8C"/>
    <w:rsid w:val="00D2305E"/>
    <w:rsid w:val="00D232E4"/>
    <w:rsid w:val="00D2335E"/>
    <w:rsid w:val="00D23551"/>
    <w:rsid w:val="00D235D5"/>
    <w:rsid w:val="00D236E9"/>
    <w:rsid w:val="00D236FD"/>
    <w:rsid w:val="00D23776"/>
    <w:rsid w:val="00D23819"/>
    <w:rsid w:val="00D23856"/>
    <w:rsid w:val="00D23C93"/>
    <w:rsid w:val="00D23CD7"/>
    <w:rsid w:val="00D23DCB"/>
    <w:rsid w:val="00D23E60"/>
    <w:rsid w:val="00D23F7B"/>
    <w:rsid w:val="00D23F8C"/>
    <w:rsid w:val="00D23FAF"/>
    <w:rsid w:val="00D23FF5"/>
    <w:rsid w:val="00D24085"/>
    <w:rsid w:val="00D2416A"/>
    <w:rsid w:val="00D24219"/>
    <w:rsid w:val="00D244F9"/>
    <w:rsid w:val="00D24563"/>
    <w:rsid w:val="00D24614"/>
    <w:rsid w:val="00D2476B"/>
    <w:rsid w:val="00D247F9"/>
    <w:rsid w:val="00D2487B"/>
    <w:rsid w:val="00D2488A"/>
    <w:rsid w:val="00D2498F"/>
    <w:rsid w:val="00D24BE9"/>
    <w:rsid w:val="00D24C3A"/>
    <w:rsid w:val="00D24CC2"/>
    <w:rsid w:val="00D24D9A"/>
    <w:rsid w:val="00D24E2F"/>
    <w:rsid w:val="00D25053"/>
    <w:rsid w:val="00D25108"/>
    <w:rsid w:val="00D25122"/>
    <w:rsid w:val="00D251F8"/>
    <w:rsid w:val="00D252A6"/>
    <w:rsid w:val="00D252EF"/>
    <w:rsid w:val="00D2540D"/>
    <w:rsid w:val="00D25563"/>
    <w:rsid w:val="00D25655"/>
    <w:rsid w:val="00D25693"/>
    <w:rsid w:val="00D256A7"/>
    <w:rsid w:val="00D25772"/>
    <w:rsid w:val="00D257B4"/>
    <w:rsid w:val="00D257BD"/>
    <w:rsid w:val="00D258FB"/>
    <w:rsid w:val="00D259B0"/>
    <w:rsid w:val="00D25A6A"/>
    <w:rsid w:val="00D25C03"/>
    <w:rsid w:val="00D25D37"/>
    <w:rsid w:val="00D25D47"/>
    <w:rsid w:val="00D25E15"/>
    <w:rsid w:val="00D25EE0"/>
    <w:rsid w:val="00D25F71"/>
    <w:rsid w:val="00D25FF6"/>
    <w:rsid w:val="00D260FE"/>
    <w:rsid w:val="00D261F4"/>
    <w:rsid w:val="00D26210"/>
    <w:rsid w:val="00D263B4"/>
    <w:rsid w:val="00D263D3"/>
    <w:rsid w:val="00D2641A"/>
    <w:rsid w:val="00D2643D"/>
    <w:rsid w:val="00D26450"/>
    <w:rsid w:val="00D264E4"/>
    <w:rsid w:val="00D26506"/>
    <w:rsid w:val="00D265A0"/>
    <w:rsid w:val="00D2675C"/>
    <w:rsid w:val="00D2677B"/>
    <w:rsid w:val="00D2683F"/>
    <w:rsid w:val="00D26873"/>
    <w:rsid w:val="00D2688A"/>
    <w:rsid w:val="00D26A23"/>
    <w:rsid w:val="00D26BBC"/>
    <w:rsid w:val="00D26C17"/>
    <w:rsid w:val="00D26C8D"/>
    <w:rsid w:val="00D26F27"/>
    <w:rsid w:val="00D27133"/>
    <w:rsid w:val="00D27150"/>
    <w:rsid w:val="00D271DD"/>
    <w:rsid w:val="00D27204"/>
    <w:rsid w:val="00D27282"/>
    <w:rsid w:val="00D27294"/>
    <w:rsid w:val="00D273D4"/>
    <w:rsid w:val="00D274FD"/>
    <w:rsid w:val="00D275F8"/>
    <w:rsid w:val="00D27A73"/>
    <w:rsid w:val="00D27A9C"/>
    <w:rsid w:val="00D27B9B"/>
    <w:rsid w:val="00D27D13"/>
    <w:rsid w:val="00D27D4B"/>
    <w:rsid w:val="00D27E9B"/>
    <w:rsid w:val="00D27F5B"/>
    <w:rsid w:val="00D27FF2"/>
    <w:rsid w:val="00D30003"/>
    <w:rsid w:val="00D30101"/>
    <w:rsid w:val="00D30273"/>
    <w:rsid w:val="00D3031C"/>
    <w:rsid w:val="00D3035D"/>
    <w:rsid w:val="00D304E3"/>
    <w:rsid w:val="00D30529"/>
    <w:rsid w:val="00D3062D"/>
    <w:rsid w:val="00D30668"/>
    <w:rsid w:val="00D30753"/>
    <w:rsid w:val="00D30894"/>
    <w:rsid w:val="00D3089E"/>
    <w:rsid w:val="00D30962"/>
    <w:rsid w:val="00D309EA"/>
    <w:rsid w:val="00D30A1E"/>
    <w:rsid w:val="00D30AC1"/>
    <w:rsid w:val="00D30BA5"/>
    <w:rsid w:val="00D30FB3"/>
    <w:rsid w:val="00D3107F"/>
    <w:rsid w:val="00D31162"/>
    <w:rsid w:val="00D31177"/>
    <w:rsid w:val="00D31185"/>
    <w:rsid w:val="00D31218"/>
    <w:rsid w:val="00D31276"/>
    <w:rsid w:val="00D312FA"/>
    <w:rsid w:val="00D313A7"/>
    <w:rsid w:val="00D314CC"/>
    <w:rsid w:val="00D31594"/>
    <w:rsid w:val="00D316A9"/>
    <w:rsid w:val="00D3194C"/>
    <w:rsid w:val="00D31A13"/>
    <w:rsid w:val="00D31C0E"/>
    <w:rsid w:val="00D31D00"/>
    <w:rsid w:val="00D31D64"/>
    <w:rsid w:val="00D31D9D"/>
    <w:rsid w:val="00D31DE0"/>
    <w:rsid w:val="00D31DE3"/>
    <w:rsid w:val="00D31FAA"/>
    <w:rsid w:val="00D31FB0"/>
    <w:rsid w:val="00D3208B"/>
    <w:rsid w:val="00D3211E"/>
    <w:rsid w:val="00D3214F"/>
    <w:rsid w:val="00D32196"/>
    <w:rsid w:val="00D32294"/>
    <w:rsid w:val="00D322D4"/>
    <w:rsid w:val="00D3237C"/>
    <w:rsid w:val="00D324E5"/>
    <w:rsid w:val="00D32514"/>
    <w:rsid w:val="00D325BF"/>
    <w:rsid w:val="00D32934"/>
    <w:rsid w:val="00D3299A"/>
    <w:rsid w:val="00D32AD9"/>
    <w:rsid w:val="00D32AF4"/>
    <w:rsid w:val="00D32B6F"/>
    <w:rsid w:val="00D32B7E"/>
    <w:rsid w:val="00D32B96"/>
    <w:rsid w:val="00D32E52"/>
    <w:rsid w:val="00D32E59"/>
    <w:rsid w:val="00D32EB3"/>
    <w:rsid w:val="00D32F61"/>
    <w:rsid w:val="00D3303B"/>
    <w:rsid w:val="00D33080"/>
    <w:rsid w:val="00D33142"/>
    <w:rsid w:val="00D331AE"/>
    <w:rsid w:val="00D33254"/>
    <w:rsid w:val="00D33296"/>
    <w:rsid w:val="00D332A6"/>
    <w:rsid w:val="00D33335"/>
    <w:rsid w:val="00D3344B"/>
    <w:rsid w:val="00D334AF"/>
    <w:rsid w:val="00D336AC"/>
    <w:rsid w:val="00D337B3"/>
    <w:rsid w:val="00D338FD"/>
    <w:rsid w:val="00D33A36"/>
    <w:rsid w:val="00D33A7E"/>
    <w:rsid w:val="00D33CCB"/>
    <w:rsid w:val="00D33ECB"/>
    <w:rsid w:val="00D33EE3"/>
    <w:rsid w:val="00D33FA9"/>
    <w:rsid w:val="00D34138"/>
    <w:rsid w:val="00D3413E"/>
    <w:rsid w:val="00D341ED"/>
    <w:rsid w:val="00D3422F"/>
    <w:rsid w:val="00D34312"/>
    <w:rsid w:val="00D34346"/>
    <w:rsid w:val="00D343A9"/>
    <w:rsid w:val="00D343F7"/>
    <w:rsid w:val="00D343FC"/>
    <w:rsid w:val="00D34406"/>
    <w:rsid w:val="00D3445D"/>
    <w:rsid w:val="00D34589"/>
    <w:rsid w:val="00D34608"/>
    <w:rsid w:val="00D34667"/>
    <w:rsid w:val="00D347C7"/>
    <w:rsid w:val="00D34806"/>
    <w:rsid w:val="00D34811"/>
    <w:rsid w:val="00D3492A"/>
    <w:rsid w:val="00D34A30"/>
    <w:rsid w:val="00D34B56"/>
    <w:rsid w:val="00D34BCA"/>
    <w:rsid w:val="00D34CFE"/>
    <w:rsid w:val="00D34D65"/>
    <w:rsid w:val="00D34D90"/>
    <w:rsid w:val="00D34EE5"/>
    <w:rsid w:val="00D35094"/>
    <w:rsid w:val="00D3516C"/>
    <w:rsid w:val="00D35190"/>
    <w:rsid w:val="00D351A8"/>
    <w:rsid w:val="00D35215"/>
    <w:rsid w:val="00D353BE"/>
    <w:rsid w:val="00D353D4"/>
    <w:rsid w:val="00D3556C"/>
    <w:rsid w:val="00D355CA"/>
    <w:rsid w:val="00D355E1"/>
    <w:rsid w:val="00D356AD"/>
    <w:rsid w:val="00D356C3"/>
    <w:rsid w:val="00D357B1"/>
    <w:rsid w:val="00D357F5"/>
    <w:rsid w:val="00D358C3"/>
    <w:rsid w:val="00D359FA"/>
    <w:rsid w:val="00D35A1F"/>
    <w:rsid w:val="00D35A61"/>
    <w:rsid w:val="00D35B96"/>
    <w:rsid w:val="00D35C0C"/>
    <w:rsid w:val="00D35C46"/>
    <w:rsid w:val="00D35C5B"/>
    <w:rsid w:val="00D35C93"/>
    <w:rsid w:val="00D35D15"/>
    <w:rsid w:val="00D35D24"/>
    <w:rsid w:val="00D35D6F"/>
    <w:rsid w:val="00D35E95"/>
    <w:rsid w:val="00D35EB1"/>
    <w:rsid w:val="00D35F06"/>
    <w:rsid w:val="00D35F93"/>
    <w:rsid w:val="00D36087"/>
    <w:rsid w:val="00D3609A"/>
    <w:rsid w:val="00D360C1"/>
    <w:rsid w:val="00D3614D"/>
    <w:rsid w:val="00D36204"/>
    <w:rsid w:val="00D363DE"/>
    <w:rsid w:val="00D363EB"/>
    <w:rsid w:val="00D36411"/>
    <w:rsid w:val="00D36596"/>
    <w:rsid w:val="00D365DC"/>
    <w:rsid w:val="00D36616"/>
    <w:rsid w:val="00D3669B"/>
    <w:rsid w:val="00D367C0"/>
    <w:rsid w:val="00D368AB"/>
    <w:rsid w:val="00D36970"/>
    <w:rsid w:val="00D36A14"/>
    <w:rsid w:val="00D36AC3"/>
    <w:rsid w:val="00D36B13"/>
    <w:rsid w:val="00D36B67"/>
    <w:rsid w:val="00D36C8C"/>
    <w:rsid w:val="00D36F12"/>
    <w:rsid w:val="00D3705A"/>
    <w:rsid w:val="00D370A3"/>
    <w:rsid w:val="00D370F1"/>
    <w:rsid w:val="00D371CB"/>
    <w:rsid w:val="00D37388"/>
    <w:rsid w:val="00D374A8"/>
    <w:rsid w:val="00D37536"/>
    <w:rsid w:val="00D37551"/>
    <w:rsid w:val="00D37565"/>
    <w:rsid w:val="00D3768F"/>
    <w:rsid w:val="00D3782C"/>
    <w:rsid w:val="00D37B0A"/>
    <w:rsid w:val="00D37B21"/>
    <w:rsid w:val="00D37BE7"/>
    <w:rsid w:val="00D37BF6"/>
    <w:rsid w:val="00D37C6D"/>
    <w:rsid w:val="00D37D68"/>
    <w:rsid w:val="00D37DF0"/>
    <w:rsid w:val="00D37E6C"/>
    <w:rsid w:val="00D37EE0"/>
    <w:rsid w:val="00D37EF3"/>
    <w:rsid w:val="00D37F06"/>
    <w:rsid w:val="00D37F3F"/>
    <w:rsid w:val="00D37F5C"/>
    <w:rsid w:val="00D37FA8"/>
    <w:rsid w:val="00D37FCA"/>
    <w:rsid w:val="00D40092"/>
    <w:rsid w:val="00D401E1"/>
    <w:rsid w:val="00D40334"/>
    <w:rsid w:val="00D40413"/>
    <w:rsid w:val="00D40528"/>
    <w:rsid w:val="00D4065E"/>
    <w:rsid w:val="00D408B4"/>
    <w:rsid w:val="00D408C4"/>
    <w:rsid w:val="00D40906"/>
    <w:rsid w:val="00D40970"/>
    <w:rsid w:val="00D40A52"/>
    <w:rsid w:val="00D40A96"/>
    <w:rsid w:val="00D40B1F"/>
    <w:rsid w:val="00D40C05"/>
    <w:rsid w:val="00D40EE1"/>
    <w:rsid w:val="00D410D2"/>
    <w:rsid w:val="00D41123"/>
    <w:rsid w:val="00D41163"/>
    <w:rsid w:val="00D41172"/>
    <w:rsid w:val="00D41259"/>
    <w:rsid w:val="00D4130F"/>
    <w:rsid w:val="00D41358"/>
    <w:rsid w:val="00D41385"/>
    <w:rsid w:val="00D41730"/>
    <w:rsid w:val="00D4176B"/>
    <w:rsid w:val="00D417D9"/>
    <w:rsid w:val="00D41840"/>
    <w:rsid w:val="00D41866"/>
    <w:rsid w:val="00D41885"/>
    <w:rsid w:val="00D418E9"/>
    <w:rsid w:val="00D41BA6"/>
    <w:rsid w:val="00D41BB5"/>
    <w:rsid w:val="00D41BC7"/>
    <w:rsid w:val="00D41E6C"/>
    <w:rsid w:val="00D41E89"/>
    <w:rsid w:val="00D41F10"/>
    <w:rsid w:val="00D41F45"/>
    <w:rsid w:val="00D4206E"/>
    <w:rsid w:val="00D42152"/>
    <w:rsid w:val="00D42260"/>
    <w:rsid w:val="00D422B4"/>
    <w:rsid w:val="00D4248D"/>
    <w:rsid w:val="00D424A1"/>
    <w:rsid w:val="00D427EB"/>
    <w:rsid w:val="00D42882"/>
    <w:rsid w:val="00D428F6"/>
    <w:rsid w:val="00D42942"/>
    <w:rsid w:val="00D42A15"/>
    <w:rsid w:val="00D42A4D"/>
    <w:rsid w:val="00D42A5F"/>
    <w:rsid w:val="00D42BE2"/>
    <w:rsid w:val="00D42C6F"/>
    <w:rsid w:val="00D42D19"/>
    <w:rsid w:val="00D42D33"/>
    <w:rsid w:val="00D42E14"/>
    <w:rsid w:val="00D42E85"/>
    <w:rsid w:val="00D42EE2"/>
    <w:rsid w:val="00D42F1B"/>
    <w:rsid w:val="00D42F28"/>
    <w:rsid w:val="00D42F71"/>
    <w:rsid w:val="00D42F9D"/>
    <w:rsid w:val="00D42FE0"/>
    <w:rsid w:val="00D42FFC"/>
    <w:rsid w:val="00D43008"/>
    <w:rsid w:val="00D4307F"/>
    <w:rsid w:val="00D430E6"/>
    <w:rsid w:val="00D433C1"/>
    <w:rsid w:val="00D433E8"/>
    <w:rsid w:val="00D43460"/>
    <w:rsid w:val="00D434B2"/>
    <w:rsid w:val="00D43506"/>
    <w:rsid w:val="00D436A9"/>
    <w:rsid w:val="00D436C2"/>
    <w:rsid w:val="00D43812"/>
    <w:rsid w:val="00D43883"/>
    <w:rsid w:val="00D43A2F"/>
    <w:rsid w:val="00D43A37"/>
    <w:rsid w:val="00D43A3C"/>
    <w:rsid w:val="00D43AD0"/>
    <w:rsid w:val="00D43AE7"/>
    <w:rsid w:val="00D43B1C"/>
    <w:rsid w:val="00D43CF1"/>
    <w:rsid w:val="00D43E4E"/>
    <w:rsid w:val="00D44071"/>
    <w:rsid w:val="00D44093"/>
    <w:rsid w:val="00D44101"/>
    <w:rsid w:val="00D4416D"/>
    <w:rsid w:val="00D444E5"/>
    <w:rsid w:val="00D445E2"/>
    <w:rsid w:val="00D445FF"/>
    <w:rsid w:val="00D446EB"/>
    <w:rsid w:val="00D44771"/>
    <w:rsid w:val="00D447B4"/>
    <w:rsid w:val="00D448D2"/>
    <w:rsid w:val="00D44A38"/>
    <w:rsid w:val="00D44A42"/>
    <w:rsid w:val="00D44A79"/>
    <w:rsid w:val="00D44C52"/>
    <w:rsid w:val="00D44D2D"/>
    <w:rsid w:val="00D44DF8"/>
    <w:rsid w:val="00D44E56"/>
    <w:rsid w:val="00D44EF4"/>
    <w:rsid w:val="00D44F59"/>
    <w:rsid w:val="00D4500C"/>
    <w:rsid w:val="00D450CB"/>
    <w:rsid w:val="00D452C2"/>
    <w:rsid w:val="00D45502"/>
    <w:rsid w:val="00D4552B"/>
    <w:rsid w:val="00D4559D"/>
    <w:rsid w:val="00D4560E"/>
    <w:rsid w:val="00D45620"/>
    <w:rsid w:val="00D45803"/>
    <w:rsid w:val="00D4593E"/>
    <w:rsid w:val="00D459BB"/>
    <w:rsid w:val="00D45A6D"/>
    <w:rsid w:val="00D45B32"/>
    <w:rsid w:val="00D45B37"/>
    <w:rsid w:val="00D45DA8"/>
    <w:rsid w:val="00D45E44"/>
    <w:rsid w:val="00D4605B"/>
    <w:rsid w:val="00D46146"/>
    <w:rsid w:val="00D46291"/>
    <w:rsid w:val="00D4639C"/>
    <w:rsid w:val="00D463FD"/>
    <w:rsid w:val="00D464D7"/>
    <w:rsid w:val="00D46538"/>
    <w:rsid w:val="00D46549"/>
    <w:rsid w:val="00D46591"/>
    <w:rsid w:val="00D465EA"/>
    <w:rsid w:val="00D466C2"/>
    <w:rsid w:val="00D467C4"/>
    <w:rsid w:val="00D467FB"/>
    <w:rsid w:val="00D469EB"/>
    <w:rsid w:val="00D46ACC"/>
    <w:rsid w:val="00D46BF0"/>
    <w:rsid w:val="00D46C3D"/>
    <w:rsid w:val="00D46C54"/>
    <w:rsid w:val="00D46C62"/>
    <w:rsid w:val="00D46C9F"/>
    <w:rsid w:val="00D46CDD"/>
    <w:rsid w:val="00D46D09"/>
    <w:rsid w:val="00D46D71"/>
    <w:rsid w:val="00D46DA3"/>
    <w:rsid w:val="00D47068"/>
    <w:rsid w:val="00D4714F"/>
    <w:rsid w:val="00D472AF"/>
    <w:rsid w:val="00D473A1"/>
    <w:rsid w:val="00D473E1"/>
    <w:rsid w:val="00D47694"/>
    <w:rsid w:val="00D476C0"/>
    <w:rsid w:val="00D4774A"/>
    <w:rsid w:val="00D47760"/>
    <w:rsid w:val="00D47762"/>
    <w:rsid w:val="00D47889"/>
    <w:rsid w:val="00D47897"/>
    <w:rsid w:val="00D478B9"/>
    <w:rsid w:val="00D47955"/>
    <w:rsid w:val="00D479E0"/>
    <w:rsid w:val="00D479F2"/>
    <w:rsid w:val="00D47A01"/>
    <w:rsid w:val="00D47A26"/>
    <w:rsid w:val="00D47B49"/>
    <w:rsid w:val="00D47BE2"/>
    <w:rsid w:val="00D47C4F"/>
    <w:rsid w:val="00D501A4"/>
    <w:rsid w:val="00D501BB"/>
    <w:rsid w:val="00D5020C"/>
    <w:rsid w:val="00D5025E"/>
    <w:rsid w:val="00D50265"/>
    <w:rsid w:val="00D502C8"/>
    <w:rsid w:val="00D50407"/>
    <w:rsid w:val="00D50506"/>
    <w:rsid w:val="00D506AA"/>
    <w:rsid w:val="00D50737"/>
    <w:rsid w:val="00D50921"/>
    <w:rsid w:val="00D50A18"/>
    <w:rsid w:val="00D50A6E"/>
    <w:rsid w:val="00D50AB8"/>
    <w:rsid w:val="00D50ABC"/>
    <w:rsid w:val="00D50C86"/>
    <w:rsid w:val="00D50C92"/>
    <w:rsid w:val="00D50E58"/>
    <w:rsid w:val="00D51109"/>
    <w:rsid w:val="00D51196"/>
    <w:rsid w:val="00D51243"/>
    <w:rsid w:val="00D512A0"/>
    <w:rsid w:val="00D51303"/>
    <w:rsid w:val="00D5154A"/>
    <w:rsid w:val="00D51588"/>
    <w:rsid w:val="00D51605"/>
    <w:rsid w:val="00D51674"/>
    <w:rsid w:val="00D516A0"/>
    <w:rsid w:val="00D51714"/>
    <w:rsid w:val="00D51735"/>
    <w:rsid w:val="00D51819"/>
    <w:rsid w:val="00D518A0"/>
    <w:rsid w:val="00D51980"/>
    <w:rsid w:val="00D5198C"/>
    <w:rsid w:val="00D51996"/>
    <w:rsid w:val="00D51C3F"/>
    <w:rsid w:val="00D51CE4"/>
    <w:rsid w:val="00D51DDF"/>
    <w:rsid w:val="00D51E8B"/>
    <w:rsid w:val="00D5201F"/>
    <w:rsid w:val="00D520DF"/>
    <w:rsid w:val="00D520E1"/>
    <w:rsid w:val="00D52113"/>
    <w:rsid w:val="00D52175"/>
    <w:rsid w:val="00D5219E"/>
    <w:rsid w:val="00D52326"/>
    <w:rsid w:val="00D52366"/>
    <w:rsid w:val="00D5245B"/>
    <w:rsid w:val="00D524B3"/>
    <w:rsid w:val="00D524C8"/>
    <w:rsid w:val="00D525CC"/>
    <w:rsid w:val="00D525DD"/>
    <w:rsid w:val="00D526DF"/>
    <w:rsid w:val="00D5271C"/>
    <w:rsid w:val="00D527C3"/>
    <w:rsid w:val="00D527CF"/>
    <w:rsid w:val="00D52999"/>
    <w:rsid w:val="00D52B61"/>
    <w:rsid w:val="00D52BF6"/>
    <w:rsid w:val="00D52CD3"/>
    <w:rsid w:val="00D52D67"/>
    <w:rsid w:val="00D52D85"/>
    <w:rsid w:val="00D52E9C"/>
    <w:rsid w:val="00D52FAA"/>
    <w:rsid w:val="00D53108"/>
    <w:rsid w:val="00D531BF"/>
    <w:rsid w:val="00D5343B"/>
    <w:rsid w:val="00D534DF"/>
    <w:rsid w:val="00D535A8"/>
    <w:rsid w:val="00D536A8"/>
    <w:rsid w:val="00D536BD"/>
    <w:rsid w:val="00D53BAB"/>
    <w:rsid w:val="00D53C69"/>
    <w:rsid w:val="00D53CCB"/>
    <w:rsid w:val="00D53DAF"/>
    <w:rsid w:val="00D53E8A"/>
    <w:rsid w:val="00D54034"/>
    <w:rsid w:val="00D5422E"/>
    <w:rsid w:val="00D542E6"/>
    <w:rsid w:val="00D54485"/>
    <w:rsid w:val="00D544D9"/>
    <w:rsid w:val="00D544EB"/>
    <w:rsid w:val="00D545B5"/>
    <w:rsid w:val="00D546D1"/>
    <w:rsid w:val="00D5471E"/>
    <w:rsid w:val="00D54762"/>
    <w:rsid w:val="00D547C0"/>
    <w:rsid w:val="00D549CA"/>
    <w:rsid w:val="00D549CF"/>
    <w:rsid w:val="00D54B71"/>
    <w:rsid w:val="00D54C77"/>
    <w:rsid w:val="00D54D65"/>
    <w:rsid w:val="00D54E35"/>
    <w:rsid w:val="00D54F47"/>
    <w:rsid w:val="00D54FD1"/>
    <w:rsid w:val="00D5503F"/>
    <w:rsid w:val="00D5506C"/>
    <w:rsid w:val="00D550C5"/>
    <w:rsid w:val="00D550D3"/>
    <w:rsid w:val="00D55169"/>
    <w:rsid w:val="00D551BF"/>
    <w:rsid w:val="00D5525D"/>
    <w:rsid w:val="00D55281"/>
    <w:rsid w:val="00D5536B"/>
    <w:rsid w:val="00D5538B"/>
    <w:rsid w:val="00D55594"/>
    <w:rsid w:val="00D5569B"/>
    <w:rsid w:val="00D5574A"/>
    <w:rsid w:val="00D557B6"/>
    <w:rsid w:val="00D5591F"/>
    <w:rsid w:val="00D5599C"/>
    <w:rsid w:val="00D55A67"/>
    <w:rsid w:val="00D55A72"/>
    <w:rsid w:val="00D55AED"/>
    <w:rsid w:val="00D55BA3"/>
    <w:rsid w:val="00D55C8B"/>
    <w:rsid w:val="00D55CB6"/>
    <w:rsid w:val="00D55D42"/>
    <w:rsid w:val="00D55D66"/>
    <w:rsid w:val="00D55E5A"/>
    <w:rsid w:val="00D55E60"/>
    <w:rsid w:val="00D55E6A"/>
    <w:rsid w:val="00D55EDB"/>
    <w:rsid w:val="00D56104"/>
    <w:rsid w:val="00D56179"/>
    <w:rsid w:val="00D561F9"/>
    <w:rsid w:val="00D5634E"/>
    <w:rsid w:val="00D56594"/>
    <w:rsid w:val="00D565F2"/>
    <w:rsid w:val="00D5662F"/>
    <w:rsid w:val="00D56655"/>
    <w:rsid w:val="00D56AE0"/>
    <w:rsid w:val="00D56B1F"/>
    <w:rsid w:val="00D56B83"/>
    <w:rsid w:val="00D56CBA"/>
    <w:rsid w:val="00D56D40"/>
    <w:rsid w:val="00D56E91"/>
    <w:rsid w:val="00D57088"/>
    <w:rsid w:val="00D571D0"/>
    <w:rsid w:val="00D573A9"/>
    <w:rsid w:val="00D573FA"/>
    <w:rsid w:val="00D57689"/>
    <w:rsid w:val="00D577B4"/>
    <w:rsid w:val="00D57834"/>
    <w:rsid w:val="00D57871"/>
    <w:rsid w:val="00D578A2"/>
    <w:rsid w:val="00D578AB"/>
    <w:rsid w:val="00D5791A"/>
    <w:rsid w:val="00D5795C"/>
    <w:rsid w:val="00D57A05"/>
    <w:rsid w:val="00D57A29"/>
    <w:rsid w:val="00D57B2C"/>
    <w:rsid w:val="00D57DA1"/>
    <w:rsid w:val="00D57DF4"/>
    <w:rsid w:val="00D57E33"/>
    <w:rsid w:val="00D57EA4"/>
    <w:rsid w:val="00D57F39"/>
    <w:rsid w:val="00D57FC6"/>
    <w:rsid w:val="00D58DCD"/>
    <w:rsid w:val="00D60000"/>
    <w:rsid w:val="00D6008E"/>
    <w:rsid w:val="00D601C1"/>
    <w:rsid w:val="00D6023E"/>
    <w:rsid w:val="00D60257"/>
    <w:rsid w:val="00D60509"/>
    <w:rsid w:val="00D60525"/>
    <w:rsid w:val="00D6052E"/>
    <w:rsid w:val="00D606CA"/>
    <w:rsid w:val="00D6074C"/>
    <w:rsid w:val="00D60AB6"/>
    <w:rsid w:val="00D60BBC"/>
    <w:rsid w:val="00D60C0D"/>
    <w:rsid w:val="00D60CDC"/>
    <w:rsid w:val="00D60E76"/>
    <w:rsid w:val="00D60FF1"/>
    <w:rsid w:val="00D610BE"/>
    <w:rsid w:val="00D61255"/>
    <w:rsid w:val="00D6125D"/>
    <w:rsid w:val="00D61285"/>
    <w:rsid w:val="00D61609"/>
    <w:rsid w:val="00D61777"/>
    <w:rsid w:val="00D61783"/>
    <w:rsid w:val="00D617CA"/>
    <w:rsid w:val="00D61886"/>
    <w:rsid w:val="00D618B5"/>
    <w:rsid w:val="00D61937"/>
    <w:rsid w:val="00D619FF"/>
    <w:rsid w:val="00D61A08"/>
    <w:rsid w:val="00D61A1F"/>
    <w:rsid w:val="00D61A5C"/>
    <w:rsid w:val="00D61B53"/>
    <w:rsid w:val="00D61DAC"/>
    <w:rsid w:val="00D61F9B"/>
    <w:rsid w:val="00D62088"/>
    <w:rsid w:val="00D62095"/>
    <w:rsid w:val="00D621C6"/>
    <w:rsid w:val="00D621E0"/>
    <w:rsid w:val="00D6224A"/>
    <w:rsid w:val="00D62268"/>
    <w:rsid w:val="00D62567"/>
    <w:rsid w:val="00D62684"/>
    <w:rsid w:val="00D6274B"/>
    <w:rsid w:val="00D628BB"/>
    <w:rsid w:val="00D628BD"/>
    <w:rsid w:val="00D628C8"/>
    <w:rsid w:val="00D62903"/>
    <w:rsid w:val="00D62944"/>
    <w:rsid w:val="00D62950"/>
    <w:rsid w:val="00D6295D"/>
    <w:rsid w:val="00D62BB0"/>
    <w:rsid w:val="00D62C5B"/>
    <w:rsid w:val="00D62C5E"/>
    <w:rsid w:val="00D62CD5"/>
    <w:rsid w:val="00D62D38"/>
    <w:rsid w:val="00D62DB3"/>
    <w:rsid w:val="00D62E88"/>
    <w:rsid w:val="00D62F30"/>
    <w:rsid w:val="00D631BC"/>
    <w:rsid w:val="00D631C1"/>
    <w:rsid w:val="00D63223"/>
    <w:rsid w:val="00D6331B"/>
    <w:rsid w:val="00D63420"/>
    <w:rsid w:val="00D6350A"/>
    <w:rsid w:val="00D636D0"/>
    <w:rsid w:val="00D636E5"/>
    <w:rsid w:val="00D63733"/>
    <w:rsid w:val="00D637DD"/>
    <w:rsid w:val="00D6383D"/>
    <w:rsid w:val="00D639BF"/>
    <w:rsid w:val="00D639D0"/>
    <w:rsid w:val="00D63AE2"/>
    <w:rsid w:val="00D63C3C"/>
    <w:rsid w:val="00D63D20"/>
    <w:rsid w:val="00D63DC7"/>
    <w:rsid w:val="00D63FDA"/>
    <w:rsid w:val="00D6406F"/>
    <w:rsid w:val="00D642DB"/>
    <w:rsid w:val="00D64415"/>
    <w:rsid w:val="00D644A8"/>
    <w:rsid w:val="00D644EC"/>
    <w:rsid w:val="00D64504"/>
    <w:rsid w:val="00D645C1"/>
    <w:rsid w:val="00D64788"/>
    <w:rsid w:val="00D64803"/>
    <w:rsid w:val="00D6494C"/>
    <w:rsid w:val="00D64961"/>
    <w:rsid w:val="00D64A71"/>
    <w:rsid w:val="00D64AAF"/>
    <w:rsid w:val="00D64BF6"/>
    <w:rsid w:val="00D64C02"/>
    <w:rsid w:val="00D64CF5"/>
    <w:rsid w:val="00D64F0A"/>
    <w:rsid w:val="00D64F3F"/>
    <w:rsid w:val="00D64FA3"/>
    <w:rsid w:val="00D6507F"/>
    <w:rsid w:val="00D65099"/>
    <w:rsid w:val="00D651E5"/>
    <w:rsid w:val="00D65215"/>
    <w:rsid w:val="00D653CD"/>
    <w:rsid w:val="00D654FC"/>
    <w:rsid w:val="00D65520"/>
    <w:rsid w:val="00D65686"/>
    <w:rsid w:val="00D656C2"/>
    <w:rsid w:val="00D65782"/>
    <w:rsid w:val="00D657E6"/>
    <w:rsid w:val="00D65891"/>
    <w:rsid w:val="00D659DD"/>
    <w:rsid w:val="00D65A35"/>
    <w:rsid w:val="00D65AFF"/>
    <w:rsid w:val="00D65BC4"/>
    <w:rsid w:val="00D65BC7"/>
    <w:rsid w:val="00D65C21"/>
    <w:rsid w:val="00D65C80"/>
    <w:rsid w:val="00D65F7C"/>
    <w:rsid w:val="00D66082"/>
    <w:rsid w:val="00D660E1"/>
    <w:rsid w:val="00D661D7"/>
    <w:rsid w:val="00D6621B"/>
    <w:rsid w:val="00D6626D"/>
    <w:rsid w:val="00D6628D"/>
    <w:rsid w:val="00D66308"/>
    <w:rsid w:val="00D664CB"/>
    <w:rsid w:val="00D66522"/>
    <w:rsid w:val="00D66549"/>
    <w:rsid w:val="00D66581"/>
    <w:rsid w:val="00D6677C"/>
    <w:rsid w:val="00D667F2"/>
    <w:rsid w:val="00D668B2"/>
    <w:rsid w:val="00D66914"/>
    <w:rsid w:val="00D669C3"/>
    <w:rsid w:val="00D66A13"/>
    <w:rsid w:val="00D66A2E"/>
    <w:rsid w:val="00D66A4B"/>
    <w:rsid w:val="00D66B2C"/>
    <w:rsid w:val="00D66B63"/>
    <w:rsid w:val="00D66B7B"/>
    <w:rsid w:val="00D66C0B"/>
    <w:rsid w:val="00D66C55"/>
    <w:rsid w:val="00D66C8E"/>
    <w:rsid w:val="00D66CA9"/>
    <w:rsid w:val="00D66CAB"/>
    <w:rsid w:val="00D66D96"/>
    <w:rsid w:val="00D66E19"/>
    <w:rsid w:val="00D67012"/>
    <w:rsid w:val="00D6705F"/>
    <w:rsid w:val="00D67128"/>
    <w:rsid w:val="00D671D9"/>
    <w:rsid w:val="00D671E9"/>
    <w:rsid w:val="00D6723A"/>
    <w:rsid w:val="00D672DF"/>
    <w:rsid w:val="00D67315"/>
    <w:rsid w:val="00D6732A"/>
    <w:rsid w:val="00D673F9"/>
    <w:rsid w:val="00D67517"/>
    <w:rsid w:val="00D6779C"/>
    <w:rsid w:val="00D677B1"/>
    <w:rsid w:val="00D6789F"/>
    <w:rsid w:val="00D67A5D"/>
    <w:rsid w:val="00D67A81"/>
    <w:rsid w:val="00D67DA9"/>
    <w:rsid w:val="00D67F22"/>
    <w:rsid w:val="00D6C478"/>
    <w:rsid w:val="00D6C56C"/>
    <w:rsid w:val="00D7003E"/>
    <w:rsid w:val="00D7028F"/>
    <w:rsid w:val="00D703AA"/>
    <w:rsid w:val="00D70765"/>
    <w:rsid w:val="00D707C8"/>
    <w:rsid w:val="00D70805"/>
    <w:rsid w:val="00D70832"/>
    <w:rsid w:val="00D708C4"/>
    <w:rsid w:val="00D7092D"/>
    <w:rsid w:val="00D7099F"/>
    <w:rsid w:val="00D709F5"/>
    <w:rsid w:val="00D70AF8"/>
    <w:rsid w:val="00D70C10"/>
    <w:rsid w:val="00D70D13"/>
    <w:rsid w:val="00D70D84"/>
    <w:rsid w:val="00D70DEB"/>
    <w:rsid w:val="00D70E24"/>
    <w:rsid w:val="00D70F15"/>
    <w:rsid w:val="00D70FCC"/>
    <w:rsid w:val="00D710F0"/>
    <w:rsid w:val="00D71106"/>
    <w:rsid w:val="00D7113B"/>
    <w:rsid w:val="00D71169"/>
    <w:rsid w:val="00D7141C"/>
    <w:rsid w:val="00D7141F"/>
    <w:rsid w:val="00D71595"/>
    <w:rsid w:val="00D715B4"/>
    <w:rsid w:val="00D715E5"/>
    <w:rsid w:val="00D7180E"/>
    <w:rsid w:val="00D71860"/>
    <w:rsid w:val="00D718F8"/>
    <w:rsid w:val="00D71928"/>
    <w:rsid w:val="00D719CD"/>
    <w:rsid w:val="00D71A30"/>
    <w:rsid w:val="00D71AF8"/>
    <w:rsid w:val="00D71B63"/>
    <w:rsid w:val="00D71B8E"/>
    <w:rsid w:val="00D71BD5"/>
    <w:rsid w:val="00D71C1E"/>
    <w:rsid w:val="00D71CA4"/>
    <w:rsid w:val="00D71ECB"/>
    <w:rsid w:val="00D7201C"/>
    <w:rsid w:val="00D72051"/>
    <w:rsid w:val="00D72147"/>
    <w:rsid w:val="00D721DA"/>
    <w:rsid w:val="00D7229C"/>
    <w:rsid w:val="00D72439"/>
    <w:rsid w:val="00D72469"/>
    <w:rsid w:val="00D72498"/>
    <w:rsid w:val="00D7256F"/>
    <w:rsid w:val="00D72607"/>
    <w:rsid w:val="00D7264C"/>
    <w:rsid w:val="00D72659"/>
    <w:rsid w:val="00D727BE"/>
    <w:rsid w:val="00D728C3"/>
    <w:rsid w:val="00D728F0"/>
    <w:rsid w:val="00D7298C"/>
    <w:rsid w:val="00D729A0"/>
    <w:rsid w:val="00D72AE7"/>
    <w:rsid w:val="00D72B61"/>
    <w:rsid w:val="00D72C2A"/>
    <w:rsid w:val="00D72C50"/>
    <w:rsid w:val="00D72DEC"/>
    <w:rsid w:val="00D72E04"/>
    <w:rsid w:val="00D72E9F"/>
    <w:rsid w:val="00D72EED"/>
    <w:rsid w:val="00D72F36"/>
    <w:rsid w:val="00D72F5F"/>
    <w:rsid w:val="00D72FFF"/>
    <w:rsid w:val="00D7302F"/>
    <w:rsid w:val="00D73091"/>
    <w:rsid w:val="00D730D9"/>
    <w:rsid w:val="00D730ED"/>
    <w:rsid w:val="00D731FB"/>
    <w:rsid w:val="00D733BE"/>
    <w:rsid w:val="00D73438"/>
    <w:rsid w:val="00D73639"/>
    <w:rsid w:val="00D73720"/>
    <w:rsid w:val="00D73724"/>
    <w:rsid w:val="00D73B06"/>
    <w:rsid w:val="00D73B59"/>
    <w:rsid w:val="00D73D74"/>
    <w:rsid w:val="00D73D87"/>
    <w:rsid w:val="00D73E8D"/>
    <w:rsid w:val="00D73FBB"/>
    <w:rsid w:val="00D74003"/>
    <w:rsid w:val="00D74259"/>
    <w:rsid w:val="00D742E8"/>
    <w:rsid w:val="00D74317"/>
    <w:rsid w:val="00D7435B"/>
    <w:rsid w:val="00D743E4"/>
    <w:rsid w:val="00D74403"/>
    <w:rsid w:val="00D74432"/>
    <w:rsid w:val="00D7456E"/>
    <w:rsid w:val="00D745E7"/>
    <w:rsid w:val="00D745EE"/>
    <w:rsid w:val="00D7461F"/>
    <w:rsid w:val="00D74762"/>
    <w:rsid w:val="00D74796"/>
    <w:rsid w:val="00D74875"/>
    <w:rsid w:val="00D74A4B"/>
    <w:rsid w:val="00D74C28"/>
    <w:rsid w:val="00D74C6F"/>
    <w:rsid w:val="00D74D71"/>
    <w:rsid w:val="00D74F9D"/>
    <w:rsid w:val="00D74FC5"/>
    <w:rsid w:val="00D75060"/>
    <w:rsid w:val="00D751FE"/>
    <w:rsid w:val="00D75224"/>
    <w:rsid w:val="00D75243"/>
    <w:rsid w:val="00D7530C"/>
    <w:rsid w:val="00D753A8"/>
    <w:rsid w:val="00D753DA"/>
    <w:rsid w:val="00D75441"/>
    <w:rsid w:val="00D754CA"/>
    <w:rsid w:val="00D754DE"/>
    <w:rsid w:val="00D7588F"/>
    <w:rsid w:val="00D758B8"/>
    <w:rsid w:val="00D758FA"/>
    <w:rsid w:val="00D75AF1"/>
    <w:rsid w:val="00D75B06"/>
    <w:rsid w:val="00D75BA5"/>
    <w:rsid w:val="00D75BA9"/>
    <w:rsid w:val="00D75BAC"/>
    <w:rsid w:val="00D75BDA"/>
    <w:rsid w:val="00D75C98"/>
    <w:rsid w:val="00D75D4F"/>
    <w:rsid w:val="00D75DF0"/>
    <w:rsid w:val="00D75E28"/>
    <w:rsid w:val="00D76063"/>
    <w:rsid w:val="00D760BA"/>
    <w:rsid w:val="00D760EA"/>
    <w:rsid w:val="00D76135"/>
    <w:rsid w:val="00D76178"/>
    <w:rsid w:val="00D761F6"/>
    <w:rsid w:val="00D76218"/>
    <w:rsid w:val="00D76249"/>
    <w:rsid w:val="00D76295"/>
    <w:rsid w:val="00D762F0"/>
    <w:rsid w:val="00D763F1"/>
    <w:rsid w:val="00D7640B"/>
    <w:rsid w:val="00D7641A"/>
    <w:rsid w:val="00D76450"/>
    <w:rsid w:val="00D76563"/>
    <w:rsid w:val="00D76584"/>
    <w:rsid w:val="00D765A3"/>
    <w:rsid w:val="00D76859"/>
    <w:rsid w:val="00D769AE"/>
    <w:rsid w:val="00D76C3D"/>
    <w:rsid w:val="00D76C59"/>
    <w:rsid w:val="00D76DC9"/>
    <w:rsid w:val="00D770B1"/>
    <w:rsid w:val="00D77121"/>
    <w:rsid w:val="00D7718A"/>
    <w:rsid w:val="00D7732C"/>
    <w:rsid w:val="00D7734A"/>
    <w:rsid w:val="00D773E7"/>
    <w:rsid w:val="00D77484"/>
    <w:rsid w:val="00D774F4"/>
    <w:rsid w:val="00D77816"/>
    <w:rsid w:val="00D7793C"/>
    <w:rsid w:val="00D77941"/>
    <w:rsid w:val="00D7795F"/>
    <w:rsid w:val="00D779AC"/>
    <w:rsid w:val="00D77B8C"/>
    <w:rsid w:val="00D77BB5"/>
    <w:rsid w:val="00D77D4F"/>
    <w:rsid w:val="00D77FB5"/>
    <w:rsid w:val="00D7CAAC"/>
    <w:rsid w:val="00D800CB"/>
    <w:rsid w:val="00D800F6"/>
    <w:rsid w:val="00D8016A"/>
    <w:rsid w:val="00D801CC"/>
    <w:rsid w:val="00D80292"/>
    <w:rsid w:val="00D803E1"/>
    <w:rsid w:val="00D80420"/>
    <w:rsid w:val="00D8051C"/>
    <w:rsid w:val="00D80612"/>
    <w:rsid w:val="00D80626"/>
    <w:rsid w:val="00D80700"/>
    <w:rsid w:val="00D80747"/>
    <w:rsid w:val="00D80823"/>
    <w:rsid w:val="00D80976"/>
    <w:rsid w:val="00D809B2"/>
    <w:rsid w:val="00D80B67"/>
    <w:rsid w:val="00D80C0D"/>
    <w:rsid w:val="00D80C23"/>
    <w:rsid w:val="00D80CFB"/>
    <w:rsid w:val="00D80E03"/>
    <w:rsid w:val="00D80E18"/>
    <w:rsid w:val="00D80E91"/>
    <w:rsid w:val="00D80F53"/>
    <w:rsid w:val="00D80F61"/>
    <w:rsid w:val="00D80FCC"/>
    <w:rsid w:val="00D810EA"/>
    <w:rsid w:val="00D81136"/>
    <w:rsid w:val="00D8113F"/>
    <w:rsid w:val="00D81213"/>
    <w:rsid w:val="00D814A1"/>
    <w:rsid w:val="00D815D4"/>
    <w:rsid w:val="00D815F1"/>
    <w:rsid w:val="00D81743"/>
    <w:rsid w:val="00D817B7"/>
    <w:rsid w:val="00D817CA"/>
    <w:rsid w:val="00D81850"/>
    <w:rsid w:val="00D81A01"/>
    <w:rsid w:val="00D81B27"/>
    <w:rsid w:val="00D81C40"/>
    <w:rsid w:val="00D81E21"/>
    <w:rsid w:val="00D8210D"/>
    <w:rsid w:val="00D8214F"/>
    <w:rsid w:val="00D8220F"/>
    <w:rsid w:val="00D82280"/>
    <w:rsid w:val="00D82323"/>
    <w:rsid w:val="00D824EB"/>
    <w:rsid w:val="00D82511"/>
    <w:rsid w:val="00D8254A"/>
    <w:rsid w:val="00D8267E"/>
    <w:rsid w:val="00D82683"/>
    <w:rsid w:val="00D82758"/>
    <w:rsid w:val="00D827B8"/>
    <w:rsid w:val="00D827F3"/>
    <w:rsid w:val="00D82837"/>
    <w:rsid w:val="00D8289D"/>
    <w:rsid w:val="00D82990"/>
    <w:rsid w:val="00D82993"/>
    <w:rsid w:val="00D82ABE"/>
    <w:rsid w:val="00D82B2E"/>
    <w:rsid w:val="00D82BC9"/>
    <w:rsid w:val="00D82D05"/>
    <w:rsid w:val="00D82F38"/>
    <w:rsid w:val="00D8309D"/>
    <w:rsid w:val="00D830F3"/>
    <w:rsid w:val="00D8334C"/>
    <w:rsid w:val="00D833C6"/>
    <w:rsid w:val="00D833CD"/>
    <w:rsid w:val="00D83403"/>
    <w:rsid w:val="00D83455"/>
    <w:rsid w:val="00D8358C"/>
    <w:rsid w:val="00D83634"/>
    <w:rsid w:val="00D83729"/>
    <w:rsid w:val="00D83909"/>
    <w:rsid w:val="00D83B08"/>
    <w:rsid w:val="00D83B89"/>
    <w:rsid w:val="00D83BA1"/>
    <w:rsid w:val="00D83CA9"/>
    <w:rsid w:val="00D83CFA"/>
    <w:rsid w:val="00D83D36"/>
    <w:rsid w:val="00D83EDF"/>
    <w:rsid w:val="00D83F14"/>
    <w:rsid w:val="00D84028"/>
    <w:rsid w:val="00D84075"/>
    <w:rsid w:val="00D841D1"/>
    <w:rsid w:val="00D84299"/>
    <w:rsid w:val="00D842CA"/>
    <w:rsid w:val="00D8434F"/>
    <w:rsid w:val="00D84644"/>
    <w:rsid w:val="00D847CB"/>
    <w:rsid w:val="00D84917"/>
    <w:rsid w:val="00D8493B"/>
    <w:rsid w:val="00D84A68"/>
    <w:rsid w:val="00D84A90"/>
    <w:rsid w:val="00D84BD4"/>
    <w:rsid w:val="00D84EF5"/>
    <w:rsid w:val="00D8518D"/>
    <w:rsid w:val="00D85196"/>
    <w:rsid w:val="00D85240"/>
    <w:rsid w:val="00D85282"/>
    <w:rsid w:val="00D852FC"/>
    <w:rsid w:val="00D85323"/>
    <w:rsid w:val="00D85437"/>
    <w:rsid w:val="00D8545D"/>
    <w:rsid w:val="00D85489"/>
    <w:rsid w:val="00D854F7"/>
    <w:rsid w:val="00D8556A"/>
    <w:rsid w:val="00D856E2"/>
    <w:rsid w:val="00D85855"/>
    <w:rsid w:val="00D85862"/>
    <w:rsid w:val="00D858EF"/>
    <w:rsid w:val="00D858F0"/>
    <w:rsid w:val="00D85B65"/>
    <w:rsid w:val="00D85C06"/>
    <w:rsid w:val="00D85CE9"/>
    <w:rsid w:val="00D85CEF"/>
    <w:rsid w:val="00D85CF2"/>
    <w:rsid w:val="00D85F9E"/>
    <w:rsid w:val="00D8603C"/>
    <w:rsid w:val="00D860B4"/>
    <w:rsid w:val="00D860EC"/>
    <w:rsid w:val="00D860FA"/>
    <w:rsid w:val="00D8613E"/>
    <w:rsid w:val="00D861A0"/>
    <w:rsid w:val="00D8624C"/>
    <w:rsid w:val="00D86484"/>
    <w:rsid w:val="00D86506"/>
    <w:rsid w:val="00D866F2"/>
    <w:rsid w:val="00D86900"/>
    <w:rsid w:val="00D86A32"/>
    <w:rsid w:val="00D86A61"/>
    <w:rsid w:val="00D86AC8"/>
    <w:rsid w:val="00D86CA1"/>
    <w:rsid w:val="00D86CB0"/>
    <w:rsid w:val="00D871A2"/>
    <w:rsid w:val="00D872F1"/>
    <w:rsid w:val="00D87395"/>
    <w:rsid w:val="00D873AA"/>
    <w:rsid w:val="00D87534"/>
    <w:rsid w:val="00D876F6"/>
    <w:rsid w:val="00D87960"/>
    <w:rsid w:val="00D879DF"/>
    <w:rsid w:val="00D87A0C"/>
    <w:rsid w:val="00D87B4E"/>
    <w:rsid w:val="00D87CC7"/>
    <w:rsid w:val="00D87E95"/>
    <w:rsid w:val="00D87F3A"/>
    <w:rsid w:val="00D87F96"/>
    <w:rsid w:val="00D901CF"/>
    <w:rsid w:val="00D902EB"/>
    <w:rsid w:val="00D9031A"/>
    <w:rsid w:val="00D9038B"/>
    <w:rsid w:val="00D9041E"/>
    <w:rsid w:val="00D9050C"/>
    <w:rsid w:val="00D90531"/>
    <w:rsid w:val="00D906E5"/>
    <w:rsid w:val="00D90731"/>
    <w:rsid w:val="00D907EB"/>
    <w:rsid w:val="00D9087A"/>
    <w:rsid w:val="00D90A78"/>
    <w:rsid w:val="00D90A7C"/>
    <w:rsid w:val="00D90AD3"/>
    <w:rsid w:val="00D90CA0"/>
    <w:rsid w:val="00D90D71"/>
    <w:rsid w:val="00D90EC0"/>
    <w:rsid w:val="00D90EE2"/>
    <w:rsid w:val="00D90F79"/>
    <w:rsid w:val="00D90FE5"/>
    <w:rsid w:val="00D90FF0"/>
    <w:rsid w:val="00D9104A"/>
    <w:rsid w:val="00D910BC"/>
    <w:rsid w:val="00D910EE"/>
    <w:rsid w:val="00D9114A"/>
    <w:rsid w:val="00D9118E"/>
    <w:rsid w:val="00D911B9"/>
    <w:rsid w:val="00D91204"/>
    <w:rsid w:val="00D9125F"/>
    <w:rsid w:val="00D914D4"/>
    <w:rsid w:val="00D9155F"/>
    <w:rsid w:val="00D91624"/>
    <w:rsid w:val="00D917EE"/>
    <w:rsid w:val="00D91A42"/>
    <w:rsid w:val="00D91B4F"/>
    <w:rsid w:val="00D91D50"/>
    <w:rsid w:val="00D91DA3"/>
    <w:rsid w:val="00D91EE6"/>
    <w:rsid w:val="00D91EF7"/>
    <w:rsid w:val="00D91FD0"/>
    <w:rsid w:val="00D92003"/>
    <w:rsid w:val="00D9216F"/>
    <w:rsid w:val="00D9224A"/>
    <w:rsid w:val="00D9229D"/>
    <w:rsid w:val="00D9241C"/>
    <w:rsid w:val="00D92425"/>
    <w:rsid w:val="00D92436"/>
    <w:rsid w:val="00D92504"/>
    <w:rsid w:val="00D92646"/>
    <w:rsid w:val="00D92666"/>
    <w:rsid w:val="00D92725"/>
    <w:rsid w:val="00D92775"/>
    <w:rsid w:val="00D927FF"/>
    <w:rsid w:val="00D92AAB"/>
    <w:rsid w:val="00D92DE7"/>
    <w:rsid w:val="00D92E17"/>
    <w:rsid w:val="00D92ECA"/>
    <w:rsid w:val="00D93236"/>
    <w:rsid w:val="00D93275"/>
    <w:rsid w:val="00D93519"/>
    <w:rsid w:val="00D9371E"/>
    <w:rsid w:val="00D93737"/>
    <w:rsid w:val="00D93778"/>
    <w:rsid w:val="00D9383B"/>
    <w:rsid w:val="00D93850"/>
    <w:rsid w:val="00D9396B"/>
    <w:rsid w:val="00D93A02"/>
    <w:rsid w:val="00D93ADD"/>
    <w:rsid w:val="00D93B84"/>
    <w:rsid w:val="00D93B87"/>
    <w:rsid w:val="00D93BC7"/>
    <w:rsid w:val="00D93BD0"/>
    <w:rsid w:val="00D93BFD"/>
    <w:rsid w:val="00D93C66"/>
    <w:rsid w:val="00D93DB0"/>
    <w:rsid w:val="00D93DEC"/>
    <w:rsid w:val="00D93EB2"/>
    <w:rsid w:val="00D94044"/>
    <w:rsid w:val="00D940D3"/>
    <w:rsid w:val="00D94182"/>
    <w:rsid w:val="00D9418B"/>
    <w:rsid w:val="00D941B8"/>
    <w:rsid w:val="00D941C9"/>
    <w:rsid w:val="00D94247"/>
    <w:rsid w:val="00D9427F"/>
    <w:rsid w:val="00D942A7"/>
    <w:rsid w:val="00D94332"/>
    <w:rsid w:val="00D94366"/>
    <w:rsid w:val="00D9446E"/>
    <w:rsid w:val="00D945C6"/>
    <w:rsid w:val="00D946F1"/>
    <w:rsid w:val="00D948E2"/>
    <w:rsid w:val="00D9495E"/>
    <w:rsid w:val="00D949BE"/>
    <w:rsid w:val="00D94A10"/>
    <w:rsid w:val="00D94B27"/>
    <w:rsid w:val="00D94BCB"/>
    <w:rsid w:val="00D94E50"/>
    <w:rsid w:val="00D94E6C"/>
    <w:rsid w:val="00D94F15"/>
    <w:rsid w:val="00D94FAF"/>
    <w:rsid w:val="00D94FC2"/>
    <w:rsid w:val="00D9511B"/>
    <w:rsid w:val="00D951B6"/>
    <w:rsid w:val="00D9530D"/>
    <w:rsid w:val="00D95311"/>
    <w:rsid w:val="00D95346"/>
    <w:rsid w:val="00D953B1"/>
    <w:rsid w:val="00D953DE"/>
    <w:rsid w:val="00D953F8"/>
    <w:rsid w:val="00D95457"/>
    <w:rsid w:val="00D9559A"/>
    <w:rsid w:val="00D955FC"/>
    <w:rsid w:val="00D95604"/>
    <w:rsid w:val="00D95673"/>
    <w:rsid w:val="00D95869"/>
    <w:rsid w:val="00D95A06"/>
    <w:rsid w:val="00D95A2F"/>
    <w:rsid w:val="00D95B38"/>
    <w:rsid w:val="00D95D2F"/>
    <w:rsid w:val="00D95D37"/>
    <w:rsid w:val="00D95F31"/>
    <w:rsid w:val="00D95FAB"/>
    <w:rsid w:val="00D96194"/>
    <w:rsid w:val="00D96236"/>
    <w:rsid w:val="00D962C8"/>
    <w:rsid w:val="00D96411"/>
    <w:rsid w:val="00D9641B"/>
    <w:rsid w:val="00D9662C"/>
    <w:rsid w:val="00D967C1"/>
    <w:rsid w:val="00D96A03"/>
    <w:rsid w:val="00D96A7E"/>
    <w:rsid w:val="00D96AB6"/>
    <w:rsid w:val="00D96B35"/>
    <w:rsid w:val="00D96C88"/>
    <w:rsid w:val="00D96DCD"/>
    <w:rsid w:val="00D96E2B"/>
    <w:rsid w:val="00D970EC"/>
    <w:rsid w:val="00D970F2"/>
    <w:rsid w:val="00D97147"/>
    <w:rsid w:val="00D97205"/>
    <w:rsid w:val="00D972B4"/>
    <w:rsid w:val="00D97364"/>
    <w:rsid w:val="00D973EC"/>
    <w:rsid w:val="00D97419"/>
    <w:rsid w:val="00D97463"/>
    <w:rsid w:val="00D97571"/>
    <w:rsid w:val="00D975A4"/>
    <w:rsid w:val="00D976BF"/>
    <w:rsid w:val="00D977DB"/>
    <w:rsid w:val="00D977E1"/>
    <w:rsid w:val="00D977F8"/>
    <w:rsid w:val="00D97830"/>
    <w:rsid w:val="00D9799F"/>
    <w:rsid w:val="00D97A52"/>
    <w:rsid w:val="00D97AB0"/>
    <w:rsid w:val="00D97D9C"/>
    <w:rsid w:val="00D97DB3"/>
    <w:rsid w:val="00DA0083"/>
    <w:rsid w:val="00DA022C"/>
    <w:rsid w:val="00DA034F"/>
    <w:rsid w:val="00DA03A5"/>
    <w:rsid w:val="00DA0476"/>
    <w:rsid w:val="00DA047D"/>
    <w:rsid w:val="00DA04AC"/>
    <w:rsid w:val="00DA04BE"/>
    <w:rsid w:val="00DA04F1"/>
    <w:rsid w:val="00DA0548"/>
    <w:rsid w:val="00DA0579"/>
    <w:rsid w:val="00DA07C6"/>
    <w:rsid w:val="00DA07C9"/>
    <w:rsid w:val="00DA07CB"/>
    <w:rsid w:val="00DA07FD"/>
    <w:rsid w:val="00DA0945"/>
    <w:rsid w:val="00DA09C8"/>
    <w:rsid w:val="00DA0A27"/>
    <w:rsid w:val="00DA0BAF"/>
    <w:rsid w:val="00DA0BF7"/>
    <w:rsid w:val="00DA0C5D"/>
    <w:rsid w:val="00DA0C82"/>
    <w:rsid w:val="00DA0CEE"/>
    <w:rsid w:val="00DA0D39"/>
    <w:rsid w:val="00DA0D49"/>
    <w:rsid w:val="00DA0D77"/>
    <w:rsid w:val="00DA0D7C"/>
    <w:rsid w:val="00DA0EDC"/>
    <w:rsid w:val="00DA0F4E"/>
    <w:rsid w:val="00DA0F91"/>
    <w:rsid w:val="00DA0F92"/>
    <w:rsid w:val="00DA108A"/>
    <w:rsid w:val="00DA1115"/>
    <w:rsid w:val="00DA117F"/>
    <w:rsid w:val="00DA1236"/>
    <w:rsid w:val="00DA129A"/>
    <w:rsid w:val="00DA12E8"/>
    <w:rsid w:val="00DA132F"/>
    <w:rsid w:val="00DA1354"/>
    <w:rsid w:val="00DA13E7"/>
    <w:rsid w:val="00DA13E8"/>
    <w:rsid w:val="00DA14A0"/>
    <w:rsid w:val="00DA158B"/>
    <w:rsid w:val="00DA163C"/>
    <w:rsid w:val="00DA1677"/>
    <w:rsid w:val="00DA1685"/>
    <w:rsid w:val="00DA171C"/>
    <w:rsid w:val="00DA1815"/>
    <w:rsid w:val="00DA1895"/>
    <w:rsid w:val="00DA1905"/>
    <w:rsid w:val="00DA197B"/>
    <w:rsid w:val="00DA1A3C"/>
    <w:rsid w:val="00DA1A8B"/>
    <w:rsid w:val="00DA1AF3"/>
    <w:rsid w:val="00DA1AFD"/>
    <w:rsid w:val="00DA1B3B"/>
    <w:rsid w:val="00DA1C1D"/>
    <w:rsid w:val="00DA1C51"/>
    <w:rsid w:val="00DA1CA2"/>
    <w:rsid w:val="00DA1DF1"/>
    <w:rsid w:val="00DA1E6B"/>
    <w:rsid w:val="00DA1F08"/>
    <w:rsid w:val="00DA2049"/>
    <w:rsid w:val="00DA2083"/>
    <w:rsid w:val="00DA2331"/>
    <w:rsid w:val="00DA23C4"/>
    <w:rsid w:val="00DA27B4"/>
    <w:rsid w:val="00DA2924"/>
    <w:rsid w:val="00DA2926"/>
    <w:rsid w:val="00DA297D"/>
    <w:rsid w:val="00DA2A09"/>
    <w:rsid w:val="00DA2A29"/>
    <w:rsid w:val="00DA2B1D"/>
    <w:rsid w:val="00DA2C64"/>
    <w:rsid w:val="00DA2DBD"/>
    <w:rsid w:val="00DA2E93"/>
    <w:rsid w:val="00DA2FCF"/>
    <w:rsid w:val="00DA3036"/>
    <w:rsid w:val="00DA3319"/>
    <w:rsid w:val="00DA3482"/>
    <w:rsid w:val="00DA3502"/>
    <w:rsid w:val="00DA37D3"/>
    <w:rsid w:val="00DA37E1"/>
    <w:rsid w:val="00DA3827"/>
    <w:rsid w:val="00DA3851"/>
    <w:rsid w:val="00DA3945"/>
    <w:rsid w:val="00DA3A4D"/>
    <w:rsid w:val="00DA3BAD"/>
    <w:rsid w:val="00DA3CB7"/>
    <w:rsid w:val="00DA3D03"/>
    <w:rsid w:val="00DA3D1D"/>
    <w:rsid w:val="00DA3D67"/>
    <w:rsid w:val="00DA3E10"/>
    <w:rsid w:val="00DA3E31"/>
    <w:rsid w:val="00DA3E58"/>
    <w:rsid w:val="00DA3F73"/>
    <w:rsid w:val="00DA404C"/>
    <w:rsid w:val="00DA40F2"/>
    <w:rsid w:val="00DA438D"/>
    <w:rsid w:val="00DA43D6"/>
    <w:rsid w:val="00DA442E"/>
    <w:rsid w:val="00DA460E"/>
    <w:rsid w:val="00DA4699"/>
    <w:rsid w:val="00DA46AD"/>
    <w:rsid w:val="00DA499E"/>
    <w:rsid w:val="00DA49DE"/>
    <w:rsid w:val="00DA4A00"/>
    <w:rsid w:val="00DA4B7B"/>
    <w:rsid w:val="00DA4B99"/>
    <w:rsid w:val="00DA4C92"/>
    <w:rsid w:val="00DA4EEB"/>
    <w:rsid w:val="00DA507A"/>
    <w:rsid w:val="00DA510E"/>
    <w:rsid w:val="00DA5138"/>
    <w:rsid w:val="00DA5275"/>
    <w:rsid w:val="00DA5289"/>
    <w:rsid w:val="00DA538D"/>
    <w:rsid w:val="00DA54AC"/>
    <w:rsid w:val="00DA54ED"/>
    <w:rsid w:val="00DA577C"/>
    <w:rsid w:val="00DA580B"/>
    <w:rsid w:val="00DA58A3"/>
    <w:rsid w:val="00DA58AE"/>
    <w:rsid w:val="00DA59B9"/>
    <w:rsid w:val="00DA5A25"/>
    <w:rsid w:val="00DA5B4A"/>
    <w:rsid w:val="00DA5C1A"/>
    <w:rsid w:val="00DA5D45"/>
    <w:rsid w:val="00DA5E16"/>
    <w:rsid w:val="00DA5FF0"/>
    <w:rsid w:val="00DA6085"/>
    <w:rsid w:val="00DA624F"/>
    <w:rsid w:val="00DA63BC"/>
    <w:rsid w:val="00DA6534"/>
    <w:rsid w:val="00DA6658"/>
    <w:rsid w:val="00DA676B"/>
    <w:rsid w:val="00DA6829"/>
    <w:rsid w:val="00DA6936"/>
    <w:rsid w:val="00DA6A96"/>
    <w:rsid w:val="00DA6A9B"/>
    <w:rsid w:val="00DA6B7E"/>
    <w:rsid w:val="00DA6CCB"/>
    <w:rsid w:val="00DA6D4B"/>
    <w:rsid w:val="00DA6DB4"/>
    <w:rsid w:val="00DA6DD0"/>
    <w:rsid w:val="00DA6F20"/>
    <w:rsid w:val="00DA6F4C"/>
    <w:rsid w:val="00DA6FDD"/>
    <w:rsid w:val="00DA7003"/>
    <w:rsid w:val="00DA708B"/>
    <w:rsid w:val="00DA70EC"/>
    <w:rsid w:val="00DA7116"/>
    <w:rsid w:val="00DA7129"/>
    <w:rsid w:val="00DA7145"/>
    <w:rsid w:val="00DA7156"/>
    <w:rsid w:val="00DA724B"/>
    <w:rsid w:val="00DA73AE"/>
    <w:rsid w:val="00DA73C0"/>
    <w:rsid w:val="00DA73D5"/>
    <w:rsid w:val="00DA74A8"/>
    <w:rsid w:val="00DA7630"/>
    <w:rsid w:val="00DA7704"/>
    <w:rsid w:val="00DA7782"/>
    <w:rsid w:val="00DA7995"/>
    <w:rsid w:val="00DA7AB0"/>
    <w:rsid w:val="00DA7C71"/>
    <w:rsid w:val="00DA7C8F"/>
    <w:rsid w:val="00DA7C9D"/>
    <w:rsid w:val="00DA7DF7"/>
    <w:rsid w:val="00DA7E6B"/>
    <w:rsid w:val="00DA7E80"/>
    <w:rsid w:val="00DA7F97"/>
    <w:rsid w:val="00DB0005"/>
    <w:rsid w:val="00DB00B2"/>
    <w:rsid w:val="00DB0137"/>
    <w:rsid w:val="00DB0234"/>
    <w:rsid w:val="00DB03CE"/>
    <w:rsid w:val="00DB03D5"/>
    <w:rsid w:val="00DB0504"/>
    <w:rsid w:val="00DB0655"/>
    <w:rsid w:val="00DB06AB"/>
    <w:rsid w:val="00DB0745"/>
    <w:rsid w:val="00DB08C8"/>
    <w:rsid w:val="00DB08D9"/>
    <w:rsid w:val="00DB0908"/>
    <w:rsid w:val="00DB0CA6"/>
    <w:rsid w:val="00DB0D30"/>
    <w:rsid w:val="00DB0D84"/>
    <w:rsid w:val="00DB0F1B"/>
    <w:rsid w:val="00DB12CB"/>
    <w:rsid w:val="00DB1319"/>
    <w:rsid w:val="00DB1482"/>
    <w:rsid w:val="00DB1485"/>
    <w:rsid w:val="00DB153F"/>
    <w:rsid w:val="00DB1579"/>
    <w:rsid w:val="00DB157B"/>
    <w:rsid w:val="00DB1721"/>
    <w:rsid w:val="00DB17B5"/>
    <w:rsid w:val="00DB1874"/>
    <w:rsid w:val="00DB18FC"/>
    <w:rsid w:val="00DB19B9"/>
    <w:rsid w:val="00DB19BA"/>
    <w:rsid w:val="00DB1A1B"/>
    <w:rsid w:val="00DB1AF5"/>
    <w:rsid w:val="00DB1BBF"/>
    <w:rsid w:val="00DB1C43"/>
    <w:rsid w:val="00DB1CB5"/>
    <w:rsid w:val="00DB1D5A"/>
    <w:rsid w:val="00DB1E71"/>
    <w:rsid w:val="00DB1F02"/>
    <w:rsid w:val="00DB1F0F"/>
    <w:rsid w:val="00DB2156"/>
    <w:rsid w:val="00DB221C"/>
    <w:rsid w:val="00DB226E"/>
    <w:rsid w:val="00DB22AA"/>
    <w:rsid w:val="00DB23C2"/>
    <w:rsid w:val="00DB24FA"/>
    <w:rsid w:val="00DB2530"/>
    <w:rsid w:val="00DB259B"/>
    <w:rsid w:val="00DB26D6"/>
    <w:rsid w:val="00DB285B"/>
    <w:rsid w:val="00DB29BB"/>
    <w:rsid w:val="00DB2AAE"/>
    <w:rsid w:val="00DB2B37"/>
    <w:rsid w:val="00DB2BEB"/>
    <w:rsid w:val="00DB2E90"/>
    <w:rsid w:val="00DB2F93"/>
    <w:rsid w:val="00DB2FAA"/>
    <w:rsid w:val="00DB2FB0"/>
    <w:rsid w:val="00DB301E"/>
    <w:rsid w:val="00DB3056"/>
    <w:rsid w:val="00DB3252"/>
    <w:rsid w:val="00DB34A1"/>
    <w:rsid w:val="00DB3938"/>
    <w:rsid w:val="00DB3AC5"/>
    <w:rsid w:val="00DB3ACA"/>
    <w:rsid w:val="00DB3C42"/>
    <w:rsid w:val="00DB3C9C"/>
    <w:rsid w:val="00DB3D01"/>
    <w:rsid w:val="00DB3E0A"/>
    <w:rsid w:val="00DB3E11"/>
    <w:rsid w:val="00DB3E93"/>
    <w:rsid w:val="00DB3EE8"/>
    <w:rsid w:val="00DB3FE5"/>
    <w:rsid w:val="00DB3FE9"/>
    <w:rsid w:val="00DB4054"/>
    <w:rsid w:val="00DB40D1"/>
    <w:rsid w:val="00DB41EE"/>
    <w:rsid w:val="00DB41F9"/>
    <w:rsid w:val="00DB4499"/>
    <w:rsid w:val="00DB44F0"/>
    <w:rsid w:val="00DB4727"/>
    <w:rsid w:val="00DB4806"/>
    <w:rsid w:val="00DB49AF"/>
    <w:rsid w:val="00DB49B6"/>
    <w:rsid w:val="00DB4A3F"/>
    <w:rsid w:val="00DB4BD3"/>
    <w:rsid w:val="00DB4C90"/>
    <w:rsid w:val="00DB4CBD"/>
    <w:rsid w:val="00DB4D00"/>
    <w:rsid w:val="00DB4D33"/>
    <w:rsid w:val="00DB4EEA"/>
    <w:rsid w:val="00DB4F63"/>
    <w:rsid w:val="00DB50A2"/>
    <w:rsid w:val="00DB5136"/>
    <w:rsid w:val="00DB51CE"/>
    <w:rsid w:val="00DB51DA"/>
    <w:rsid w:val="00DB531F"/>
    <w:rsid w:val="00DB5336"/>
    <w:rsid w:val="00DB534D"/>
    <w:rsid w:val="00DB54AF"/>
    <w:rsid w:val="00DB54CB"/>
    <w:rsid w:val="00DB5617"/>
    <w:rsid w:val="00DB5657"/>
    <w:rsid w:val="00DB589F"/>
    <w:rsid w:val="00DB58A9"/>
    <w:rsid w:val="00DB590F"/>
    <w:rsid w:val="00DB5975"/>
    <w:rsid w:val="00DB59D0"/>
    <w:rsid w:val="00DB5A3C"/>
    <w:rsid w:val="00DB5ABC"/>
    <w:rsid w:val="00DB5AE6"/>
    <w:rsid w:val="00DB5AFB"/>
    <w:rsid w:val="00DB5B90"/>
    <w:rsid w:val="00DB5D93"/>
    <w:rsid w:val="00DB5E52"/>
    <w:rsid w:val="00DB5E98"/>
    <w:rsid w:val="00DB60CA"/>
    <w:rsid w:val="00DB626D"/>
    <w:rsid w:val="00DB6286"/>
    <w:rsid w:val="00DB634F"/>
    <w:rsid w:val="00DB645F"/>
    <w:rsid w:val="00DB6627"/>
    <w:rsid w:val="00DB6704"/>
    <w:rsid w:val="00DB67CE"/>
    <w:rsid w:val="00DB686D"/>
    <w:rsid w:val="00DB69BF"/>
    <w:rsid w:val="00DB6A36"/>
    <w:rsid w:val="00DB6CD1"/>
    <w:rsid w:val="00DB6D9C"/>
    <w:rsid w:val="00DB6DC2"/>
    <w:rsid w:val="00DB6E31"/>
    <w:rsid w:val="00DB6FC2"/>
    <w:rsid w:val="00DB7024"/>
    <w:rsid w:val="00DB702C"/>
    <w:rsid w:val="00DB7143"/>
    <w:rsid w:val="00DB716F"/>
    <w:rsid w:val="00DB71AF"/>
    <w:rsid w:val="00DB73A7"/>
    <w:rsid w:val="00DB7427"/>
    <w:rsid w:val="00DB7455"/>
    <w:rsid w:val="00DB75C1"/>
    <w:rsid w:val="00DB7682"/>
    <w:rsid w:val="00DB76E9"/>
    <w:rsid w:val="00DB7706"/>
    <w:rsid w:val="00DB7746"/>
    <w:rsid w:val="00DB77B4"/>
    <w:rsid w:val="00DB796C"/>
    <w:rsid w:val="00DB7975"/>
    <w:rsid w:val="00DB79CD"/>
    <w:rsid w:val="00DB7A97"/>
    <w:rsid w:val="00DB7AD9"/>
    <w:rsid w:val="00DB7BD5"/>
    <w:rsid w:val="00DB7BD9"/>
    <w:rsid w:val="00DB7CBA"/>
    <w:rsid w:val="00DB7DEE"/>
    <w:rsid w:val="00DB7E4B"/>
    <w:rsid w:val="00DB7EB8"/>
    <w:rsid w:val="00DB7F30"/>
    <w:rsid w:val="00DB7F32"/>
    <w:rsid w:val="00DC0026"/>
    <w:rsid w:val="00DC0108"/>
    <w:rsid w:val="00DC0161"/>
    <w:rsid w:val="00DC018B"/>
    <w:rsid w:val="00DC0205"/>
    <w:rsid w:val="00DC021F"/>
    <w:rsid w:val="00DC028F"/>
    <w:rsid w:val="00DC06F7"/>
    <w:rsid w:val="00DC082C"/>
    <w:rsid w:val="00DC082D"/>
    <w:rsid w:val="00DC0835"/>
    <w:rsid w:val="00DC0843"/>
    <w:rsid w:val="00DC08F9"/>
    <w:rsid w:val="00DC0945"/>
    <w:rsid w:val="00DC0A67"/>
    <w:rsid w:val="00DC0AC9"/>
    <w:rsid w:val="00DC0B53"/>
    <w:rsid w:val="00DC0B9A"/>
    <w:rsid w:val="00DC0CA4"/>
    <w:rsid w:val="00DC0F73"/>
    <w:rsid w:val="00DC0F92"/>
    <w:rsid w:val="00DC0F99"/>
    <w:rsid w:val="00DC1095"/>
    <w:rsid w:val="00DC110B"/>
    <w:rsid w:val="00DC1143"/>
    <w:rsid w:val="00DC11DD"/>
    <w:rsid w:val="00DC124B"/>
    <w:rsid w:val="00DC1294"/>
    <w:rsid w:val="00DC1326"/>
    <w:rsid w:val="00DC13AD"/>
    <w:rsid w:val="00DC15EA"/>
    <w:rsid w:val="00DC17C8"/>
    <w:rsid w:val="00DC18FE"/>
    <w:rsid w:val="00DC1A0B"/>
    <w:rsid w:val="00DC1BCF"/>
    <w:rsid w:val="00DC1BE5"/>
    <w:rsid w:val="00DC1D5E"/>
    <w:rsid w:val="00DC1E02"/>
    <w:rsid w:val="00DC1E43"/>
    <w:rsid w:val="00DC1ECA"/>
    <w:rsid w:val="00DC1F00"/>
    <w:rsid w:val="00DC207F"/>
    <w:rsid w:val="00DC2190"/>
    <w:rsid w:val="00DC22A1"/>
    <w:rsid w:val="00DC2532"/>
    <w:rsid w:val="00DC253A"/>
    <w:rsid w:val="00DC256D"/>
    <w:rsid w:val="00DC25D3"/>
    <w:rsid w:val="00DC2671"/>
    <w:rsid w:val="00DC269E"/>
    <w:rsid w:val="00DC26B1"/>
    <w:rsid w:val="00DC26DF"/>
    <w:rsid w:val="00DC2750"/>
    <w:rsid w:val="00DC27BB"/>
    <w:rsid w:val="00DC284E"/>
    <w:rsid w:val="00DC28E5"/>
    <w:rsid w:val="00DC298F"/>
    <w:rsid w:val="00DC29FE"/>
    <w:rsid w:val="00DC2A76"/>
    <w:rsid w:val="00DC2ABC"/>
    <w:rsid w:val="00DC2B35"/>
    <w:rsid w:val="00DC2BA5"/>
    <w:rsid w:val="00DC2BE7"/>
    <w:rsid w:val="00DC2C7D"/>
    <w:rsid w:val="00DC2D16"/>
    <w:rsid w:val="00DC2DE9"/>
    <w:rsid w:val="00DC2EE1"/>
    <w:rsid w:val="00DC2F8E"/>
    <w:rsid w:val="00DC31FC"/>
    <w:rsid w:val="00DC3268"/>
    <w:rsid w:val="00DC3424"/>
    <w:rsid w:val="00DC3438"/>
    <w:rsid w:val="00DC348D"/>
    <w:rsid w:val="00DC34B3"/>
    <w:rsid w:val="00DC3511"/>
    <w:rsid w:val="00DC3540"/>
    <w:rsid w:val="00DC35B1"/>
    <w:rsid w:val="00DC36B4"/>
    <w:rsid w:val="00DC3740"/>
    <w:rsid w:val="00DC37C5"/>
    <w:rsid w:val="00DC3935"/>
    <w:rsid w:val="00DC3A0D"/>
    <w:rsid w:val="00DC3B82"/>
    <w:rsid w:val="00DC3D28"/>
    <w:rsid w:val="00DC3D2E"/>
    <w:rsid w:val="00DC3D6A"/>
    <w:rsid w:val="00DC3D83"/>
    <w:rsid w:val="00DC3E40"/>
    <w:rsid w:val="00DC4004"/>
    <w:rsid w:val="00DC401C"/>
    <w:rsid w:val="00DC409B"/>
    <w:rsid w:val="00DC40BA"/>
    <w:rsid w:val="00DC452F"/>
    <w:rsid w:val="00DC4584"/>
    <w:rsid w:val="00DC483E"/>
    <w:rsid w:val="00DC4862"/>
    <w:rsid w:val="00DC4ABE"/>
    <w:rsid w:val="00DC4B38"/>
    <w:rsid w:val="00DC4B8A"/>
    <w:rsid w:val="00DC4D85"/>
    <w:rsid w:val="00DC4E2F"/>
    <w:rsid w:val="00DC4E37"/>
    <w:rsid w:val="00DC4E7B"/>
    <w:rsid w:val="00DC4ECA"/>
    <w:rsid w:val="00DC4ECD"/>
    <w:rsid w:val="00DC4FA5"/>
    <w:rsid w:val="00DC4FB3"/>
    <w:rsid w:val="00DC511B"/>
    <w:rsid w:val="00DC512A"/>
    <w:rsid w:val="00DC517C"/>
    <w:rsid w:val="00DC5180"/>
    <w:rsid w:val="00DC5220"/>
    <w:rsid w:val="00DC5299"/>
    <w:rsid w:val="00DC52B8"/>
    <w:rsid w:val="00DC535C"/>
    <w:rsid w:val="00DC5551"/>
    <w:rsid w:val="00DC55C0"/>
    <w:rsid w:val="00DC5686"/>
    <w:rsid w:val="00DC58A6"/>
    <w:rsid w:val="00DC593B"/>
    <w:rsid w:val="00DC5B52"/>
    <w:rsid w:val="00DC5B8B"/>
    <w:rsid w:val="00DC5D43"/>
    <w:rsid w:val="00DC5E72"/>
    <w:rsid w:val="00DC5FDD"/>
    <w:rsid w:val="00DC6047"/>
    <w:rsid w:val="00DC6123"/>
    <w:rsid w:val="00DC6155"/>
    <w:rsid w:val="00DC63E6"/>
    <w:rsid w:val="00DC64B4"/>
    <w:rsid w:val="00DC6560"/>
    <w:rsid w:val="00DC6630"/>
    <w:rsid w:val="00DC6677"/>
    <w:rsid w:val="00DC66EE"/>
    <w:rsid w:val="00DC684E"/>
    <w:rsid w:val="00DC6A1F"/>
    <w:rsid w:val="00DC6BBC"/>
    <w:rsid w:val="00DC6EA3"/>
    <w:rsid w:val="00DC6ECE"/>
    <w:rsid w:val="00DC7010"/>
    <w:rsid w:val="00DC703F"/>
    <w:rsid w:val="00DC7133"/>
    <w:rsid w:val="00DC71DE"/>
    <w:rsid w:val="00DC72AB"/>
    <w:rsid w:val="00DC7380"/>
    <w:rsid w:val="00DC73E7"/>
    <w:rsid w:val="00DC763E"/>
    <w:rsid w:val="00DC7906"/>
    <w:rsid w:val="00DC7966"/>
    <w:rsid w:val="00DC7A54"/>
    <w:rsid w:val="00DC7A87"/>
    <w:rsid w:val="00DC7AAB"/>
    <w:rsid w:val="00DC7BBE"/>
    <w:rsid w:val="00DC7F34"/>
    <w:rsid w:val="00DC7F7F"/>
    <w:rsid w:val="00DD025D"/>
    <w:rsid w:val="00DD0365"/>
    <w:rsid w:val="00DD03D1"/>
    <w:rsid w:val="00DD04A5"/>
    <w:rsid w:val="00DD04DA"/>
    <w:rsid w:val="00DD0516"/>
    <w:rsid w:val="00DD0595"/>
    <w:rsid w:val="00DD06E1"/>
    <w:rsid w:val="00DD073E"/>
    <w:rsid w:val="00DD07CC"/>
    <w:rsid w:val="00DD0838"/>
    <w:rsid w:val="00DD085F"/>
    <w:rsid w:val="00DD08DE"/>
    <w:rsid w:val="00DD09FD"/>
    <w:rsid w:val="00DD0A59"/>
    <w:rsid w:val="00DD0B49"/>
    <w:rsid w:val="00DD0C0C"/>
    <w:rsid w:val="00DD0C18"/>
    <w:rsid w:val="00DD0DB7"/>
    <w:rsid w:val="00DD0F94"/>
    <w:rsid w:val="00DD1079"/>
    <w:rsid w:val="00DD14CC"/>
    <w:rsid w:val="00DD15CD"/>
    <w:rsid w:val="00DD1752"/>
    <w:rsid w:val="00DD177C"/>
    <w:rsid w:val="00DD17BC"/>
    <w:rsid w:val="00DD185D"/>
    <w:rsid w:val="00DD195A"/>
    <w:rsid w:val="00DD19EC"/>
    <w:rsid w:val="00DD1B6C"/>
    <w:rsid w:val="00DD1DCD"/>
    <w:rsid w:val="00DD1DEF"/>
    <w:rsid w:val="00DD1FCA"/>
    <w:rsid w:val="00DD2061"/>
    <w:rsid w:val="00DD206A"/>
    <w:rsid w:val="00DD20C8"/>
    <w:rsid w:val="00DD20CB"/>
    <w:rsid w:val="00DD20DC"/>
    <w:rsid w:val="00DD2100"/>
    <w:rsid w:val="00DD2727"/>
    <w:rsid w:val="00DD28C0"/>
    <w:rsid w:val="00DD28EE"/>
    <w:rsid w:val="00DD2AE3"/>
    <w:rsid w:val="00DD2BAE"/>
    <w:rsid w:val="00DD2C14"/>
    <w:rsid w:val="00DD2CE0"/>
    <w:rsid w:val="00DD2D98"/>
    <w:rsid w:val="00DD2FC4"/>
    <w:rsid w:val="00DD306C"/>
    <w:rsid w:val="00DD30D9"/>
    <w:rsid w:val="00DD3139"/>
    <w:rsid w:val="00DD31D6"/>
    <w:rsid w:val="00DD32AD"/>
    <w:rsid w:val="00DD32CD"/>
    <w:rsid w:val="00DD32EA"/>
    <w:rsid w:val="00DD33D9"/>
    <w:rsid w:val="00DD34DA"/>
    <w:rsid w:val="00DD34ED"/>
    <w:rsid w:val="00DD351F"/>
    <w:rsid w:val="00DD354A"/>
    <w:rsid w:val="00DD35E0"/>
    <w:rsid w:val="00DD377F"/>
    <w:rsid w:val="00DD38B0"/>
    <w:rsid w:val="00DD38DE"/>
    <w:rsid w:val="00DD398B"/>
    <w:rsid w:val="00DD3A74"/>
    <w:rsid w:val="00DD3A7C"/>
    <w:rsid w:val="00DD3AA6"/>
    <w:rsid w:val="00DD3B80"/>
    <w:rsid w:val="00DD3E55"/>
    <w:rsid w:val="00DD3EDB"/>
    <w:rsid w:val="00DD3F60"/>
    <w:rsid w:val="00DD40C0"/>
    <w:rsid w:val="00DD4127"/>
    <w:rsid w:val="00DD4190"/>
    <w:rsid w:val="00DD41BA"/>
    <w:rsid w:val="00DD4231"/>
    <w:rsid w:val="00DD4252"/>
    <w:rsid w:val="00DD442B"/>
    <w:rsid w:val="00DD451F"/>
    <w:rsid w:val="00DD453E"/>
    <w:rsid w:val="00DD45B9"/>
    <w:rsid w:val="00DD462A"/>
    <w:rsid w:val="00DD4677"/>
    <w:rsid w:val="00DD4797"/>
    <w:rsid w:val="00DD47F7"/>
    <w:rsid w:val="00DD4863"/>
    <w:rsid w:val="00DD49BB"/>
    <w:rsid w:val="00DD4AF6"/>
    <w:rsid w:val="00DD4C62"/>
    <w:rsid w:val="00DD4DA3"/>
    <w:rsid w:val="00DD4DB0"/>
    <w:rsid w:val="00DD4DBB"/>
    <w:rsid w:val="00DD4EF1"/>
    <w:rsid w:val="00DD4FF6"/>
    <w:rsid w:val="00DD50C1"/>
    <w:rsid w:val="00DD51CD"/>
    <w:rsid w:val="00DD521B"/>
    <w:rsid w:val="00DD52F6"/>
    <w:rsid w:val="00DD53E9"/>
    <w:rsid w:val="00DD5452"/>
    <w:rsid w:val="00DD552B"/>
    <w:rsid w:val="00DD5550"/>
    <w:rsid w:val="00DD5618"/>
    <w:rsid w:val="00DD5633"/>
    <w:rsid w:val="00DD567C"/>
    <w:rsid w:val="00DD56AD"/>
    <w:rsid w:val="00DD582D"/>
    <w:rsid w:val="00DD5943"/>
    <w:rsid w:val="00DD5963"/>
    <w:rsid w:val="00DD5982"/>
    <w:rsid w:val="00DD598C"/>
    <w:rsid w:val="00DD5A30"/>
    <w:rsid w:val="00DD5AA0"/>
    <w:rsid w:val="00DD5ACB"/>
    <w:rsid w:val="00DD5AF4"/>
    <w:rsid w:val="00DD5B9E"/>
    <w:rsid w:val="00DD5BDC"/>
    <w:rsid w:val="00DD5D4D"/>
    <w:rsid w:val="00DD5DA7"/>
    <w:rsid w:val="00DD5E4D"/>
    <w:rsid w:val="00DD5E70"/>
    <w:rsid w:val="00DD5F88"/>
    <w:rsid w:val="00DD6118"/>
    <w:rsid w:val="00DD627E"/>
    <w:rsid w:val="00DD631D"/>
    <w:rsid w:val="00DD63D7"/>
    <w:rsid w:val="00DD64FB"/>
    <w:rsid w:val="00DD6531"/>
    <w:rsid w:val="00DD6624"/>
    <w:rsid w:val="00DD6704"/>
    <w:rsid w:val="00DD6792"/>
    <w:rsid w:val="00DD679C"/>
    <w:rsid w:val="00DD67E3"/>
    <w:rsid w:val="00DD6829"/>
    <w:rsid w:val="00DD6889"/>
    <w:rsid w:val="00DD689C"/>
    <w:rsid w:val="00DD689E"/>
    <w:rsid w:val="00DD6C41"/>
    <w:rsid w:val="00DD6C80"/>
    <w:rsid w:val="00DD6CC7"/>
    <w:rsid w:val="00DD6E5D"/>
    <w:rsid w:val="00DD6EDC"/>
    <w:rsid w:val="00DD6EEF"/>
    <w:rsid w:val="00DD700E"/>
    <w:rsid w:val="00DD7021"/>
    <w:rsid w:val="00DD72BC"/>
    <w:rsid w:val="00DD7425"/>
    <w:rsid w:val="00DD745A"/>
    <w:rsid w:val="00DD74BD"/>
    <w:rsid w:val="00DD75AB"/>
    <w:rsid w:val="00DD7732"/>
    <w:rsid w:val="00DD7967"/>
    <w:rsid w:val="00DD79AA"/>
    <w:rsid w:val="00DD7AB6"/>
    <w:rsid w:val="00DD7B64"/>
    <w:rsid w:val="00DD7B8E"/>
    <w:rsid w:val="00DD7DAB"/>
    <w:rsid w:val="00DD7E12"/>
    <w:rsid w:val="00DD7E85"/>
    <w:rsid w:val="00DD7ED2"/>
    <w:rsid w:val="00DD7F17"/>
    <w:rsid w:val="00DD7FB4"/>
    <w:rsid w:val="00DDAD4B"/>
    <w:rsid w:val="00DE011E"/>
    <w:rsid w:val="00DE0267"/>
    <w:rsid w:val="00DE02EF"/>
    <w:rsid w:val="00DE033A"/>
    <w:rsid w:val="00DE04F2"/>
    <w:rsid w:val="00DE0584"/>
    <w:rsid w:val="00DE05A8"/>
    <w:rsid w:val="00DE0A1E"/>
    <w:rsid w:val="00DE0B1A"/>
    <w:rsid w:val="00DE0BE4"/>
    <w:rsid w:val="00DE0D22"/>
    <w:rsid w:val="00DE0D30"/>
    <w:rsid w:val="00DE0D98"/>
    <w:rsid w:val="00DE0E5F"/>
    <w:rsid w:val="00DE0E9F"/>
    <w:rsid w:val="00DE0F1F"/>
    <w:rsid w:val="00DE0F85"/>
    <w:rsid w:val="00DE104E"/>
    <w:rsid w:val="00DE1093"/>
    <w:rsid w:val="00DE133B"/>
    <w:rsid w:val="00DE1451"/>
    <w:rsid w:val="00DE14D6"/>
    <w:rsid w:val="00DE16E6"/>
    <w:rsid w:val="00DE16F8"/>
    <w:rsid w:val="00DE181C"/>
    <w:rsid w:val="00DE1834"/>
    <w:rsid w:val="00DE18D6"/>
    <w:rsid w:val="00DE1975"/>
    <w:rsid w:val="00DE199B"/>
    <w:rsid w:val="00DE19EB"/>
    <w:rsid w:val="00DE1B20"/>
    <w:rsid w:val="00DE1B89"/>
    <w:rsid w:val="00DE1C89"/>
    <w:rsid w:val="00DE1CFB"/>
    <w:rsid w:val="00DE1D3D"/>
    <w:rsid w:val="00DE2053"/>
    <w:rsid w:val="00DE213A"/>
    <w:rsid w:val="00DE222B"/>
    <w:rsid w:val="00DE2310"/>
    <w:rsid w:val="00DE2396"/>
    <w:rsid w:val="00DE23D0"/>
    <w:rsid w:val="00DE2463"/>
    <w:rsid w:val="00DE2525"/>
    <w:rsid w:val="00DE27AB"/>
    <w:rsid w:val="00DE289F"/>
    <w:rsid w:val="00DE2935"/>
    <w:rsid w:val="00DE296E"/>
    <w:rsid w:val="00DE2A2D"/>
    <w:rsid w:val="00DE2A30"/>
    <w:rsid w:val="00DE2AA9"/>
    <w:rsid w:val="00DE2B4F"/>
    <w:rsid w:val="00DE2B82"/>
    <w:rsid w:val="00DE2C86"/>
    <w:rsid w:val="00DE2C89"/>
    <w:rsid w:val="00DE2DCA"/>
    <w:rsid w:val="00DE2E0C"/>
    <w:rsid w:val="00DE2EAD"/>
    <w:rsid w:val="00DE2FEC"/>
    <w:rsid w:val="00DE306F"/>
    <w:rsid w:val="00DE327C"/>
    <w:rsid w:val="00DE3294"/>
    <w:rsid w:val="00DE3355"/>
    <w:rsid w:val="00DE34D1"/>
    <w:rsid w:val="00DE3595"/>
    <w:rsid w:val="00DE35DC"/>
    <w:rsid w:val="00DE36EC"/>
    <w:rsid w:val="00DE372D"/>
    <w:rsid w:val="00DE3783"/>
    <w:rsid w:val="00DE379B"/>
    <w:rsid w:val="00DE3917"/>
    <w:rsid w:val="00DE3968"/>
    <w:rsid w:val="00DE3B3B"/>
    <w:rsid w:val="00DE3C20"/>
    <w:rsid w:val="00DE3CEF"/>
    <w:rsid w:val="00DE3D9A"/>
    <w:rsid w:val="00DE3E7C"/>
    <w:rsid w:val="00DE40A9"/>
    <w:rsid w:val="00DE415E"/>
    <w:rsid w:val="00DE416F"/>
    <w:rsid w:val="00DE418D"/>
    <w:rsid w:val="00DE441B"/>
    <w:rsid w:val="00DE4465"/>
    <w:rsid w:val="00DE48A7"/>
    <w:rsid w:val="00DE48C0"/>
    <w:rsid w:val="00DE4AC4"/>
    <w:rsid w:val="00DE4B5B"/>
    <w:rsid w:val="00DE4C20"/>
    <w:rsid w:val="00DE4C88"/>
    <w:rsid w:val="00DE4D6C"/>
    <w:rsid w:val="00DE4DFD"/>
    <w:rsid w:val="00DE4F32"/>
    <w:rsid w:val="00DE5071"/>
    <w:rsid w:val="00DE5131"/>
    <w:rsid w:val="00DE51DF"/>
    <w:rsid w:val="00DE5237"/>
    <w:rsid w:val="00DE5246"/>
    <w:rsid w:val="00DE5315"/>
    <w:rsid w:val="00DE538A"/>
    <w:rsid w:val="00DE5412"/>
    <w:rsid w:val="00DE572C"/>
    <w:rsid w:val="00DE583C"/>
    <w:rsid w:val="00DE58BC"/>
    <w:rsid w:val="00DE5911"/>
    <w:rsid w:val="00DE5AEA"/>
    <w:rsid w:val="00DE5B0E"/>
    <w:rsid w:val="00DE5E84"/>
    <w:rsid w:val="00DE5EAA"/>
    <w:rsid w:val="00DE5F16"/>
    <w:rsid w:val="00DE5F38"/>
    <w:rsid w:val="00DE6007"/>
    <w:rsid w:val="00DE6191"/>
    <w:rsid w:val="00DE61DC"/>
    <w:rsid w:val="00DE6239"/>
    <w:rsid w:val="00DE6274"/>
    <w:rsid w:val="00DE62A0"/>
    <w:rsid w:val="00DE6332"/>
    <w:rsid w:val="00DE6480"/>
    <w:rsid w:val="00DE65EC"/>
    <w:rsid w:val="00DE666F"/>
    <w:rsid w:val="00DE67AB"/>
    <w:rsid w:val="00DE6A9A"/>
    <w:rsid w:val="00DE6AA6"/>
    <w:rsid w:val="00DE6B7C"/>
    <w:rsid w:val="00DE6C2E"/>
    <w:rsid w:val="00DE6C96"/>
    <w:rsid w:val="00DE6D0C"/>
    <w:rsid w:val="00DE6D1B"/>
    <w:rsid w:val="00DE6D2A"/>
    <w:rsid w:val="00DE6E3C"/>
    <w:rsid w:val="00DE7015"/>
    <w:rsid w:val="00DE70CB"/>
    <w:rsid w:val="00DE70ED"/>
    <w:rsid w:val="00DE7169"/>
    <w:rsid w:val="00DE7201"/>
    <w:rsid w:val="00DE7285"/>
    <w:rsid w:val="00DE7510"/>
    <w:rsid w:val="00DE760F"/>
    <w:rsid w:val="00DE7656"/>
    <w:rsid w:val="00DE765A"/>
    <w:rsid w:val="00DE7882"/>
    <w:rsid w:val="00DE7988"/>
    <w:rsid w:val="00DE79E4"/>
    <w:rsid w:val="00DE7B16"/>
    <w:rsid w:val="00DE7B8E"/>
    <w:rsid w:val="00DE7C8F"/>
    <w:rsid w:val="00DE7D58"/>
    <w:rsid w:val="00DE7EA2"/>
    <w:rsid w:val="00DE7F2F"/>
    <w:rsid w:val="00DE7FED"/>
    <w:rsid w:val="00DF0037"/>
    <w:rsid w:val="00DF014A"/>
    <w:rsid w:val="00DF01BC"/>
    <w:rsid w:val="00DF02FE"/>
    <w:rsid w:val="00DF034F"/>
    <w:rsid w:val="00DF0354"/>
    <w:rsid w:val="00DF04E8"/>
    <w:rsid w:val="00DF05BC"/>
    <w:rsid w:val="00DF065F"/>
    <w:rsid w:val="00DF06B6"/>
    <w:rsid w:val="00DF0721"/>
    <w:rsid w:val="00DF0811"/>
    <w:rsid w:val="00DF084B"/>
    <w:rsid w:val="00DF09DB"/>
    <w:rsid w:val="00DF0A17"/>
    <w:rsid w:val="00DF0A63"/>
    <w:rsid w:val="00DF0ACA"/>
    <w:rsid w:val="00DF0BD2"/>
    <w:rsid w:val="00DF0C60"/>
    <w:rsid w:val="00DF0F0A"/>
    <w:rsid w:val="00DF1094"/>
    <w:rsid w:val="00DF1135"/>
    <w:rsid w:val="00DF12CF"/>
    <w:rsid w:val="00DF13A7"/>
    <w:rsid w:val="00DF143B"/>
    <w:rsid w:val="00DF1456"/>
    <w:rsid w:val="00DF151E"/>
    <w:rsid w:val="00DF15F8"/>
    <w:rsid w:val="00DF16D9"/>
    <w:rsid w:val="00DF17F4"/>
    <w:rsid w:val="00DF19F7"/>
    <w:rsid w:val="00DF1A4F"/>
    <w:rsid w:val="00DF1A99"/>
    <w:rsid w:val="00DF1C5F"/>
    <w:rsid w:val="00DF1C98"/>
    <w:rsid w:val="00DF1D0D"/>
    <w:rsid w:val="00DF1E36"/>
    <w:rsid w:val="00DF1EA1"/>
    <w:rsid w:val="00DF1F3A"/>
    <w:rsid w:val="00DF206D"/>
    <w:rsid w:val="00DF20A8"/>
    <w:rsid w:val="00DF2114"/>
    <w:rsid w:val="00DF21A2"/>
    <w:rsid w:val="00DF227E"/>
    <w:rsid w:val="00DF2280"/>
    <w:rsid w:val="00DF231D"/>
    <w:rsid w:val="00DF23CF"/>
    <w:rsid w:val="00DF245C"/>
    <w:rsid w:val="00DF2558"/>
    <w:rsid w:val="00DF25F3"/>
    <w:rsid w:val="00DF2612"/>
    <w:rsid w:val="00DF2651"/>
    <w:rsid w:val="00DF26D3"/>
    <w:rsid w:val="00DF26FB"/>
    <w:rsid w:val="00DF2795"/>
    <w:rsid w:val="00DF27DC"/>
    <w:rsid w:val="00DF2840"/>
    <w:rsid w:val="00DF2844"/>
    <w:rsid w:val="00DF2973"/>
    <w:rsid w:val="00DF2E18"/>
    <w:rsid w:val="00DF2EB4"/>
    <w:rsid w:val="00DF2EC2"/>
    <w:rsid w:val="00DF2F14"/>
    <w:rsid w:val="00DF2FB4"/>
    <w:rsid w:val="00DF2FFE"/>
    <w:rsid w:val="00DF3090"/>
    <w:rsid w:val="00DF3112"/>
    <w:rsid w:val="00DF312B"/>
    <w:rsid w:val="00DF314A"/>
    <w:rsid w:val="00DF31B7"/>
    <w:rsid w:val="00DF33A6"/>
    <w:rsid w:val="00DF3435"/>
    <w:rsid w:val="00DF3493"/>
    <w:rsid w:val="00DF34A1"/>
    <w:rsid w:val="00DF34D3"/>
    <w:rsid w:val="00DF353F"/>
    <w:rsid w:val="00DF35E2"/>
    <w:rsid w:val="00DF37FC"/>
    <w:rsid w:val="00DF39B1"/>
    <w:rsid w:val="00DF39FB"/>
    <w:rsid w:val="00DF3A36"/>
    <w:rsid w:val="00DF3A96"/>
    <w:rsid w:val="00DF3CBB"/>
    <w:rsid w:val="00DF3E76"/>
    <w:rsid w:val="00DF3EAD"/>
    <w:rsid w:val="00DF3FE0"/>
    <w:rsid w:val="00DF4035"/>
    <w:rsid w:val="00DF41D7"/>
    <w:rsid w:val="00DF41DF"/>
    <w:rsid w:val="00DF41EF"/>
    <w:rsid w:val="00DF4308"/>
    <w:rsid w:val="00DF43CD"/>
    <w:rsid w:val="00DF450F"/>
    <w:rsid w:val="00DF4607"/>
    <w:rsid w:val="00DF473D"/>
    <w:rsid w:val="00DF4755"/>
    <w:rsid w:val="00DF484D"/>
    <w:rsid w:val="00DF486F"/>
    <w:rsid w:val="00DF49EC"/>
    <w:rsid w:val="00DF4A13"/>
    <w:rsid w:val="00DF4ACA"/>
    <w:rsid w:val="00DF4ADA"/>
    <w:rsid w:val="00DF4B22"/>
    <w:rsid w:val="00DF4B53"/>
    <w:rsid w:val="00DF4D3D"/>
    <w:rsid w:val="00DF4DD6"/>
    <w:rsid w:val="00DF4FD0"/>
    <w:rsid w:val="00DF50AF"/>
    <w:rsid w:val="00DF5160"/>
    <w:rsid w:val="00DF5298"/>
    <w:rsid w:val="00DF53AD"/>
    <w:rsid w:val="00DF53CA"/>
    <w:rsid w:val="00DF53E6"/>
    <w:rsid w:val="00DF55D0"/>
    <w:rsid w:val="00DF563A"/>
    <w:rsid w:val="00DF5645"/>
    <w:rsid w:val="00DF586E"/>
    <w:rsid w:val="00DF587B"/>
    <w:rsid w:val="00DF5939"/>
    <w:rsid w:val="00DF5960"/>
    <w:rsid w:val="00DF59B5"/>
    <w:rsid w:val="00DF59ED"/>
    <w:rsid w:val="00DF5A8C"/>
    <w:rsid w:val="00DF5B5B"/>
    <w:rsid w:val="00DF5BE1"/>
    <w:rsid w:val="00DF5C37"/>
    <w:rsid w:val="00DF5C39"/>
    <w:rsid w:val="00DF5CAA"/>
    <w:rsid w:val="00DF5CAD"/>
    <w:rsid w:val="00DF5CDE"/>
    <w:rsid w:val="00DF5E00"/>
    <w:rsid w:val="00DF5E6C"/>
    <w:rsid w:val="00DF5F44"/>
    <w:rsid w:val="00DF5F8B"/>
    <w:rsid w:val="00DF5FF8"/>
    <w:rsid w:val="00DF6118"/>
    <w:rsid w:val="00DF6156"/>
    <w:rsid w:val="00DF615B"/>
    <w:rsid w:val="00DF6184"/>
    <w:rsid w:val="00DF6224"/>
    <w:rsid w:val="00DF6274"/>
    <w:rsid w:val="00DF6400"/>
    <w:rsid w:val="00DF65A9"/>
    <w:rsid w:val="00DF6788"/>
    <w:rsid w:val="00DF68A9"/>
    <w:rsid w:val="00DF6AB5"/>
    <w:rsid w:val="00DF6B2F"/>
    <w:rsid w:val="00DF6B3F"/>
    <w:rsid w:val="00DF6BD6"/>
    <w:rsid w:val="00DF6C67"/>
    <w:rsid w:val="00DF6C8B"/>
    <w:rsid w:val="00DF6C8C"/>
    <w:rsid w:val="00DF6D0F"/>
    <w:rsid w:val="00DF6D67"/>
    <w:rsid w:val="00DF6EB5"/>
    <w:rsid w:val="00DF6F59"/>
    <w:rsid w:val="00DF711A"/>
    <w:rsid w:val="00DF7210"/>
    <w:rsid w:val="00DF7213"/>
    <w:rsid w:val="00DF7466"/>
    <w:rsid w:val="00DF7504"/>
    <w:rsid w:val="00DF757B"/>
    <w:rsid w:val="00DF75E2"/>
    <w:rsid w:val="00DF7619"/>
    <w:rsid w:val="00DF7693"/>
    <w:rsid w:val="00DF76B5"/>
    <w:rsid w:val="00DF77BB"/>
    <w:rsid w:val="00DF7834"/>
    <w:rsid w:val="00DF78F6"/>
    <w:rsid w:val="00DF7967"/>
    <w:rsid w:val="00DF79EB"/>
    <w:rsid w:val="00DF7A0D"/>
    <w:rsid w:val="00DF7A45"/>
    <w:rsid w:val="00DF7C2E"/>
    <w:rsid w:val="00DF7D55"/>
    <w:rsid w:val="00DF7D84"/>
    <w:rsid w:val="00DF7F25"/>
    <w:rsid w:val="00E00057"/>
    <w:rsid w:val="00E000D3"/>
    <w:rsid w:val="00E00324"/>
    <w:rsid w:val="00E00348"/>
    <w:rsid w:val="00E003FB"/>
    <w:rsid w:val="00E0048E"/>
    <w:rsid w:val="00E0055F"/>
    <w:rsid w:val="00E005BF"/>
    <w:rsid w:val="00E005F9"/>
    <w:rsid w:val="00E006AD"/>
    <w:rsid w:val="00E007A4"/>
    <w:rsid w:val="00E007CE"/>
    <w:rsid w:val="00E0088E"/>
    <w:rsid w:val="00E0090C"/>
    <w:rsid w:val="00E009AE"/>
    <w:rsid w:val="00E009FC"/>
    <w:rsid w:val="00E00A01"/>
    <w:rsid w:val="00E00B4F"/>
    <w:rsid w:val="00E00B5B"/>
    <w:rsid w:val="00E00D66"/>
    <w:rsid w:val="00E00D83"/>
    <w:rsid w:val="00E00DF1"/>
    <w:rsid w:val="00E00E0D"/>
    <w:rsid w:val="00E00E6C"/>
    <w:rsid w:val="00E00E7D"/>
    <w:rsid w:val="00E00F02"/>
    <w:rsid w:val="00E011DD"/>
    <w:rsid w:val="00E01293"/>
    <w:rsid w:val="00E01345"/>
    <w:rsid w:val="00E0138A"/>
    <w:rsid w:val="00E01509"/>
    <w:rsid w:val="00E0153E"/>
    <w:rsid w:val="00E01726"/>
    <w:rsid w:val="00E01888"/>
    <w:rsid w:val="00E0194F"/>
    <w:rsid w:val="00E01950"/>
    <w:rsid w:val="00E0198A"/>
    <w:rsid w:val="00E019DC"/>
    <w:rsid w:val="00E01A69"/>
    <w:rsid w:val="00E01A7E"/>
    <w:rsid w:val="00E01A7F"/>
    <w:rsid w:val="00E01AA9"/>
    <w:rsid w:val="00E01ADC"/>
    <w:rsid w:val="00E01B61"/>
    <w:rsid w:val="00E01BB3"/>
    <w:rsid w:val="00E01BDB"/>
    <w:rsid w:val="00E01C02"/>
    <w:rsid w:val="00E01CF0"/>
    <w:rsid w:val="00E01D36"/>
    <w:rsid w:val="00E01DAB"/>
    <w:rsid w:val="00E01E20"/>
    <w:rsid w:val="00E01E72"/>
    <w:rsid w:val="00E02148"/>
    <w:rsid w:val="00E02162"/>
    <w:rsid w:val="00E021C3"/>
    <w:rsid w:val="00E0224E"/>
    <w:rsid w:val="00E023AF"/>
    <w:rsid w:val="00E023CA"/>
    <w:rsid w:val="00E02598"/>
    <w:rsid w:val="00E025C6"/>
    <w:rsid w:val="00E02622"/>
    <w:rsid w:val="00E02659"/>
    <w:rsid w:val="00E0265B"/>
    <w:rsid w:val="00E027FB"/>
    <w:rsid w:val="00E02865"/>
    <w:rsid w:val="00E0294D"/>
    <w:rsid w:val="00E02A64"/>
    <w:rsid w:val="00E02A88"/>
    <w:rsid w:val="00E02BEE"/>
    <w:rsid w:val="00E02BF9"/>
    <w:rsid w:val="00E02C1B"/>
    <w:rsid w:val="00E02C23"/>
    <w:rsid w:val="00E02D6E"/>
    <w:rsid w:val="00E02D7F"/>
    <w:rsid w:val="00E02E5F"/>
    <w:rsid w:val="00E02F13"/>
    <w:rsid w:val="00E03158"/>
    <w:rsid w:val="00E031A9"/>
    <w:rsid w:val="00E03499"/>
    <w:rsid w:val="00E03540"/>
    <w:rsid w:val="00E0375C"/>
    <w:rsid w:val="00E037D6"/>
    <w:rsid w:val="00E03867"/>
    <w:rsid w:val="00E0394A"/>
    <w:rsid w:val="00E039F3"/>
    <w:rsid w:val="00E03A13"/>
    <w:rsid w:val="00E03AB3"/>
    <w:rsid w:val="00E03CEC"/>
    <w:rsid w:val="00E03DA5"/>
    <w:rsid w:val="00E03DAF"/>
    <w:rsid w:val="00E03E17"/>
    <w:rsid w:val="00E04008"/>
    <w:rsid w:val="00E0400A"/>
    <w:rsid w:val="00E04036"/>
    <w:rsid w:val="00E04155"/>
    <w:rsid w:val="00E04193"/>
    <w:rsid w:val="00E041DD"/>
    <w:rsid w:val="00E041FD"/>
    <w:rsid w:val="00E04257"/>
    <w:rsid w:val="00E04266"/>
    <w:rsid w:val="00E042BF"/>
    <w:rsid w:val="00E042D8"/>
    <w:rsid w:val="00E04364"/>
    <w:rsid w:val="00E043F4"/>
    <w:rsid w:val="00E044C9"/>
    <w:rsid w:val="00E044E3"/>
    <w:rsid w:val="00E04527"/>
    <w:rsid w:val="00E046DB"/>
    <w:rsid w:val="00E047FB"/>
    <w:rsid w:val="00E04819"/>
    <w:rsid w:val="00E0487F"/>
    <w:rsid w:val="00E0489B"/>
    <w:rsid w:val="00E048C1"/>
    <w:rsid w:val="00E0490B"/>
    <w:rsid w:val="00E04B5B"/>
    <w:rsid w:val="00E04DF8"/>
    <w:rsid w:val="00E04EE6"/>
    <w:rsid w:val="00E04F65"/>
    <w:rsid w:val="00E04FF4"/>
    <w:rsid w:val="00E050E7"/>
    <w:rsid w:val="00E05113"/>
    <w:rsid w:val="00E0514C"/>
    <w:rsid w:val="00E0527D"/>
    <w:rsid w:val="00E05485"/>
    <w:rsid w:val="00E0593E"/>
    <w:rsid w:val="00E05C17"/>
    <w:rsid w:val="00E05C55"/>
    <w:rsid w:val="00E05E10"/>
    <w:rsid w:val="00E05E7D"/>
    <w:rsid w:val="00E06022"/>
    <w:rsid w:val="00E06088"/>
    <w:rsid w:val="00E06119"/>
    <w:rsid w:val="00E062A1"/>
    <w:rsid w:val="00E0630B"/>
    <w:rsid w:val="00E0634D"/>
    <w:rsid w:val="00E06375"/>
    <w:rsid w:val="00E0637F"/>
    <w:rsid w:val="00E06488"/>
    <w:rsid w:val="00E06767"/>
    <w:rsid w:val="00E067A4"/>
    <w:rsid w:val="00E0697B"/>
    <w:rsid w:val="00E069FF"/>
    <w:rsid w:val="00E06A6A"/>
    <w:rsid w:val="00E06AD8"/>
    <w:rsid w:val="00E06B30"/>
    <w:rsid w:val="00E06B66"/>
    <w:rsid w:val="00E06B7E"/>
    <w:rsid w:val="00E06C70"/>
    <w:rsid w:val="00E06D22"/>
    <w:rsid w:val="00E06D60"/>
    <w:rsid w:val="00E06E22"/>
    <w:rsid w:val="00E06F46"/>
    <w:rsid w:val="00E071A3"/>
    <w:rsid w:val="00E07223"/>
    <w:rsid w:val="00E072B5"/>
    <w:rsid w:val="00E072E5"/>
    <w:rsid w:val="00E07308"/>
    <w:rsid w:val="00E073B2"/>
    <w:rsid w:val="00E07434"/>
    <w:rsid w:val="00E07478"/>
    <w:rsid w:val="00E0779D"/>
    <w:rsid w:val="00E079D6"/>
    <w:rsid w:val="00E079EB"/>
    <w:rsid w:val="00E07A7A"/>
    <w:rsid w:val="00E07A8E"/>
    <w:rsid w:val="00E07AB0"/>
    <w:rsid w:val="00E07AC6"/>
    <w:rsid w:val="00E07BC4"/>
    <w:rsid w:val="00E07CBD"/>
    <w:rsid w:val="00E07D83"/>
    <w:rsid w:val="00E07EE7"/>
    <w:rsid w:val="00E10013"/>
    <w:rsid w:val="00E1009B"/>
    <w:rsid w:val="00E10166"/>
    <w:rsid w:val="00E101E3"/>
    <w:rsid w:val="00E10231"/>
    <w:rsid w:val="00E1027B"/>
    <w:rsid w:val="00E105DC"/>
    <w:rsid w:val="00E1062F"/>
    <w:rsid w:val="00E10640"/>
    <w:rsid w:val="00E1067A"/>
    <w:rsid w:val="00E1081F"/>
    <w:rsid w:val="00E10886"/>
    <w:rsid w:val="00E1095D"/>
    <w:rsid w:val="00E10A3E"/>
    <w:rsid w:val="00E10A4C"/>
    <w:rsid w:val="00E10A94"/>
    <w:rsid w:val="00E10B75"/>
    <w:rsid w:val="00E10C42"/>
    <w:rsid w:val="00E10D14"/>
    <w:rsid w:val="00E10D1F"/>
    <w:rsid w:val="00E10DC3"/>
    <w:rsid w:val="00E10E0C"/>
    <w:rsid w:val="00E10E46"/>
    <w:rsid w:val="00E10F20"/>
    <w:rsid w:val="00E10F66"/>
    <w:rsid w:val="00E1102F"/>
    <w:rsid w:val="00E1103B"/>
    <w:rsid w:val="00E110DE"/>
    <w:rsid w:val="00E1118A"/>
    <w:rsid w:val="00E1126A"/>
    <w:rsid w:val="00E1126F"/>
    <w:rsid w:val="00E11298"/>
    <w:rsid w:val="00E1130C"/>
    <w:rsid w:val="00E1150D"/>
    <w:rsid w:val="00E118B4"/>
    <w:rsid w:val="00E11A9F"/>
    <w:rsid w:val="00E11AB5"/>
    <w:rsid w:val="00E11BE7"/>
    <w:rsid w:val="00E11D19"/>
    <w:rsid w:val="00E11E2F"/>
    <w:rsid w:val="00E11EB9"/>
    <w:rsid w:val="00E12037"/>
    <w:rsid w:val="00E1213C"/>
    <w:rsid w:val="00E1228A"/>
    <w:rsid w:val="00E12408"/>
    <w:rsid w:val="00E12411"/>
    <w:rsid w:val="00E12502"/>
    <w:rsid w:val="00E125A1"/>
    <w:rsid w:val="00E1262E"/>
    <w:rsid w:val="00E1264E"/>
    <w:rsid w:val="00E127C5"/>
    <w:rsid w:val="00E127D0"/>
    <w:rsid w:val="00E127F6"/>
    <w:rsid w:val="00E12849"/>
    <w:rsid w:val="00E12851"/>
    <w:rsid w:val="00E128B1"/>
    <w:rsid w:val="00E12963"/>
    <w:rsid w:val="00E1298F"/>
    <w:rsid w:val="00E129A4"/>
    <w:rsid w:val="00E12BC6"/>
    <w:rsid w:val="00E12C0A"/>
    <w:rsid w:val="00E12C1F"/>
    <w:rsid w:val="00E12C5C"/>
    <w:rsid w:val="00E12CCA"/>
    <w:rsid w:val="00E12E73"/>
    <w:rsid w:val="00E130D9"/>
    <w:rsid w:val="00E13237"/>
    <w:rsid w:val="00E1336A"/>
    <w:rsid w:val="00E13421"/>
    <w:rsid w:val="00E13485"/>
    <w:rsid w:val="00E134B0"/>
    <w:rsid w:val="00E13533"/>
    <w:rsid w:val="00E135C8"/>
    <w:rsid w:val="00E135F4"/>
    <w:rsid w:val="00E1362D"/>
    <w:rsid w:val="00E136C1"/>
    <w:rsid w:val="00E13746"/>
    <w:rsid w:val="00E1374C"/>
    <w:rsid w:val="00E137DA"/>
    <w:rsid w:val="00E13862"/>
    <w:rsid w:val="00E13959"/>
    <w:rsid w:val="00E139E4"/>
    <w:rsid w:val="00E13BDB"/>
    <w:rsid w:val="00E13C00"/>
    <w:rsid w:val="00E13C23"/>
    <w:rsid w:val="00E13C50"/>
    <w:rsid w:val="00E13D86"/>
    <w:rsid w:val="00E13D93"/>
    <w:rsid w:val="00E13E19"/>
    <w:rsid w:val="00E13EAA"/>
    <w:rsid w:val="00E13EC6"/>
    <w:rsid w:val="00E141EF"/>
    <w:rsid w:val="00E14470"/>
    <w:rsid w:val="00E14490"/>
    <w:rsid w:val="00E1456E"/>
    <w:rsid w:val="00E1459A"/>
    <w:rsid w:val="00E145A3"/>
    <w:rsid w:val="00E146E8"/>
    <w:rsid w:val="00E147C5"/>
    <w:rsid w:val="00E14A61"/>
    <w:rsid w:val="00E14A62"/>
    <w:rsid w:val="00E14AAD"/>
    <w:rsid w:val="00E14B17"/>
    <w:rsid w:val="00E14B80"/>
    <w:rsid w:val="00E14BF8"/>
    <w:rsid w:val="00E14C7B"/>
    <w:rsid w:val="00E14D37"/>
    <w:rsid w:val="00E14DB3"/>
    <w:rsid w:val="00E14DF1"/>
    <w:rsid w:val="00E14E32"/>
    <w:rsid w:val="00E14F77"/>
    <w:rsid w:val="00E15119"/>
    <w:rsid w:val="00E15120"/>
    <w:rsid w:val="00E1515C"/>
    <w:rsid w:val="00E151C2"/>
    <w:rsid w:val="00E15336"/>
    <w:rsid w:val="00E154A0"/>
    <w:rsid w:val="00E154E4"/>
    <w:rsid w:val="00E1567E"/>
    <w:rsid w:val="00E15808"/>
    <w:rsid w:val="00E158F7"/>
    <w:rsid w:val="00E1595F"/>
    <w:rsid w:val="00E15997"/>
    <w:rsid w:val="00E159C1"/>
    <w:rsid w:val="00E15B08"/>
    <w:rsid w:val="00E15BA8"/>
    <w:rsid w:val="00E15C01"/>
    <w:rsid w:val="00E15D52"/>
    <w:rsid w:val="00E15E6D"/>
    <w:rsid w:val="00E15F3C"/>
    <w:rsid w:val="00E15F6B"/>
    <w:rsid w:val="00E15FB5"/>
    <w:rsid w:val="00E160B9"/>
    <w:rsid w:val="00E1611C"/>
    <w:rsid w:val="00E16278"/>
    <w:rsid w:val="00E16362"/>
    <w:rsid w:val="00E163DD"/>
    <w:rsid w:val="00E16588"/>
    <w:rsid w:val="00E166C1"/>
    <w:rsid w:val="00E16716"/>
    <w:rsid w:val="00E16784"/>
    <w:rsid w:val="00E16BF1"/>
    <w:rsid w:val="00E16CA0"/>
    <w:rsid w:val="00E16CA1"/>
    <w:rsid w:val="00E16CC1"/>
    <w:rsid w:val="00E16DB5"/>
    <w:rsid w:val="00E16DF6"/>
    <w:rsid w:val="00E16E66"/>
    <w:rsid w:val="00E16EF0"/>
    <w:rsid w:val="00E16F90"/>
    <w:rsid w:val="00E1711F"/>
    <w:rsid w:val="00E17143"/>
    <w:rsid w:val="00E171DC"/>
    <w:rsid w:val="00E172A9"/>
    <w:rsid w:val="00E17522"/>
    <w:rsid w:val="00E176C1"/>
    <w:rsid w:val="00E1786D"/>
    <w:rsid w:val="00E179B1"/>
    <w:rsid w:val="00E17A58"/>
    <w:rsid w:val="00E17B44"/>
    <w:rsid w:val="00E17B99"/>
    <w:rsid w:val="00E17BDB"/>
    <w:rsid w:val="00E17CAA"/>
    <w:rsid w:val="00E17D92"/>
    <w:rsid w:val="00E17E93"/>
    <w:rsid w:val="00E20155"/>
    <w:rsid w:val="00E201DC"/>
    <w:rsid w:val="00E201F8"/>
    <w:rsid w:val="00E2020D"/>
    <w:rsid w:val="00E20415"/>
    <w:rsid w:val="00E20498"/>
    <w:rsid w:val="00E20594"/>
    <w:rsid w:val="00E20653"/>
    <w:rsid w:val="00E207D1"/>
    <w:rsid w:val="00E209CE"/>
    <w:rsid w:val="00E20ABE"/>
    <w:rsid w:val="00E20B6D"/>
    <w:rsid w:val="00E20C5D"/>
    <w:rsid w:val="00E20CB1"/>
    <w:rsid w:val="00E20E44"/>
    <w:rsid w:val="00E20EE4"/>
    <w:rsid w:val="00E20F27"/>
    <w:rsid w:val="00E20FD6"/>
    <w:rsid w:val="00E20FDB"/>
    <w:rsid w:val="00E2101B"/>
    <w:rsid w:val="00E21271"/>
    <w:rsid w:val="00E21288"/>
    <w:rsid w:val="00E2132C"/>
    <w:rsid w:val="00E214EF"/>
    <w:rsid w:val="00E21568"/>
    <w:rsid w:val="00E2165D"/>
    <w:rsid w:val="00E216A4"/>
    <w:rsid w:val="00E216CC"/>
    <w:rsid w:val="00E21714"/>
    <w:rsid w:val="00E21898"/>
    <w:rsid w:val="00E21B0C"/>
    <w:rsid w:val="00E21B53"/>
    <w:rsid w:val="00E21B5B"/>
    <w:rsid w:val="00E21CD2"/>
    <w:rsid w:val="00E21D3D"/>
    <w:rsid w:val="00E21E90"/>
    <w:rsid w:val="00E21E92"/>
    <w:rsid w:val="00E21EE9"/>
    <w:rsid w:val="00E21EFE"/>
    <w:rsid w:val="00E21FDC"/>
    <w:rsid w:val="00E22182"/>
    <w:rsid w:val="00E22443"/>
    <w:rsid w:val="00E2246E"/>
    <w:rsid w:val="00E224D0"/>
    <w:rsid w:val="00E22578"/>
    <w:rsid w:val="00E225BF"/>
    <w:rsid w:val="00E225F6"/>
    <w:rsid w:val="00E226C2"/>
    <w:rsid w:val="00E22709"/>
    <w:rsid w:val="00E22886"/>
    <w:rsid w:val="00E228B3"/>
    <w:rsid w:val="00E22A9F"/>
    <w:rsid w:val="00E22ACE"/>
    <w:rsid w:val="00E22B98"/>
    <w:rsid w:val="00E22CE7"/>
    <w:rsid w:val="00E22D7E"/>
    <w:rsid w:val="00E22F94"/>
    <w:rsid w:val="00E2302F"/>
    <w:rsid w:val="00E230AA"/>
    <w:rsid w:val="00E230CE"/>
    <w:rsid w:val="00E23121"/>
    <w:rsid w:val="00E23171"/>
    <w:rsid w:val="00E232B9"/>
    <w:rsid w:val="00E23558"/>
    <w:rsid w:val="00E23663"/>
    <w:rsid w:val="00E23681"/>
    <w:rsid w:val="00E2371E"/>
    <w:rsid w:val="00E237B8"/>
    <w:rsid w:val="00E23880"/>
    <w:rsid w:val="00E2389D"/>
    <w:rsid w:val="00E238DE"/>
    <w:rsid w:val="00E238E7"/>
    <w:rsid w:val="00E23CAA"/>
    <w:rsid w:val="00E23D03"/>
    <w:rsid w:val="00E23D0E"/>
    <w:rsid w:val="00E23D43"/>
    <w:rsid w:val="00E23DE3"/>
    <w:rsid w:val="00E23E24"/>
    <w:rsid w:val="00E23E66"/>
    <w:rsid w:val="00E23FAE"/>
    <w:rsid w:val="00E2403E"/>
    <w:rsid w:val="00E24161"/>
    <w:rsid w:val="00E2420C"/>
    <w:rsid w:val="00E24286"/>
    <w:rsid w:val="00E242C2"/>
    <w:rsid w:val="00E24313"/>
    <w:rsid w:val="00E2433B"/>
    <w:rsid w:val="00E24508"/>
    <w:rsid w:val="00E24543"/>
    <w:rsid w:val="00E245CC"/>
    <w:rsid w:val="00E2472F"/>
    <w:rsid w:val="00E24773"/>
    <w:rsid w:val="00E247B3"/>
    <w:rsid w:val="00E247B7"/>
    <w:rsid w:val="00E24818"/>
    <w:rsid w:val="00E2482C"/>
    <w:rsid w:val="00E249E4"/>
    <w:rsid w:val="00E24A0D"/>
    <w:rsid w:val="00E24B32"/>
    <w:rsid w:val="00E24D7C"/>
    <w:rsid w:val="00E24DDC"/>
    <w:rsid w:val="00E24FB1"/>
    <w:rsid w:val="00E25171"/>
    <w:rsid w:val="00E252F7"/>
    <w:rsid w:val="00E25341"/>
    <w:rsid w:val="00E257D8"/>
    <w:rsid w:val="00E25853"/>
    <w:rsid w:val="00E2586F"/>
    <w:rsid w:val="00E258AE"/>
    <w:rsid w:val="00E2599D"/>
    <w:rsid w:val="00E259A8"/>
    <w:rsid w:val="00E259CE"/>
    <w:rsid w:val="00E25B1F"/>
    <w:rsid w:val="00E25B20"/>
    <w:rsid w:val="00E25B86"/>
    <w:rsid w:val="00E25BD6"/>
    <w:rsid w:val="00E25CBC"/>
    <w:rsid w:val="00E25D07"/>
    <w:rsid w:val="00E25E24"/>
    <w:rsid w:val="00E25F54"/>
    <w:rsid w:val="00E25F5E"/>
    <w:rsid w:val="00E25F93"/>
    <w:rsid w:val="00E26037"/>
    <w:rsid w:val="00E260E8"/>
    <w:rsid w:val="00E2616F"/>
    <w:rsid w:val="00E26248"/>
    <w:rsid w:val="00E262CE"/>
    <w:rsid w:val="00E263F3"/>
    <w:rsid w:val="00E26441"/>
    <w:rsid w:val="00E2653C"/>
    <w:rsid w:val="00E2666F"/>
    <w:rsid w:val="00E26737"/>
    <w:rsid w:val="00E26799"/>
    <w:rsid w:val="00E267DC"/>
    <w:rsid w:val="00E267F0"/>
    <w:rsid w:val="00E2681D"/>
    <w:rsid w:val="00E2687A"/>
    <w:rsid w:val="00E268BD"/>
    <w:rsid w:val="00E269A9"/>
    <w:rsid w:val="00E26A44"/>
    <w:rsid w:val="00E26B53"/>
    <w:rsid w:val="00E26C2F"/>
    <w:rsid w:val="00E26C7F"/>
    <w:rsid w:val="00E26C90"/>
    <w:rsid w:val="00E26DCD"/>
    <w:rsid w:val="00E26DF0"/>
    <w:rsid w:val="00E26E8C"/>
    <w:rsid w:val="00E26ED5"/>
    <w:rsid w:val="00E26FDC"/>
    <w:rsid w:val="00E26FDE"/>
    <w:rsid w:val="00E27019"/>
    <w:rsid w:val="00E2703B"/>
    <w:rsid w:val="00E27062"/>
    <w:rsid w:val="00E270EF"/>
    <w:rsid w:val="00E2711A"/>
    <w:rsid w:val="00E2714A"/>
    <w:rsid w:val="00E2719C"/>
    <w:rsid w:val="00E272B8"/>
    <w:rsid w:val="00E27334"/>
    <w:rsid w:val="00E2756E"/>
    <w:rsid w:val="00E2770E"/>
    <w:rsid w:val="00E2774C"/>
    <w:rsid w:val="00E2776C"/>
    <w:rsid w:val="00E277BE"/>
    <w:rsid w:val="00E278A2"/>
    <w:rsid w:val="00E278FF"/>
    <w:rsid w:val="00E2791E"/>
    <w:rsid w:val="00E2794D"/>
    <w:rsid w:val="00E27B8B"/>
    <w:rsid w:val="00E27B8D"/>
    <w:rsid w:val="00E27BEC"/>
    <w:rsid w:val="00E27C46"/>
    <w:rsid w:val="00E27CEA"/>
    <w:rsid w:val="00E27D21"/>
    <w:rsid w:val="00E27D79"/>
    <w:rsid w:val="00E27D7F"/>
    <w:rsid w:val="00E27E77"/>
    <w:rsid w:val="00E27EA0"/>
    <w:rsid w:val="00E27F13"/>
    <w:rsid w:val="00E27FD6"/>
    <w:rsid w:val="00E27FEA"/>
    <w:rsid w:val="00E30006"/>
    <w:rsid w:val="00E30044"/>
    <w:rsid w:val="00E30241"/>
    <w:rsid w:val="00E306D2"/>
    <w:rsid w:val="00E307C6"/>
    <w:rsid w:val="00E30873"/>
    <w:rsid w:val="00E30B35"/>
    <w:rsid w:val="00E30D26"/>
    <w:rsid w:val="00E30DDC"/>
    <w:rsid w:val="00E3109C"/>
    <w:rsid w:val="00E311E0"/>
    <w:rsid w:val="00E3135D"/>
    <w:rsid w:val="00E314F5"/>
    <w:rsid w:val="00E3151E"/>
    <w:rsid w:val="00E3157E"/>
    <w:rsid w:val="00E31611"/>
    <w:rsid w:val="00E31666"/>
    <w:rsid w:val="00E316CE"/>
    <w:rsid w:val="00E316D4"/>
    <w:rsid w:val="00E3171F"/>
    <w:rsid w:val="00E3181D"/>
    <w:rsid w:val="00E31841"/>
    <w:rsid w:val="00E319B4"/>
    <w:rsid w:val="00E31A2E"/>
    <w:rsid w:val="00E31A57"/>
    <w:rsid w:val="00E31A68"/>
    <w:rsid w:val="00E31A9E"/>
    <w:rsid w:val="00E31AD5"/>
    <w:rsid w:val="00E31C11"/>
    <w:rsid w:val="00E31C12"/>
    <w:rsid w:val="00E31D26"/>
    <w:rsid w:val="00E31E11"/>
    <w:rsid w:val="00E31F7A"/>
    <w:rsid w:val="00E32243"/>
    <w:rsid w:val="00E32873"/>
    <w:rsid w:val="00E32A80"/>
    <w:rsid w:val="00E32A9E"/>
    <w:rsid w:val="00E32ABF"/>
    <w:rsid w:val="00E32C5F"/>
    <w:rsid w:val="00E32D13"/>
    <w:rsid w:val="00E32DE3"/>
    <w:rsid w:val="00E32E88"/>
    <w:rsid w:val="00E32F13"/>
    <w:rsid w:val="00E32F4D"/>
    <w:rsid w:val="00E33069"/>
    <w:rsid w:val="00E33089"/>
    <w:rsid w:val="00E33201"/>
    <w:rsid w:val="00E332FC"/>
    <w:rsid w:val="00E33394"/>
    <w:rsid w:val="00E3344C"/>
    <w:rsid w:val="00E334B7"/>
    <w:rsid w:val="00E33577"/>
    <w:rsid w:val="00E335D9"/>
    <w:rsid w:val="00E33644"/>
    <w:rsid w:val="00E33850"/>
    <w:rsid w:val="00E33A54"/>
    <w:rsid w:val="00E33AA3"/>
    <w:rsid w:val="00E33B7B"/>
    <w:rsid w:val="00E33D4F"/>
    <w:rsid w:val="00E33E5C"/>
    <w:rsid w:val="00E3403F"/>
    <w:rsid w:val="00E3438B"/>
    <w:rsid w:val="00E34461"/>
    <w:rsid w:val="00E34480"/>
    <w:rsid w:val="00E34484"/>
    <w:rsid w:val="00E345F3"/>
    <w:rsid w:val="00E346D8"/>
    <w:rsid w:val="00E34932"/>
    <w:rsid w:val="00E349DA"/>
    <w:rsid w:val="00E34C59"/>
    <w:rsid w:val="00E34C88"/>
    <w:rsid w:val="00E34CAF"/>
    <w:rsid w:val="00E34D58"/>
    <w:rsid w:val="00E34E24"/>
    <w:rsid w:val="00E34E94"/>
    <w:rsid w:val="00E34EEF"/>
    <w:rsid w:val="00E34F2F"/>
    <w:rsid w:val="00E34FB2"/>
    <w:rsid w:val="00E34FEE"/>
    <w:rsid w:val="00E35087"/>
    <w:rsid w:val="00E351E5"/>
    <w:rsid w:val="00E35235"/>
    <w:rsid w:val="00E3530A"/>
    <w:rsid w:val="00E354DF"/>
    <w:rsid w:val="00E355FB"/>
    <w:rsid w:val="00E35700"/>
    <w:rsid w:val="00E35779"/>
    <w:rsid w:val="00E357DF"/>
    <w:rsid w:val="00E35876"/>
    <w:rsid w:val="00E3593F"/>
    <w:rsid w:val="00E359B2"/>
    <w:rsid w:val="00E359D3"/>
    <w:rsid w:val="00E35A61"/>
    <w:rsid w:val="00E35AF9"/>
    <w:rsid w:val="00E35BEF"/>
    <w:rsid w:val="00E35C7C"/>
    <w:rsid w:val="00E35CBB"/>
    <w:rsid w:val="00E35F60"/>
    <w:rsid w:val="00E35FCB"/>
    <w:rsid w:val="00E35FD0"/>
    <w:rsid w:val="00E3618C"/>
    <w:rsid w:val="00E361D7"/>
    <w:rsid w:val="00E36349"/>
    <w:rsid w:val="00E3656E"/>
    <w:rsid w:val="00E36648"/>
    <w:rsid w:val="00E3673E"/>
    <w:rsid w:val="00E36752"/>
    <w:rsid w:val="00E368D8"/>
    <w:rsid w:val="00E36A95"/>
    <w:rsid w:val="00E36A9D"/>
    <w:rsid w:val="00E36B57"/>
    <w:rsid w:val="00E36BBE"/>
    <w:rsid w:val="00E36D8C"/>
    <w:rsid w:val="00E36F29"/>
    <w:rsid w:val="00E36F99"/>
    <w:rsid w:val="00E37128"/>
    <w:rsid w:val="00E37389"/>
    <w:rsid w:val="00E373AB"/>
    <w:rsid w:val="00E373EA"/>
    <w:rsid w:val="00E37407"/>
    <w:rsid w:val="00E37456"/>
    <w:rsid w:val="00E374EA"/>
    <w:rsid w:val="00E37530"/>
    <w:rsid w:val="00E37531"/>
    <w:rsid w:val="00E3754D"/>
    <w:rsid w:val="00E376C3"/>
    <w:rsid w:val="00E3771C"/>
    <w:rsid w:val="00E37765"/>
    <w:rsid w:val="00E37799"/>
    <w:rsid w:val="00E3785B"/>
    <w:rsid w:val="00E3789D"/>
    <w:rsid w:val="00E37A20"/>
    <w:rsid w:val="00E37A27"/>
    <w:rsid w:val="00E37A63"/>
    <w:rsid w:val="00E37AE3"/>
    <w:rsid w:val="00E37AF4"/>
    <w:rsid w:val="00E37B3B"/>
    <w:rsid w:val="00E37B5A"/>
    <w:rsid w:val="00E37CCE"/>
    <w:rsid w:val="00E37CD4"/>
    <w:rsid w:val="00E37D0E"/>
    <w:rsid w:val="00E37DE1"/>
    <w:rsid w:val="00E37F7D"/>
    <w:rsid w:val="00E37FA5"/>
    <w:rsid w:val="00E400F0"/>
    <w:rsid w:val="00E40120"/>
    <w:rsid w:val="00E40190"/>
    <w:rsid w:val="00E402D1"/>
    <w:rsid w:val="00E402D4"/>
    <w:rsid w:val="00E403E7"/>
    <w:rsid w:val="00E40436"/>
    <w:rsid w:val="00E4063E"/>
    <w:rsid w:val="00E4065B"/>
    <w:rsid w:val="00E4086F"/>
    <w:rsid w:val="00E40897"/>
    <w:rsid w:val="00E40A3F"/>
    <w:rsid w:val="00E40A67"/>
    <w:rsid w:val="00E40A89"/>
    <w:rsid w:val="00E40A93"/>
    <w:rsid w:val="00E40AC6"/>
    <w:rsid w:val="00E40B02"/>
    <w:rsid w:val="00E40B76"/>
    <w:rsid w:val="00E40B9E"/>
    <w:rsid w:val="00E40DAD"/>
    <w:rsid w:val="00E40E78"/>
    <w:rsid w:val="00E40FCA"/>
    <w:rsid w:val="00E41192"/>
    <w:rsid w:val="00E411D4"/>
    <w:rsid w:val="00E413AF"/>
    <w:rsid w:val="00E41431"/>
    <w:rsid w:val="00E41519"/>
    <w:rsid w:val="00E41586"/>
    <w:rsid w:val="00E41677"/>
    <w:rsid w:val="00E41691"/>
    <w:rsid w:val="00E41846"/>
    <w:rsid w:val="00E4184D"/>
    <w:rsid w:val="00E418A9"/>
    <w:rsid w:val="00E418C1"/>
    <w:rsid w:val="00E4198D"/>
    <w:rsid w:val="00E41BA6"/>
    <w:rsid w:val="00E41C90"/>
    <w:rsid w:val="00E41D3E"/>
    <w:rsid w:val="00E41F12"/>
    <w:rsid w:val="00E420E9"/>
    <w:rsid w:val="00E4217E"/>
    <w:rsid w:val="00E42197"/>
    <w:rsid w:val="00E42439"/>
    <w:rsid w:val="00E4243B"/>
    <w:rsid w:val="00E425C4"/>
    <w:rsid w:val="00E42627"/>
    <w:rsid w:val="00E426C7"/>
    <w:rsid w:val="00E427EC"/>
    <w:rsid w:val="00E428BA"/>
    <w:rsid w:val="00E429F3"/>
    <w:rsid w:val="00E42B0E"/>
    <w:rsid w:val="00E42B16"/>
    <w:rsid w:val="00E42B57"/>
    <w:rsid w:val="00E42B5B"/>
    <w:rsid w:val="00E42B7B"/>
    <w:rsid w:val="00E42BCE"/>
    <w:rsid w:val="00E42CD7"/>
    <w:rsid w:val="00E42D68"/>
    <w:rsid w:val="00E42E27"/>
    <w:rsid w:val="00E42EC7"/>
    <w:rsid w:val="00E42F36"/>
    <w:rsid w:val="00E43062"/>
    <w:rsid w:val="00E430A2"/>
    <w:rsid w:val="00E4323D"/>
    <w:rsid w:val="00E43377"/>
    <w:rsid w:val="00E433C7"/>
    <w:rsid w:val="00E43461"/>
    <w:rsid w:val="00E43464"/>
    <w:rsid w:val="00E43555"/>
    <w:rsid w:val="00E435D1"/>
    <w:rsid w:val="00E43601"/>
    <w:rsid w:val="00E43686"/>
    <w:rsid w:val="00E43783"/>
    <w:rsid w:val="00E437B5"/>
    <w:rsid w:val="00E437B7"/>
    <w:rsid w:val="00E43902"/>
    <w:rsid w:val="00E43A35"/>
    <w:rsid w:val="00E43A36"/>
    <w:rsid w:val="00E43B3C"/>
    <w:rsid w:val="00E43B70"/>
    <w:rsid w:val="00E43CE7"/>
    <w:rsid w:val="00E43F89"/>
    <w:rsid w:val="00E44185"/>
    <w:rsid w:val="00E4435F"/>
    <w:rsid w:val="00E444B3"/>
    <w:rsid w:val="00E44559"/>
    <w:rsid w:val="00E445C4"/>
    <w:rsid w:val="00E44684"/>
    <w:rsid w:val="00E446D5"/>
    <w:rsid w:val="00E44701"/>
    <w:rsid w:val="00E44779"/>
    <w:rsid w:val="00E4481E"/>
    <w:rsid w:val="00E44855"/>
    <w:rsid w:val="00E44857"/>
    <w:rsid w:val="00E4488B"/>
    <w:rsid w:val="00E448BE"/>
    <w:rsid w:val="00E448D3"/>
    <w:rsid w:val="00E448F0"/>
    <w:rsid w:val="00E449A5"/>
    <w:rsid w:val="00E44A3B"/>
    <w:rsid w:val="00E44B84"/>
    <w:rsid w:val="00E44C09"/>
    <w:rsid w:val="00E44C52"/>
    <w:rsid w:val="00E44D04"/>
    <w:rsid w:val="00E44F07"/>
    <w:rsid w:val="00E45063"/>
    <w:rsid w:val="00E45067"/>
    <w:rsid w:val="00E451EE"/>
    <w:rsid w:val="00E45212"/>
    <w:rsid w:val="00E45225"/>
    <w:rsid w:val="00E45394"/>
    <w:rsid w:val="00E45425"/>
    <w:rsid w:val="00E45495"/>
    <w:rsid w:val="00E454FC"/>
    <w:rsid w:val="00E4555B"/>
    <w:rsid w:val="00E45678"/>
    <w:rsid w:val="00E457CB"/>
    <w:rsid w:val="00E458B2"/>
    <w:rsid w:val="00E45917"/>
    <w:rsid w:val="00E459C8"/>
    <w:rsid w:val="00E45A12"/>
    <w:rsid w:val="00E45A31"/>
    <w:rsid w:val="00E45C0C"/>
    <w:rsid w:val="00E45D13"/>
    <w:rsid w:val="00E45DEB"/>
    <w:rsid w:val="00E45DFF"/>
    <w:rsid w:val="00E45E08"/>
    <w:rsid w:val="00E45F49"/>
    <w:rsid w:val="00E460CE"/>
    <w:rsid w:val="00E4626F"/>
    <w:rsid w:val="00E4631A"/>
    <w:rsid w:val="00E4646A"/>
    <w:rsid w:val="00E46833"/>
    <w:rsid w:val="00E468DB"/>
    <w:rsid w:val="00E46925"/>
    <w:rsid w:val="00E46AF5"/>
    <w:rsid w:val="00E46BBE"/>
    <w:rsid w:val="00E46C2F"/>
    <w:rsid w:val="00E46C55"/>
    <w:rsid w:val="00E46D79"/>
    <w:rsid w:val="00E46F46"/>
    <w:rsid w:val="00E47026"/>
    <w:rsid w:val="00E47102"/>
    <w:rsid w:val="00E471F1"/>
    <w:rsid w:val="00E473D9"/>
    <w:rsid w:val="00E47772"/>
    <w:rsid w:val="00E477AF"/>
    <w:rsid w:val="00E47AAD"/>
    <w:rsid w:val="00E47B12"/>
    <w:rsid w:val="00E47B36"/>
    <w:rsid w:val="00E47B52"/>
    <w:rsid w:val="00E47D9B"/>
    <w:rsid w:val="00E47DD5"/>
    <w:rsid w:val="00E47F5D"/>
    <w:rsid w:val="00E47FBF"/>
    <w:rsid w:val="00E47FD5"/>
    <w:rsid w:val="00E500FF"/>
    <w:rsid w:val="00E50133"/>
    <w:rsid w:val="00E50157"/>
    <w:rsid w:val="00E50188"/>
    <w:rsid w:val="00E50240"/>
    <w:rsid w:val="00E50314"/>
    <w:rsid w:val="00E50441"/>
    <w:rsid w:val="00E504A9"/>
    <w:rsid w:val="00E505CC"/>
    <w:rsid w:val="00E5063E"/>
    <w:rsid w:val="00E506F7"/>
    <w:rsid w:val="00E5073E"/>
    <w:rsid w:val="00E50742"/>
    <w:rsid w:val="00E5084C"/>
    <w:rsid w:val="00E5095E"/>
    <w:rsid w:val="00E50999"/>
    <w:rsid w:val="00E509AE"/>
    <w:rsid w:val="00E509D5"/>
    <w:rsid w:val="00E509F0"/>
    <w:rsid w:val="00E50B00"/>
    <w:rsid w:val="00E50BB3"/>
    <w:rsid w:val="00E50BBC"/>
    <w:rsid w:val="00E50BC3"/>
    <w:rsid w:val="00E50D10"/>
    <w:rsid w:val="00E50D81"/>
    <w:rsid w:val="00E50DD8"/>
    <w:rsid w:val="00E50E1B"/>
    <w:rsid w:val="00E50F42"/>
    <w:rsid w:val="00E50F7A"/>
    <w:rsid w:val="00E50FA6"/>
    <w:rsid w:val="00E512EF"/>
    <w:rsid w:val="00E51407"/>
    <w:rsid w:val="00E515CB"/>
    <w:rsid w:val="00E51700"/>
    <w:rsid w:val="00E5185A"/>
    <w:rsid w:val="00E51883"/>
    <w:rsid w:val="00E519E9"/>
    <w:rsid w:val="00E51B88"/>
    <w:rsid w:val="00E51C69"/>
    <w:rsid w:val="00E51D1A"/>
    <w:rsid w:val="00E51D43"/>
    <w:rsid w:val="00E51D47"/>
    <w:rsid w:val="00E51E10"/>
    <w:rsid w:val="00E51EF1"/>
    <w:rsid w:val="00E51F58"/>
    <w:rsid w:val="00E52094"/>
    <w:rsid w:val="00E520F7"/>
    <w:rsid w:val="00E5215D"/>
    <w:rsid w:val="00E5225E"/>
    <w:rsid w:val="00E52260"/>
    <w:rsid w:val="00E522A2"/>
    <w:rsid w:val="00E522AA"/>
    <w:rsid w:val="00E5247A"/>
    <w:rsid w:val="00E52606"/>
    <w:rsid w:val="00E52654"/>
    <w:rsid w:val="00E526B9"/>
    <w:rsid w:val="00E5279E"/>
    <w:rsid w:val="00E529A0"/>
    <w:rsid w:val="00E52AA4"/>
    <w:rsid w:val="00E52AB7"/>
    <w:rsid w:val="00E52BFD"/>
    <w:rsid w:val="00E52C02"/>
    <w:rsid w:val="00E52EBB"/>
    <w:rsid w:val="00E53031"/>
    <w:rsid w:val="00E53080"/>
    <w:rsid w:val="00E5318B"/>
    <w:rsid w:val="00E531D9"/>
    <w:rsid w:val="00E5364F"/>
    <w:rsid w:val="00E53684"/>
    <w:rsid w:val="00E5380F"/>
    <w:rsid w:val="00E5391E"/>
    <w:rsid w:val="00E539D0"/>
    <w:rsid w:val="00E539D5"/>
    <w:rsid w:val="00E53B99"/>
    <w:rsid w:val="00E53E57"/>
    <w:rsid w:val="00E540F2"/>
    <w:rsid w:val="00E5410C"/>
    <w:rsid w:val="00E54279"/>
    <w:rsid w:val="00E542C5"/>
    <w:rsid w:val="00E54423"/>
    <w:rsid w:val="00E54493"/>
    <w:rsid w:val="00E54536"/>
    <w:rsid w:val="00E54617"/>
    <w:rsid w:val="00E54878"/>
    <w:rsid w:val="00E548DE"/>
    <w:rsid w:val="00E54A09"/>
    <w:rsid w:val="00E54B08"/>
    <w:rsid w:val="00E54B6B"/>
    <w:rsid w:val="00E54C11"/>
    <w:rsid w:val="00E54DBA"/>
    <w:rsid w:val="00E54F0A"/>
    <w:rsid w:val="00E55010"/>
    <w:rsid w:val="00E5511A"/>
    <w:rsid w:val="00E55142"/>
    <w:rsid w:val="00E55168"/>
    <w:rsid w:val="00E5528E"/>
    <w:rsid w:val="00E552DD"/>
    <w:rsid w:val="00E55392"/>
    <w:rsid w:val="00E55401"/>
    <w:rsid w:val="00E55438"/>
    <w:rsid w:val="00E554C4"/>
    <w:rsid w:val="00E55734"/>
    <w:rsid w:val="00E55ABE"/>
    <w:rsid w:val="00E55B04"/>
    <w:rsid w:val="00E55B2A"/>
    <w:rsid w:val="00E55B82"/>
    <w:rsid w:val="00E55BB3"/>
    <w:rsid w:val="00E55C3D"/>
    <w:rsid w:val="00E55C6C"/>
    <w:rsid w:val="00E55DB0"/>
    <w:rsid w:val="00E55DEE"/>
    <w:rsid w:val="00E55F36"/>
    <w:rsid w:val="00E55F5F"/>
    <w:rsid w:val="00E56168"/>
    <w:rsid w:val="00E561FC"/>
    <w:rsid w:val="00E56210"/>
    <w:rsid w:val="00E5621D"/>
    <w:rsid w:val="00E5648A"/>
    <w:rsid w:val="00E565EE"/>
    <w:rsid w:val="00E56659"/>
    <w:rsid w:val="00E56685"/>
    <w:rsid w:val="00E56687"/>
    <w:rsid w:val="00E5670F"/>
    <w:rsid w:val="00E56795"/>
    <w:rsid w:val="00E568E8"/>
    <w:rsid w:val="00E56ACC"/>
    <w:rsid w:val="00E56B20"/>
    <w:rsid w:val="00E56B32"/>
    <w:rsid w:val="00E56B66"/>
    <w:rsid w:val="00E56C1F"/>
    <w:rsid w:val="00E56FAE"/>
    <w:rsid w:val="00E57012"/>
    <w:rsid w:val="00E57131"/>
    <w:rsid w:val="00E57175"/>
    <w:rsid w:val="00E571C6"/>
    <w:rsid w:val="00E57248"/>
    <w:rsid w:val="00E573CC"/>
    <w:rsid w:val="00E57409"/>
    <w:rsid w:val="00E574E8"/>
    <w:rsid w:val="00E575A9"/>
    <w:rsid w:val="00E57714"/>
    <w:rsid w:val="00E57741"/>
    <w:rsid w:val="00E57745"/>
    <w:rsid w:val="00E578D9"/>
    <w:rsid w:val="00E57A17"/>
    <w:rsid w:val="00E57A89"/>
    <w:rsid w:val="00E57AEC"/>
    <w:rsid w:val="00E57B51"/>
    <w:rsid w:val="00E57BA7"/>
    <w:rsid w:val="00E57DDD"/>
    <w:rsid w:val="00E57F2C"/>
    <w:rsid w:val="00E5E989"/>
    <w:rsid w:val="00E60037"/>
    <w:rsid w:val="00E60043"/>
    <w:rsid w:val="00E60089"/>
    <w:rsid w:val="00E60177"/>
    <w:rsid w:val="00E6024A"/>
    <w:rsid w:val="00E602CA"/>
    <w:rsid w:val="00E6031D"/>
    <w:rsid w:val="00E603D0"/>
    <w:rsid w:val="00E6051D"/>
    <w:rsid w:val="00E6074F"/>
    <w:rsid w:val="00E6096D"/>
    <w:rsid w:val="00E609A3"/>
    <w:rsid w:val="00E60B25"/>
    <w:rsid w:val="00E60C33"/>
    <w:rsid w:val="00E60CB0"/>
    <w:rsid w:val="00E60D04"/>
    <w:rsid w:val="00E60EB6"/>
    <w:rsid w:val="00E60FB2"/>
    <w:rsid w:val="00E6100C"/>
    <w:rsid w:val="00E6114C"/>
    <w:rsid w:val="00E6119E"/>
    <w:rsid w:val="00E611AD"/>
    <w:rsid w:val="00E61296"/>
    <w:rsid w:val="00E6137A"/>
    <w:rsid w:val="00E61523"/>
    <w:rsid w:val="00E61737"/>
    <w:rsid w:val="00E617D2"/>
    <w:rsid w:val="00E619BD"/>
    <w:rsid w:val="00E619E0"/>
    <w:rsid w:val="00E61A25"/>
    <w:rsid w:val="00E61C6C"/>
    <w:rsid w:val="00E61CB9"/>
    <w:rsid w:val="00E61DDB"/>
    <w:rsid w:val="00E61DE0"/>
    <w:rsid w:val="00E61F11"/>
    <w:rsid w:val="00E61F53"/>
    <w:rsid w:val="00E61FC1"/>
    <w:rsid w:val="00E62012"/>
    <w:rsid w:val="00E62058"/>
    <w:rsid w:val="00E620C1"/>
    <w:rsid w:val="00E62139"/>
    <w:rsid w:val="00E62330"/>
    <w:rsid w:val="00E62466"/>
    <w:rsid w:val="00E62514"/>
    <w:rsid w:val="00E62537"/>
    <w:rsid w:val="00E62638"/>
    <w:rsid w:val="00E6269C"/>
    <w:rsid w:val="00E62753"/>
    <w:rsid w:val="00E6281A"/>
    <w:rsid w:val="00E6282D"/>
    <w:rsid w:val="00E62847"/>
    <w:rsid w:val="00E628A9"/>
    <w:rsid w:val="00E62908"/>
    <w:rsid w:val="00E6297B"/>
    <w:rsid w:val="00E629F7"/>
    <w:rsid w:val="00E62A5A"/>
    <w:rsid w:val="00E62BFB"/>
    <w:rsid w:val="00E62C81"/>
    <w:rsid w:val="00E62D7A"/>
    <w:rsid w:val="00E62DCC"/>
    <w:rsid w:val="00E62E2D"/>
    <w:rsid w:val="00E62F0D"/>
    <w:rsid w:val="00E62F1D"/>
    <w:rsid w:val="00E630F3"/>
    <w:rsid w:val="00E6313E"/>
    <w:rsid w:val="00E631AD"/>
    <w:rsid w:val="00E6322E"/>
    <w:rsid w:val="00E6324A"/>
    <w:rsid w:val="00E6340F"/>
    <w:rsid w:val="00E6356A"/>
    <w:rsid w:val="00E636B9"/>
    <w:rsid w:val="00E6372D"/>
    <w:rsid w:val="00E63730"/>
    <w:rsid w:val="00E637E1"/>
    <w:rsid w:val="00E638CE"/>
    <w:rsid w:val="00E6399E"/>
    <w:rsid w:val="00E639B6"/>
    <w:rsid w:val="00E63BD3"/>
    <w:rsid w:val="00E63D02"/>
    <w:rsid w:val="00E63D30"/>
    <w:rsid w:val="00E63DBE"/>
    <w:rsid w:val="00E63F02"/>
    <w:rsid w:val="00E63FC1"/>
    <w:rsid w:val="00E6401A"/>
    <w:rsid w:val="00E64070"/>
    <w:rsid w:val="00E640FA"/>
    <w:rsid w:val="00E641C9"/>
    <w:rsid w:val="00E642E6"/>
    <w:rsid w:val="00E6434B"/>
    <w:rsid w:val="00E6437D"/>
    <w:rsid w:val="00E643FE"/>
    <w:rsid w:val="00E644A9"/>
    <w:rsid w:val="00E64570"/>
    <w:rsid w:val="00E6463D"/>
    <w:rsid w:val="00E64695"/>
    <w:rsid w:val="00E646EB"/>
    <w:rsid w:val="00E6471A"/>
    <w:rsid w:val="00E647EE"/>
    <w:rsid w:val="00E64857"/>
    <w:rsid w:val="00E649CB"/>
    <w:rsid w:val="00E649E2"/>
    <w:rsid w:val="00E649E9"/>
    <w:rsid w:val="00E64A5C"/>
    <w:rsid w:val="00E64A75"/>
    <w:rsid w:val="00E64AAE"/>
    <w:rsid w:val="00E64B02"/>
    <w:rsid w:val="00E64BFE"/>
    <w:rsid w:val="00E64C1D"/>
    <w:rsid w:val="00E64C60"/>
    <w:rsid w:val="00E64C7F"/>
    <w:rsid w:val="00E64CCC"/>
    <w:rsid w:val="00E64CEA"/>
    <w:rsid w:val="00E64E11"/>
    <w:rsid w:val="00E64E98"/>
    <w:rsid w:val="00E64F7C"/>
    <w:rsid w:val="00E65138"/>
    <w:rsid w:val="00E6529C"/>
    <w:rsid w:val="00E65305"/>
    <w:rsid w:val="00E655E3"/>
    <w:rsid w:val="00E65616"/>
    <w:rsid w:val="00E6566F"/>
    <w:rsid w:val="00E65720"/>
    <w:rsid w:val="00E658BD"/>
    <w:rsid w:val="00E65A24"/>
    <w:rsid w:val="00E65A3A"/>
    <w:rsid w:val="00E65B38"/>
    <w:rsid w:val="00E65BAC"/>
    <w:rsid w:val="00E65D1D"/>
    <w:rsid w:val="00E65D9C"/>
    <w:rsid w:val="00E65E3D"/>
    <w:rsid w:val="00E65F19"/>
    <w:rsid w:val="00E65F22"/>
    <w:rsid w:val="00E65F66"/>
    <w:rsid w:val="00E66040"/>
    <w:rsid w:val="00E661F8"/>
    <w:rsid w:val="00E66220"/>
    <w:rsid w:val="00E662C7"/>
    <w:rsid w:val="00E66325"/>
    <w:rsid w:val="00E6643F"/>
    <w:rsid w:val="00E66456"/>
    <w:rsid w:val="00E6660B"/>
    <w:rsid w:val="00E667E0"/>
    <w:rsid w:val="00E66949"/>
    <w:rsid w:val="00E66C22"/>
    <w:rsid w:val="00E6700E"/>
    <w:rsid w:val="00E67067"/>
    <w:rsid w:val="00E6721B"/>
    <w:rsid w:val="00E676A7"/>
    <w:rsid w:val="00E676C1"/>
    <w:rsid w:val="00E678BC"/>
    <w:rsid w:val="00E67A5C"/>
    <w:rsid w:val="00E67A82"/>
    <w:rsid w:val="00E67A8C"/>
    <w:rsid w:val="00E67B6D"/>
    <w:rsid w:val="00E67B74"/>
    <w:rsid w:val="00E67C4A"/>
    <w:rsid w:val="00E67D5A"/>
    <w:rsid w:val="00E67DBE"/>
    <w:rsid w:val="00E67E01"/>
    <w:rsid w:val="00E67EC7"/>
    <w:rsid w:val="00E67EF8"/>
    <w:rsid w:val="00E67F09"/>
    <w:rsid w:val="00E67F51"/>
    <w:rsid w:val="00E67FC6"/>
    <w:rsid w:val="00E70042"/>
    <w:rsid w:val="00E700E5"/>
    <w:rsid w:val="00E701A7"/>
    <w:rsid w:val="00E703FC"/>
    <w:rsid w:val="00E7040D"/>
    <w:rsid w:val="00E70649"/>
    <w:rsid w:val="00E7068C"/>
    <w:rsid w:val="00E7076C"/>
    <w:rsid w:val="00E707BD"/>
    <w:rsid w:val="00E70829"/>
    <w:rsid w:val="00E7093B"/>
    <w:rsid w:val="00E7096A"/>
    <w:rsid w:val="00E70A1C"/>
    <w:rsid w:val="00E70A6D"/>
    <w:rsid w:val="00E70BF2"/>
    <w:rsid w:val="00E70C6C"/>
    <w:rsid w:val="00E70DA4"/>
    <w:rsid w:val="00E70F90"/>
    <w:rsid w:val="00E7101D"/>
    <w:rsid w:val="00E710A6"/>
    <w:rsid w:val="00E71285"/>
    <w:rsid w:val="00E7131B"/>
    <w:rsid w:val="00E7143D"/>
    <w:rsid w:val="00E7156B"/>
    <w:rsid w:val="00E715AB"/>
    <w:rsid w:val="00E71734"/>
    <w:rsid w:val="00E71743"/>
    <w:rsid w:val="00E7175A"/>
    <w:rsid w:val="00E717B9"/>
    <w:rsid w:val="00E71A62"/>
    <w:rsid w:val="00E71C16"/>
    <w:rsid w:val="00E71C48"/>
    <w:rsid w:val="00E71C6A"/>
    <w:rsid w:val="00E71DBC"/>
    <w:rsid w:val="00E71E6A"/>
    <w:rsid w:val="00E71F3A"/>
    <w:rsid w:val="00E7206A"/>
    <w:rsid w:val="00E72098"/>
    <w:rsid w:val="00E720C6"/>
    <w:rsid w:val="00E7217F"/>
    <w:rsid w:val="00E72245"/>
    <w:rsid w:val="00E723AB"/>
    <w:rsid w:val="00E72430"/>
    <w:rsid w:val="00E725D8"/>
    <w:rsid w:val="00E7279E"/>
    <w:rsid w:val="00E72B2A"/>
    <w:rsid w:val="00E72CB7"/>
    <w:rsid w:val="00E72D10"/>
    <w:rsid w:val="00E72D66"/>
    <w:rsid w:val="00E72E55"/>
    <w:rsid w:val="00E72E9B"/>
    <w:rsid w:val="00E72F5D"/>
    <w:rsid w:val="00E72F6E"/>
    <w:rsid w:val="00E72FF8"/>
    <w:rsid w:val="00E7305C"/>
    <w:rsid w:val="00E7319F"/>
    <w:rsid w:val="00E731DB"/>
    <w:rsid w:val="00E73264"/>
    <w:rsid w:val="00E73333"/>
    <w:rsid w:val="00E734E6"/>
    <w:rsid w:val="00E73582"/>
    <w:rsid w:val="00E735B7"/>
    <w:rsid w:val="00E7372B"/>
    <w:rsid w:val="00E737E3"/>
    <w:rsid w:val="00E73969"/>
    <w:rsid w:val="00E73AA3"/>
    <w:rsid w:val="00E73AE4"/>
    <w:rsid w:val="00E73B1C"/>
    <w:rsid w:val="00E73BAD"/>
    <w:rsid w:val="00E73C45"/>
    <w:rsid w:val="00E73D89"/>
    <w:rsid w:val="00E73DA9"/>
    <w:rsid w:val="00E73E5B"/>
    <w:rsid w:val="00E73EB0"/>
    <w:rsid w:val="00E7408E"/>
    <w:rsid w:val="00E740FA"/>
    <w:rsid w:val="00E74105"/>
    <w:rsid w:val="00E74168"/>
    <w:rsid w:val="00E74381"/>
    <w:rsid w:val="00E74492"/>
    <w:rsid w:val="00E744E9"/>
    <w:rsid w:val="00E7450A"/>
    <w:rsid w:val="00E745F2"/>
    <w:rsid w:val="00E74635"/>
    <w:rsid w:val="00E747E1"/>
    <w:rsid w:val="00E74918"/>
    <w:rsid w:val="00E749A1"/>
    <w:rsid w:val="00E74B83"/>
    <w:rsid w:val="00E74BD0"/>
    <w:rsid w:val="00E74C0F"/>
    <w:rsid w:val="00E74C9F"/>
    <w:rsid w:val="00E74D79"/>
    <w:rsid w:val="00E74EE3"/>
    <w:rsid w:val="00E74F33"/>
    <w:rsid w:val="00E751C7"/>
    <w:rsid w:val="00E753AB"/>
    <w:rsid w:val="00E75460"/>
    <w:rsid w:val="00E754CE"/>
    <w:rsid w:val="00E754E4"/>
    <w:rsid w:val="00E75623"/>
    <w:rsid w:val="00E75636"/>
    <w:rsid w:val="00E7565F"/>
    <w:rsid w:val="00E758BB"/>
    <w:rsid w:val="00E75B32"/>
    <w:rsid w:val="00E75C0E"/>
    <w:rsid w:val="00E75C3D"/>
    <w:rsid w:val="00E75D23"/>
    <w:rsid w:val="00E75D2F"/>
    <w:rsid w:val="00E75D98"/>
    <w:rsid w:val="00E75DF5"/>
    <w:rsid w:val="00E75E6D"/>
    <w:rsid w:val="00E760F6"/>
    <w:rsid w:val="00E76405"/>
    <w:rsid w:val="00E76444"/>
    <w:rsid w:val="00E7654C"/>
    <w:rsid w:val="00E765C2"/>
    <w:rsid w:val="00E7667B"/>
    <w:rsid w:val="00E768E1"/>
    <w:rsid w:val="00E76946"/>
    <w:rsid w:val="00E769C8"/>
    <w:rsid w:val="00E769D8"/>
    <w:rsid w:val="00E76A08"/>
    <w:rsid w:val="00E76AB9"/>
    <w:rsid w:val="00E76B09"/>
    <w:rsid w:val="00E76B4B"/>
    <w:rsid w:val="00E76EDD"/>
    <w:rsid w:val="00E76EE3"/>
    <w:rsid w:val="00E76F94"/>
    <w:rsid w:val="00E7702F"/>
    <w:rsid w:val="00E770A7"/>
    <w:rsid w:val="00E77167"/>
    <w:rsid w:val="00E77582"/>
    <w:rsid w:val="00E77760"/>
    <w:rsid w:val="00E777CB"/>
    <w:rsid w:val="00E777DE"/>
    <w:rsid w:val="00E77814"/>
    <w:rsid w:val="00E778A1"/>
    <w:rsid w:val="00E77A07"/>
    <w:rsid w:val="00E77BCC"/>
    <w:rsid w:val="00E77C15"/>
    <w:rsid w:val="00E77D98"/>
    <w:rsid w:val="00E77F26"/>
    <w:rsid w:val="00E78A13"/>
    <w:rsid w:val="00E800C1"/>
    <w:rsid w:val="00E800CC"/>
    <w:rsid w:val="00E80350"/>
    <w:rsid w:val="00E80459"/>
    <w:rsid w:val="00E80512"/>
    <w:rsid w:val="00E80534"/>
    <w:rsid w:val="00E805E2"/>
    <w:rsid w:val="00E80704"/>
    <w:rsid w:val="00E807D9"/>
    <w:rsid w:val="00E808BC"/>
    <w:rsid w:val="00E80923"/>
    <w:rsid w:val="00E809E9"/>
    <w:rsid w:val="00E80B30"/>
    <w:rsid w:val="00E80B4D"/>
    <w:rsid w:val="00E80BAD"/>
    <w:rsid w:val="00E80BB9"/>
    <w:rsid w:val="00E80C00"/>
    <w:rsid w:val="00E80CAB"/>
    <w:rsid w:val="00E80CB1"/>
    <w:rsid w:val="00E80D07"/>
    <w:rsid w:val="00E80F1B"/>
    <w:rsid w:val="00E81124"/>
    <w:rsid w:val="00E812D3"/>
    <w:rsid w:val="00E812DE"/>
    <w:rsid w:val="00E81365"/>
    <w:rsid w:val="00E8136C"/>
    <w:rsid w:val="00E81556"/>
    <w:rsid w:val="00E81571"/>
    <w:rsid w:val="00E81729"/>
    <w:rsid w:val="00E81769"/>
    <w:rsid w:val="00E818BE"/>
    <w:rsid w:val="00E81945"/>
    <w:rsid w:val="00E819D2"/>
    <w:rsid w:val="00E81A39"/>
    <w:rsid w:val="00E81AA1"/>
    <w:rsid w:val="00E81C34"/>
    <w:rsid w:val="00E81F10"/>
    <w:rsid w:val="00E81F81"/>
    <w:rsid w:val="00E81FEB"/>
    <w:rsid w:val="00E82089"/>
    <w:rsid w:val="00E8209A"/>
    <w:rsid w:val="00E82157"/>
    <w:rsid w:val="00E821A2"/>
    <w:rsid w:val="00E82220"/>
    <w:rsid w:val="00E82340"/>
    <w:rsid w:val="00E82392"/>
    <w:rsid w:val="00E823DA"/>
    <w:rsid w:val="00E82479"/>
    <w:rsid w:val="00E8257D"/>
    <w:rsid w:val="00E825DC"/>
    <w:rsid w:val="00E825DF"/>
    <w:rsid w:val="00E82634"/>
    <w:rsid w:val="00E826B7"/>
    <w:rsid w:val="00E827F8"/>
    <w:rsid w:val="00E82838"/>
    <w:rsid w:val="00E829AD"/>
    <w:rsid w:val="00E82C4C"/>
    <w:rsid w:val="00E82C63"/>
    <w:rsid w:val="00E82E23"/>
    <w:rsid w:val="00E82EA5"/>
    <w:rsid w:val="00E82EEF"/>
    <w:rsid w:val="00E82F13"/>
    <w:rsid w:val="00E83012"/>
    <w:rsid w:val="00E83182"/>
    <w:rsid w:val="00E8327D"/>
    <w:rsid w:val="00E833ED"/>
    <w:rsid w:val="00E83447"/>
    <w:rsid w:val="00E83519"/>
    <w:rsid w:val="00E835FD"/>
    <w:rsid w:val="00E83606"/>
    <w:rsid w:val="00E8360C"/>
    <w:rsid w:val="00E8361C"/>
    <w:rsid w:val="00E836A8"/>
    <w:rsid w:val="00E837B0"/>
    <w:rsid w:val="00E83888"/>
    <w:rsid w:val="00E83962"/>
    <w:rsid w:val="00E83A87"/>
    <w:rsid w:val="00E83BF9"/>
    <w:rsid w:val="00E83D8C"/>
    <w:rsid w:val="00E83EEC"/>
    <w:rsid w:val="00E83F28"/>
    <w:rsid w:val="00E83F76"/>
    <w:rsid w:val="00E84014"/>
    <w:rsid w:val="00E84125"/>
    <w:rsid w:val="00E841E9"/>
    <w:rsid w:val="00E84262"/>
    <w:rsid w:val="00E84347"/>
    <w:rsid w:val="00E844F8"/>
    <w:rsid w:val="00E84518"/>
    <w:rsid w:val="00E84540"/>
    <w:rsid w:val="00E84620"/>
    <w:rsid w:val="00E84659"/>
    <w:rsid w:val="00E846A4"/>
    <w:rsid w:val="00E846FA"/>
    <w:rsid w:val="00E84736"/>
    <w:rsid w:val="00E847B6"/>
    <w:rsid w:val="00E848D0"/>
    <w:rsid w:val="00E8494A"/>
    <w:rsid w:val="00E84B6F"/>
    <w:rsid w:val="00E84C38"/>
    <w:rsid w:val="00E84C45"/>
    <w:rsid w:val="00E84C51"/>
    <w:rsid w:val="00E84D09"/>
    <w:rsid w:val="00E84D19"/>
    <w:rsid w:val="00E84FDC"/>
    <w:rsid w:val="00E8503B"/>
    <w:rsid w:val="00E850C3"/>
    <w:rsid w:val="00E8539E"/>
    <w:rsid w:val="00E85530"/>
    <w:rsid w:val="00E85590"/>
    <w:rsid w:val="00E855B9"/>
    <w:rsid w:val="00E85610"/>
    <w:rsid w:val="00E85647"/>
    <w:rsid w:val="00E858D3"/>
    <w:rsid w:val="00E85A1A"/>
    <w:rsid w:val="00E85A6C"/>
    <w:rsid w:val="00E85BCA"/>
    <w:rsid w:val="00E85CCB"/>
    <w:rsid w:val="00E85CE7"/>
    <w:rsid w:val="00E85E20"/>
    <w:rsid w:val="00E85EE4"/>
    <w:rsid w:val="00E86031"/>
    <w:rsid w:val="00E86059"/>
    <w:rsid w:val="00E860CD"/>
    <w:rsid w:val="00E86268"/>
    <w:rsid w:val="00E8627D"/>
    <w:rsid w:val="00E864C7"/>
    <w:rsid w:val="00E86548"/>
    <w:rsid w:val="00E86563"/>
    <w:rsid w:val="00E865EF"/>
    <w:rsid w:val="00E86637"/>
    <w:rsid w:val="00E86702"/>
    <w:rsid w:val="00E86787"/>
    <w:rsid w:val="00E867F4"/>
    <w:rsid w:val="00E86893"/>
    <w:rsid w:val="00E868F6"/>
    <w:rsid w:val="00E868FB"/>
    <w:rsid w:val="00E86974"/>
    <w:rsid w:val="00E869DC"/>
    <w:rsid w:val="00E86A15"/>
    <w:rsid w:val="00E86BC9"/>
    <w:rsid w:val="00E86BE0"/>
    <w:rsid w:val="00E86BF9"/>
    <w:rsid w:val="00E86CFD"/>
    <w:rsid w:val="00E86DA6"/>
    <w:rsid w:val="00E86EEB"/>
    <w:rsid w:val="00E86F8F"/>
    <w:rsid w:val="00E86FE6"/>
    <w:rsid w:val="00E87195"/>
    <w:rsid w:val="00E871F5"/>
    <w:rsid w:val="00E872E8"/>
    <w:rsid w:val="00E8730B"/>
    <w:rsid w:val="00E87339"/>
    <w:rsid w:val="00E8742E"/>
    <w:rsid w:val="00E87466"/>
    <w:rsid w:val="00E874B3"/>
    <w:rsid w:val="00E876A1"/>
    <w:rsid w:val="00E87944"/>
    <w:rsid w:val="00E87AC9"/>
    <w:rsid w:val="00E87B00"/>
    <w:rsid w:val="00E87BC1"/>
    <w:rsid w:val="00E87D2F"/>
    <w:rsid w:val="00E87DB6"/>
    <w:rsid w:val="00E87DD5"/>
    <w:rsid w:val="00E87DF2"/>
    <w:rsid w:val="00E87E66"/>
    <w:rsid w:val="00E87F9A"/>
    <w:rsid w:val="00E87FC1"/>
    <w:rsid w:val="00E900A0"/>
    <w:rsid w:val="00E900D6"/>
    <w:rsid w:val="00E9026E"/>
    <w:rsid w:val="00E90336"/>
    <w:rsid w:val="00E9033A"/>
    <w:rsid w:val="00E90378"/>
    <w:rsid w:val="00E90622"/>
    <w:rsid w:val="00E90656"/>
    <w:rsid w:val="00E906D2"/>
    <w:rsid w:val="00E906DE"/>
    <w:rsid w:val="00E90737"/>
    <w:rsid w:val="00E90811"/>
    <w:rsid w:val="00E90816"/>
    <w:rsid w:val="00E90894"/>
    <w:rsid w:val="00E909A1"/>
    <w:rsid w:val="00E90A99"/>
    <w:rsid w:val="00E90B1B"/>
    <w:rsid w:val="00E90BC3"/>
    <w:rsid w:val="00E90C43"/>
    <w:rsid w:val="00E90C4B"/>
    <w:rsid w:val="00E90DC6"/>
    <w:rsid w:val="00E90F69"/>
    <w:rsid w:val="00E9106E"/>
    <w:rsid w:val="00E91147"/>
    <w:rsid w:val="00E911B1"/>
    <w:rsid w:val="00E911E4"/>
    <w:rsid w:val="00E912B8"/>
    <w:rsid w:val="00E9130B"/>
    <w:rsid w:val="00E915CD"/>
    <w:rsid w:val="00E91673"/>
    <w:rsid w:val="00E916C1"/>
    <w:rsid w:val="00E918F6"/>
    <w:rsid w:val="00E91937"/>
    <w:rsid w:val="00E91AA7"/>
    <w:rsid w:val="00E91ADD"/>
    <w:rsid w:val="00E91BF6"/>
    <w:rsid w:val="00E91DA0"/>
    <w:rsid w:val="00E91DE2"/>
    <w:rsid w:val="00E91E01"/>
    <w:rsid w:val="00E91E7E"/>
    <w:rsid w:val="00E91EF3"/>
    <w:rsid w:val="00E91F03"/>
    <w:rsid w:val="00E91F30"/>
    <w:rsid w:val="00E91F91"/>
    <w:rsid w:val="00E92098"/>
    <w:rsid w:val="00E920CE"/>
    <w:rsid w:val="00E9216F"/>
    <w:rsid w:val="00E92191"/>
    <w:rsid w:val="00E921D8"/>
    <w:rsid w:val="00E9223C"/>
    <w:rsid w:val="00E92466"/>
    <w:rsid w:val="00E9247A"/>
    <w:rsid w:val="00E92499"/>
    <w:rsid w:val="00E924B7"/>
    <w:rsid w:val="00E926DB"/>
    <w:rsid w:val="00E9270E"/>
    <w:rsid w:val="00E927BD"/>
    <w:rsid w:val="00E927C9"/>
    <w:rsid w:val="00E928A4"/>
    <w:rsid w:val="00E928D6"/>
    <w:rsid w:val="00E928ED"/>
    <w:rsid w:val="00E92A3F"/>
    <w:rsid w:val="00E92BC6"/>
    <w:rsid w:val="00E92D7B"/>
    <w:rsid w:val="00E93093"/>
    <w:rsid w:val="00E9309B"/>
    <w:rsid w:val="00E930FE"/>
    <w:rsid w:val="00E931EF"/>
    <w:rsid w:val="00E9332E"/>
    <w:rsid w:val="00E9339F"/>
    <w:rsid w:val="00E933C7"/>
    <w:rsid w:val="00E93693"/>
    <w:rsid w:val="00E937A2"/>
    <w:rsid w:val="00E93830"/>
    <w:rsid w:val="00E9384E"/>
    <w:rsid w:val="00E9386C"/>
    <w:rsid w:val="00E938DD"/>
    <w:rsid w:val="00E9396A"/>
    <w:rsid w:val="00E93C55"/>
    <w:rsid w:val="00E93D55"/>
    <w:rsid w:val="00E93DE7"/>
    <w:rsid w:val="00E93E00"/>
    <w:rsid w:val="00E940BA"/>
    <w:rsid w:val="00E941A4"/>
    <w:rsid w:val="00E94308"/>
    <w:rsid w:val="00E94372"/>
    <w:rsid w:val="00E94376"/>
    <w:rsid w:val="00E94442"/>
    <w:rsid w:val="00E94445"/>
    <w:rsid w:val="00E944B0"/>
    <w:rsid w:val="00E945EA"/>
    <w:rsid w:val="00E9462E"/>
    <w:rsid w:val="00E94687"/>
    <w:rsid w:val="00E948BC"/>
    <w:rsid w:val="00E948F9"/>
    <w:rsid w:val="00E94A30"/>
    <w:rsid w:val="00E94A34"/>
    <w:rsid w:val="00E94CBC"/>
    <w:rsid w:val="00E94CDE"/>
    <w:rsid w:val="00E94D27"/>
    <w:rsid w:val="00E94EE7"/>
    <w:rsid w:val="00E94EF7"/>
    <w:rsid w:val="00E94F53"/>
    <w:rsid w:val="00E94FDE"/>
    <w:rsid w:val="00E9500A"/>
    <w:rsid w:val="00E9502F"/>
    <w:rsid w:val="00E950B8"/>
    <w:rsid w:val="00E950E4"/>
    <w:rsid w:val="00E953CD"/>
    <w:rsid w:val="00E9541E"/>
    <w:rsid w:val="00E954DA"/>
    <w:rsid w:val="00E955DA"/>
    <w:rsid w:val="00E956B6"/>
    <w:rsid w:val="00E95821"/>
    <w:rsid w:val="00E958B8"/>
    <w:rsid w:val="00E95941"/>
    <w:rsid w:val="00E95A39"/>
    <w:rsid w:val="00E95A5B"/>
    <w:rsid w:val="00E95A86"/>
    <w:rsid w:val="00E95ADD"/>
    <w:rsid w:val="00E95BC4"/>
    <w:rsid w:val="00E95BE7"/>
    <w:rsid w:val="00E95C46"/>
    <w:rsid w:val="00E95CC3"/>
    <w:rsid w:val="00E95DC3"/>
    <w:rsid w:val="00E95E77"/>
    <w:rsid w:val="00E95EA9"/>
    <w:rsid w:val="00E96059"/>
    <w:rsid w:val="00E9606C"/>
    <w:rsid w:val="00E96083"/>
    <w:rsid w:val="00E960B0"/>
    <w:rsid w:val="00E9625D"/>
    <w:rsid w:val="00E962E3"/>
    <w:rsid w:val="00E96306"/>
    <w:rsid w:val="00E96448"/>
    <w:rsid w:val="00E96513"/>
    <w:rsid w:val="00E9661A"/>
    <w:rsid w:val="00E96632"/>
    <w:rsid w:val="00E96657"/>
    <w:rsid w:val="00E966DF"/>
    <w:rsid w:val="00E966E6"/>
    <w:rsid w:val="00E96707"/>
    <w:rsid w:val="00E968FC"/>
    <w:rsid w:val="00E9695E"/>
    <w:rsid w:val="00E96AA2"/>
    <w:rsid w:val="00E96CAC"/>
    <w:rsid w:val="00E96D96"/>
    <w:rsid w:val="00E96E53"/>
    <w:rsid w:val="00E96EC5"/>
    <w:rsid w:val="00E96F53"/>
    <w:rsid w:val="00E97020"/>
    <w:rsid w:val="00E9703C"/>
    <w:rsid w:val="00E9715B"/>
    <w:rsid w:val="00E972FC"/>
    <w:rsid w:val="00E97369"/>
    <w:rsid w:val="00E973CC"/>
    <w:rsid w:val="00E97465"/>
    <w:rsid w:val="00E974B7"/>
    <w:rsid w:val="00E974C5"/>
    <w:rsid w:val="00E9754D"/>
    <w:rsid w:val="00E97566"/>
    <w:rsid w:val="00E975CC"/>
    <w:rsid w:val="00E976E9"/>
    <w:rsid w:val="00E97745"/>
    <w:rsid w:val="00E977FD"/>
    <w:rsid w:val="00E978C4"/>
    <w:rsid w:val="00E97922"/>
    <w:rsid w:val="00E979FA"/>
    <w:rsid w:val="00E97BA9"/>
    <w:rsid w:val="00E97CC1"/>
    <w:rsid w:val="00E97D19"/>
    <w:rsid w:val="00E97DD6"/>
    <w:rsid w:val="00E97E2C"/>
    <w:rsid w:val="00EA0009"/>
    <w:rsid w:val="00EA018A"/>
    <w:rsid w:val="00EA01D7"/>
    <w:rsid w:val="00EA028A"/>
    <w:rsid w:val="00EA0388"/>
    <w:rsid w:val="00EA0546"/>
    <w:rsid w:val="00EA067B"/>
    <w:rsid w:val="00EA097A"/>
    <w:rsid w:val="00EA09CD"/>
    <w:rsid w:val="00EA0A22"/>
    <w:rsid w:val="00EA0AE3"/>
    <w:rsid w:val="00EA0CE2"/>
    <w:rsid w:val="00EA0CE9"/>
    <w:rsid w:val="00EA0D62"/>
    <w:rsid w:val="00EA0D74"/>
    <w:rsid w:val="00EA0D9D"/>
    <w:rsid w:val="00EA0F37"/>
    <w:rsid w:val="00EA1108"/>
    <w:rsid w:val="00EA11C9"/>
    <w:rsid w:val="00EA11CA"/>
    <w:rsid w:val="00EA121B"/>
    <w:rsid w:val="00EA12C8"/>
    <w:rsid w:val="00EA13F9"/>
    <w:rsid w:val="00EA1575"/>
    <w:rsid w:val="00EA157B"/>
    <w:rsid w:val="00EA163A"/>
    <w:rsid w:val="00EA163D"/>
    <w:rsid w:val="00EA165A"/>
    <w:rsid w:val="00EA170D"/>
    <w:rsid w:val="00EA174B"/>
    <w:rsid w:val="00EA1872"/>
    <w:rsid w:val="00EA192B"/>
    <w:rsid w:val="00EA19EE"/>
    <w:rsid w:val="00EA1AB6"/>
    <w:rsid w:val="00EA1CC2"/>
    <w:rsid w:val="00EA1D48"/>
    <w:rsid w:val="00EA1DF4"/>
    <w:rsid w:val="00EA1E0C"/>
    <w:rsid w:val="00EA1E84"/>
    <w:rsid w:val="00EA1EA1"/>
    <w:rsid w:val="00EA1EC4"/>
    <w:rsid w:val="00EA1F1A"/>
    <w:rsid w:val="00EA1F65"/>
    <w:rsid w:val="00EA1F68"/>
    <w:rsid w:val="00EA210B"/>
    <w:rsid w:val="00EA217E"/>
    <w:rsid w:val="00EA2276"/>
    <w:rsid w:val="00EA23B8"/>
    <w:rsid w:val="00EA23FB"/>
    <w:rsid w:val="00EA2405"/>
    <w:rsid w:val="00EA242C"/>
    <w:rsid w:val="00EA260F"/>
    <w:rsid w:val="00EA261F"/>
    <w:rsid w:val="00EA2631"/>
    <w:rsid w:val="00EA26FA"/>
    <w:rsid w:val="00EA28DA"/>
    <w:rsid w:val="00EA2979"/>
    <w:rsid w:val="00EA297B"/>
    <w:rsid w:val="00EA29C6"/>
    <w:rsid w:val="00EA2B19"/>
    <w:rsid w:val="00EA2B3B"/>
    <w:rsid w:val="00EA2B81"/>
    <w:rsid w:val="00EA2C07"/>
    <w:rsid w:val="00EA2C35"/>
    <w:rsid w:val="00EA2E97"/>
    <w:rsid w:val="00EA2F11"/>
    <w:rsid w:val="00EA2F6D"/>
    <w:rsid w:val="00EA2FC7"/>
    <w:rsid w:val="00EA30F2"/>
    <w:rsid w:val="00EA3165"/>
    <w:rsid w:val="00EA3327"/>
    <w:rsid w:val="00EA3342"/>
    <w:rsid w:val="00EA3355"/>
    <w:rsid w:val="00EA3373"/>
    <w:rsid w:val="00EA33B3"/>
    <w:rsid w:val="00EA33CF"/>
    <w:rsid w:val="00EA3422"/>
    <w:rsid w:val="00EA3491"/>
    <w:rsid w:val="00EA355C"/>
    <w:rsid w:val="00EA36B0"/>
    <w:rsid w:val="00EA378F"/>
    <w:rsid w:val="00EA388F"/>
    <w:rsid w:val="00EA38B5"/>
    <w:rsid w:val="00EA39CC"/>
    <w:rsid w:val="00EA39CE"/>
    <w:rsid w:val="00EA39D1"/>
    <w:rsid w:val="00EA3AAF"/>
    <w:rsid w:val="00EA3B14"/>
    <w:rsid w:val="00EA3C6B"/>
    <w:rsid w:val="00EA3E6D"/>
    <w:rsid w:val="00EA3EFA"/>
    <w:rsid w:val="00EA4110"/>
    <w:rsid w:val="00EA4278"/>
    <w:rsid w:val="00EA4402"/>
    <w:rsid w:val="00EA44B7"/>
    <w:rsid w:val="00EA457F"/>
    <w:rsid w:val="00EA470E"/>
    <w:rsid w:val="00EA47A7"/>
    <w:rsid w:val="00EA487A"/>
    <w:rsid w:val="00EA48AC"/>
    <w:rsid w:val="00EA48CC"/>
    <w:rsid w:val="00EA49FD"/>
    <w:rsid w:val="00EA4C04"/>
    <w:rsid w:val="00EA4CCE"/>
    <w:rsid w:val="00EA4E37"/>
    <w:rsid w:val="00EA4F24"/>
    <w:rsid w:val="00EA5006"/>
    <w:rsid w:val="00EA500E"/>
    <w:rsid w:val="00EA5093"/>
    <w:rsid w:val="00EA526E"/>
    <w:rsid w:val="00EA52BD"/>
    <w:rsid w:val="00EA534C"/>
    <w:rsid w:val="00EA5372"/>
    <w:rsid w:val="00EA5565"/>
    <w:rsid w:val="00EA561A"/>
    <w:rsid w:val="00EA57EB"/>
    <w:rsid w:val="00EA57F3"/>
    <w:rsid w:val="00EA5875"/>
    <w:rsid w:val="00EA5903"/>
    <w:rsid w:val="00EA5970"/>
    <w:rsid w:val="00EA59A8"/>
    <w:rsid w:val="00EA5B8E"/>
    <w:rsid w:val="00EA5D15"/>
    <w:rsid w:val="00EA5E14"/>
    <w:rsid w:val="00EA5E9C"/>
    <w:rsid w:val="00EA5F06"/>
    <w:rsid w:val="00EA5F5E"/>
    <w:rsid w:val="00EA5FF3"/>
    <w:rsid w:val="00EA607E"/>
    <w:rsid w:val="00EA609F"/>
    <w:rsid w:val="00EA60C2"/>
    <w:rsid w:val="00EA617D"/>
    <w:rsid w:val="00EA6192"/>
    <w:rsid w:val="00EA6206"/>
    <w:rsid w:val="00EA623B"/>
    <w:rsid w:val="00EA624C"/>
    <w:rsid w:val="00EA6330"/>
    <w:rsid w:val="00EA635D"/>
    <w:rsid w:val="00EA63B8"/>
    <w:rsid w:val="00EA66CA"/>
    <w:rsid w:val="00EA6768"/>
    <w:rsid w:val="00EA67D2"/>
    <w:rsid w:val="00EA6804"/>
    <w:rsid w:val="00EA6821"/>
    <w:rsid w:val="00EA6927"/>
    <w:rsid w:val="00EA6ACC"/>
    <w:rsid w:val="00EA6C0D"/>
    <w:rsid w:val="00EA6E50"/>
    <w:rsid w:val="00EA6E54"/>
    <w:rsid w:val="00EA6E8E"/>
    <w:rsid w:val="00EA6E9C"/>
    <w:rsid w:val="00EA6EA0"/>
    <w:rsid w:val="00EA7059"/>
    <w:rsid w:val="00EA7065"/>
    <w:rsid w:val="00EA72CD"/>
    <w:rsid w:val="00EA73C7"/>
    <w:rsid w:val="00EA74EA"/>
    <w:rsid w:val="00EA7590"/>
    <w:rsid w:val="00EA7651"/>
    <w:rsid w:val="00EA77B2"/>
    <w:rsid w:val="00EA7926"/>
    <w:rsid w:val="00EA7943"/>
    <w:rsid w:val="00EA7987"/>
    <w:rsid w:val="00EA7B87"/>
    <w:rsid w:val="00EA7D1D"/>
    <w:rsid w:val="00EA7D85"/>
    <w:rsid w:val="00EA7DAD"/>
    <w:rsid w:val="00EA7EEC"/>
    <w:rsid w:val="00EA7F18"/>
    <w:rsid w:val="00EA7F83"/>
    <w:rsid w:val="00EA7FD1"/>
    <w:rsid w:val="00EA7FFE"/>
    <w:rsid w:val="00EB005A"/>
    <w:rsid w:val="00EB0169"/>
    <w:rsid w:val="00EB01FE"/>
    <w:rsid w:val="00EB02C6"/>
    <w:rsid w:val="00EB031F"/>
    <w:rsid w:val="00EB034E"/>
    <w:rsid w:val="00EB03B1"/>
    <w:rsid w:val="00EB0405"/>
    <w:rsid w:val="00EB042C"/>
    <w:rsid w:val="00EB04DA"/>
    <w:rsid w:val="00EB04F0"/>
    <w:rsid w:val="00EB061A"/>
    <w:rsid w:val="00EB06FC"/>
    <w:rsid w:val="00EB07AF"/>
    <w:rsid w:val="00EB0801"/>
    <w:rsid w:val="00EB081D"/>
    <w:rsid w:val="00EB08EC"/>
    <w:rsid w:val="00EB096D"/>
    <w:rsid w:val="00EB0D3E"/>
    <w:rsid w:val="00EB0D8F"/>
    <w:rsid w:val="00EB0EC2"/>
    <w:rsid w:val="00EB0EDA"/>
    <w:rsid w:val="00EB10A5"/>
    <w:rsid w:val="00EB10AD"/>
    <w:rsid w:val="00EB114E"/>
    <w:rsid w:val="00EB11A6"/>
    <w:rsid w:val="00EB121F"/>
    <w:rsid w:val="00EB1342"/>
    <w:rsid w:val="00EB1375"/>
    <w:rsid w:val="00EB1390"/>
    <w:rsid w:val="00EB147F"/>
    <w:rsid w:val="00EB157D"/>
    <w:rsid w:val="00EB1780"/>
    <w:rsid w:val="00EB186C"/>
    <w:rsid w:val="00EB199B"/>
    <w:rsid w:val="00EB1A32"/>
    <w:rsid w:val="00EB1B40"/>
    <w:rsid w:val="00EB1D8B"/>
    <w:rsid w:val="00EB1F6C"/>
    <w:rsid w:val="00EB20E5"/>
    <w:rsid w:val="00EB21AE"/>
    <w:rsid w:val="00EB21B8"/>
    <w:rsid w:val="00EB233B"/>
    <w:rsid w:val="00EB260E"/>
    <w:rsid w:val="00EB26F8"/>
    <w:rsid w:val="00EB27F8"/>
    <w:rsid w:val="00EB296C"/>
    <w:rsid w:val="00EB2A17"/>
    <w:rsid w:val="00EB2A93"/>
    <w:rsid w:val="00EB2AA5"/>
    <w:rsid w:val="00EB2BFB"/>
    <w:rsid w:val="00EB2C96"/>
    <w:rsid w:val="00EB2CD6"/>
    <w:rsid w:val="00EB2CFB"/>
    <w:rsid w:val="00EB2FB2"/>
    <w:rsid w:val="00EB301C"/>
    <w:rsid w:val="00EB30E2"/>
    <w:rsid w:val="00EB320E"/>
    <w:rsid w:val="00EB3226"/>
    <w:rsid w:val="00EB322A"/>
    <w:rsid w:val="00EB3246"/>
    <w:rsid w:val="00EB325C"/>
    <w:rsid w:val="00EB328C"/>
    <w:rsid w:val="00EB32B0"/>
    <w:rsid w:val="00EB32EF"/>
    <w:rsid w:val="00EB3315"/>
    <w:rsid w:val="00EB335A"/>
    <w:rsid w:val="00EB34D5"/>
    <w:rsid w:val="00EB3693"/>
    <w:rsid w:val="00EB36A5"/>
    <w:rsid w:val="00EB383E"/>
    <w:rsid w:val="00EB38E6"/>
    <w:rsid w:val="00EB3A42"/>
    <w:rsid w:val="00EB3B94"/>
    <w:rsid w:val="00EB3CAB"/>
    <w:rsid w:val="00EB3CCB"/>
    <w:rsid w:val="00EB3DE4"/>
    <w:rsid w:val="00EB3F35"/>
    <w:rsid w:val="00EB4169"/>
    <w:rsid w:val="00EB4175"/>
    <w:rsid w:val="00EB4191"/>
    <w:rsid w:val="00EB4255"/>
    <w:rsid w:val="00EB44EF"/>
    <w:rsid w:val="00EB45A2"/>
    <w:rsid w:val="00EB4771"/>
    <w:rsid w:val="00EB4BCB"/>
    <w:rsid w:val="00EB4C09"/>
    <w:rsid w:val="00EB4C3E"/>
    <w:rsid w:val="00EB4DFA"/>
    <w:rsid w:val="00EB4DFB"/>
    <w:rsid w:val="00EB4E99"/>
    <w:rsid w:val="00EB50C0"/>
    <w:rsid w:val="00EB5157"/>
    <w:rsid w:val="00EB5266"/>
    <w:rsid w:val="00EB5285"/>
    <w:rsid w:val="00EB52FA"/>
    <w:rsid w:val="00EB55B1"/>
    <w:rsid w:val="00EB5677"/>
    <w:rsid w:val="00EB5745"/>
    <w:rsid w:val="00EB589D"/>
    <w:rsid w:val="00EB5967"/>
    <w:rsid w:val="00EB5D6D"/>
    <w:rsid w:val="00EB5E8D"/>
    <w:rsid w:val="00EB5E9D"/>
    <w:rsid w:val="00EB5F6B"/>
    <w:rsid w:val="00EB5FC8"/>
    <w:rsid w:val="00EB604A"/>
    <w:rsid w:val="00EB612A"/>
    <w:rsid w:val="00EB62CB"/>
    <w:rsid w:val="00EB6461"/>
    <w:rsid w:val="00EB648D"/>
    <w:rsid w:val="00EB6704"/>
    <w:rsid w:val="00EB6728"/>
    <w:rsid w:val="00EB6885"/>
    <w:rsid w:val="00EB69C6"/>
    <w:rsid w:val="00EB6A52"/>
    <w:rsid w:val="00EB6AB9"/>
    <w:rsid w:val="00EB6AC2"/>
    <w:rsid w:val="00EB6B80"/>
    <w:rsid w:val="00EB6BD4"/>
    <w:rsid w:val="00EB6C7F"/>
    <w:rsid w:val="00EB6CC5"/>
    <w:rsid w:val="00EB6CDB"/>
    <w:rsid w:val="00EB6DAA"/>
    <w:rsid w:val="00EB6E97"/>
    <w:rsid w:val="00EB6F29"/>
    <w:rsid w:val="00EB6F31"/>
    <w:rsid w:val="00EB6FC7"/>
    <w:rsid w:val="00EB6FE4"/>
    <w:rsid w:val="00EB704C"/>
    <w:rsid w:val="00EB70A4"/>
    <w:rsid w:val="00EB7164"/>
    <w:rsid w:val="00EB7183"/>
    <w:rsid w:val="00EB72FE"/>
    <w:rsid w:val="00EB742D"/>
    <w:rsid w:val="00EB75BF"/>
    <w:rsid w:val="00EB75EE"/>
    <w:rsid w:val="00EB771B"/>
    <w:rsid w:val="00EB7794"/>
    <w:rsid w:val="00EB780C"/>
    <w:rsid w:val="00EB7876"/>
    <w:rsid w:val="00EB7904"/>
    <w:rsid w:val="00EB7964"/>
    <w:rsid w:val="00EB7966"/>
    <w:rsid w:val="00EB7B34"/>
    <w:rsid w:val="00EB7B63"/>
    <w:rsid w:val="00EB7C84"/>
    <w:rsid w:val="00EB7CCC"/>
    <w:rsid w:val="00EB7DB7"/>
    <w:rsid w:val="00EB7ECF"/>
    <w:rsid w:val="00EB7FBA"/>
    <w:rsid w:val="00EC009A"/>
    <w:rsid w:val="00EC009C"/>
    <w:rsid w:val="00EC00A9"/>
    <w:rsid w:val="00EC00D8"/>
    <w:rsid w:val="00EC0108"/>
    <w:rsid w:val="00EC034D"/>
    <w:rsid w:val="00EC03BB"/>
    <w:rsid w:val="00EC03E2"/>
    <w:rsid w:val="00EC049F"/>
    <w:rsid w:val="00EC0747"/>
    <w:rsid w:val="00EC0863"/>
    <w:rsid w:val="00EC0963"/>
    <w:rsid w:val="00EC0990"/>
    <w:rsid w:val="00EC0C5D"/>
    <w:rsid w:val="00EC0CA5"/>
    <w:rsid w:val="00EC0D28"/>
    <w:rsid w:val="00EC0D2A"/>
    <w:rsid w:val="00EC0E11"/>
    <w:rsid w:val="00EC10B5"/>
    <w:rsid w:val="00EC115E"/>
    <w:rsid w:val="00EC11C0"/>
    <w:rsid w:val="00EC1222"/>
    <w:rsid w:val="00EC145A"/>
    <w:rsid w:val="00EC1540"/>
    <w:rsid w:val="00EC15B7"/>
    <w:rsid w:val="00EC15D2"/>
    <w:rsid w:val="00EC1603"/>
    <w:rsid w:val="00EC1665"/>
    <w:rsid w:val="00EC16AB"/>
    <w:rsid w:val="00EC16B9"/>
    <w:rsid w:val="00EC176C"/>
    <w:rsid w:val="00EC17F4"/>
    <w:rsid w:val="00EC1986"/>
    <w:rsid w:val="00EC19C5"/>
    <w:rsid w:val="00EC1A1B"/>
    <w:rsid w:val="00EC1A99"/>
    <w:rsid w:val="00EC1B1F"/>
    <w:rsid w:val="00EC1B5A"/>
    <w:rsid w:val="00EC1B7F"/>
    <w:rsid w:val="00EC1C06"/>
    <w:rsid w:val="00EC1E80"/>
    <w:rsid w:val="00EC213A"/>
    <w:rsid w:val="00EC22A5"/>
    <w:rsid w:val="00EC2301"/>
    <w:rsid w:val="00EC23B3"/>
    <w:rsid w:val="00EC2535"/>
    <w:rsid w:val="00EC257E"/>
    <w:rsid w:val="00EC2662"/>
    <w:rsid w:val="00EC2915"/>
    <w:rsid w:val="00EC29B7"/>
    <w:rsid w:val="00EC29DD"/>
    <w:rsid w:val="00EC2A38"/>
    <w:rsid w:val="00EC2C49"/>
    <w:rsid w:val="00EC2C78"/>
    <w:rsid w:val="00EC2CAA"/>
    <w:rsid w:val="00EC2DBF"/>
    <w:rsid w:val="00EC2DDB"/>
    <w:rsid w:val="00EC2E2A"/>
    <w:rsid w:val="00EC2F38"/>
    <w:rsid w:val="00EC2F3E"/>
    <w:rsid w:val="00EC2F5E"/>
    <w:rsid w:val="00EC2FE2"/>
    <w:rsid w:val="00EC2FFC"/>
    <w:rsid w:val="00EC306E"/>
    <w:rsid w:val="00EC30B1"/>
    <w:rsid w:val="00EC313D"/>
    <w:rsid w:val="00EC3225"/>
    <w:rsid w:val="00EC326B"/>
    <w:rsid w:val="00EC348E"/>
    <w:rsid w:val="00EC357F"/>
    <w:rsid w:val="00EC36F9"/>
    <w:rsid w:val="00EC3B1B"/>
    <w:rsid w:val="00EC3CB2"/>
    <w:rsid w:val="00EC3CF7"/>
    <w:rsid w:val="00EC3CFC"/>
    <w:rsid w:val="00EC3DC6"/>
    <w:rsid w:val="00EC3EC2"/>
    <w:rsid w:val="00EC3FCE"/>
    <w:rsid w:val="00EC4015"/>
    <w:rsid w:val="00EC426D"/>
    <w:rsid w:val="00EC4531"/>
    <w:rsid w:val="00EC45C4"/>
    <w:rsid w:val="00EC45D6"/>
    <w:rsid w:val="00EC45F9"/>
    <w:rsid w:val="00EC465C"/>
    <w:rsid w:val="00EC4683"/>
    <w:rsid w:val="00EC471B"/>
    <w:rsid w:val="00EC47D9"/>
    <w:rsid w:val="00EC49F5"/>
    <w:rsid w:val="00EC4AE4"/>
    <w:rsid w:val="00EC4B9B"/>
    <w:rsid w:val="00EC4C39"/>
    <w:rsid w:val="00EC4CE6"/>
    <w:rsid w:val="00EC4D4C"/>
    <w:rsid w:val="00EC4DA9"/>
    <w:rsid w:val="00EC4E1C"/>
    <w:rsid w:val="00EC5000"/>
    <w:rsid w:val="00EC509F"/>
    <w:rsid w:val="00EC52E2"/>
    <w:rsid w:val="00EC53DF"/>
    <w:rsid w:val="00EC5448"/>
    <w:rsid w:val="00EC5563"/>
    <w:rsid w:val="00EC55EB"/>
    <w:rsid w:val="00EC5694"/>
    <w:rsid w:val="00EC56E9"/>
    <w:rsid w:val="00EC589B"/>
    <w:rsid w:val="00EC58C7"/>
    <w:rsid w:val="00EC59C9"/>
    <w:rsid w:val="00EC5B84"/>
    <w:rsid w:val="00EC5C31"/>
    <w:rsid w:val="00EC5CFF"/>
    <w:rsid w:val="00EC5D04"/>
    <w:rsid w:val="00EC6011"/>
    <w:rsid w:val="00EC602E"/>
    <w:rsid w:val="00EC607B"/>
    <w:rsid w:val="00EC6121"/>
    <w:rsid w:val="00EC622D"/>
    <w:rsid w:val="00EC62A1"/>
    <w:rsid w:val="00EC634E"/>
    <w:rsid w:val="00EC6440"/>
    <w:rsid w:val="00EC64B7"/>
    <w:rsid w:val="00EC6612"/>
    <w:rsid w:val="00EC669C"/>
    <w:rsid w:val="00EC6746"/>
    <w:rsid w:val="00EC69EA"/>
    <w:rsid w:val="00EC6A3B"/>
    <w:rsid w:val="00EC6A7B"/>
    <w:rsid w:val="00EC6E86"/>
    <w:rsid w:val="00EC6EC8"/>
    <w:rsid w:val="00EC6F15"/>
    <w:rsid w:val="00EC6FF2"/>
    <w:rsid w:val="00EC702D"/>
    <w:rsid w:val="00EC7040"/>
    <w:rsid w:val="00EC712D"/>
    <w:rsid w:val="00EC7197"/>
    <w:rsid w:val="00EC71B4"/>
    <w:rsid w:val="00EC723A"/>
    <w:rsid w:val="00EC72AB"/>
    <w:rsid w:val="00EC7592"/>
    <w:rsid w:val="00EC765B"/>
    <w:rsid w:val="00EC7744"/>
    <w:rsid w:val="00EC7761"/>
    <w:rsid w:val="00EC7829"/>
    <w:rsid w:val="00EC78B3"/>
    <w:rsid w:val="00EC78D4"/>
    <w:rsid w:val="00EC7918"/>
    <w:rsid w:val="00EC798F"/>
    <w:rsid w:val="00EC79BA"/>
    <w:rsid w:val="00EC79BF"/>
    <w:rsid w:val="00EC7A1E"/>
    <w:rsid w:val="00EC7AB0"/>
    <w:rsid w:val="00EC7B47"/>
    <w:rsid w:val="00EC7B72"/>
    <w:rsid w:val="00EC7D0E"/>
    <w:rsid w:val="00EC7EE9"/>
    <w:rsid w:val="00EC7EFF"/>
    <w:rsid w:val="00ED016B"/>
    <w:rsid w:val="00ED0242"/>
    <w:rsid w:val="00ED025B"/>
    <w:rsid w:val="00ED02DE"/>
    <w:rsid w:val="00ED02F8"/>
    <w:rsid w:val="00ED0337"/>
    <w:rsid w:val="00ED03FC"/>
    <w:rsid w:val="00ED05CC"/>
    <w:rsid w:val="00ED071B"/>
    <w:rsid w:val="00ED07B4"/>
    <w:rsid w:val="00ED07CC"/>
    <w:rsid w:val="00ED0906"/>
    <w:rsid w:val="00ED0A31"/>
    <w:rsid w:val="00ED0A5F"/>
    <w:rsid w:val="00ED0AA2"/>
    <w:rsid w:val="00ED0BD9"/>
    <w:rsid w:val="00ED0CA2"/>
    <w:rsid w:val="00ED0CBF"/>
    <w:rsid w:val="00ED0CD2"/>
    <w:rsid w:val="00ED0DAD"/>
    <w:rsid w:val="00ED0E7D"/>
    <w:rsid w:val="00ED0F46"/>
    <w:rsid w:val="00ED11FC"/>
    <w:rsid w:val="00ED1242"/>
    <w:rsid w:val="00ED12A1"/>
    <w:rsid w:val="00ED134D"/>
    <w:rsid w:val="00ED1388"/>
    <w:rsid w:val="00ED1587"/>
    <w:rsid w:val="00ED170D"/>
    <w:rsid w:val="00ED1759"/>
    <w:rsid w:val="00ED179D"/>
    <w:rsid w:val="00ED1817"/>
    <w:rsid w:val="00ED198D"/>
    <w:rsid w:val="00ED1A61"/>
    <w:rsid w:val="00ED1A7D"/>
    <w:rsid w:val="00ED1A8E"/>
    <w:rsid w:val="00ED1B00"/>
    <w:rsid w:val="00ED1B27"/>
    <w:rsid w:val="00ED1C4B"/>
    <w:rsid w:val="00ED1C98"/>
    <w:rsid w:val="00ED1D89"/>
    <w:rsid w:val="00ED1E10"/>
    <w:rsid w:val="00ED1F42"/>
    <w:rsid w:val="00ED2079"/>
    <w:rsid w:val="00ED2115"/>
    <w:rsid w:val="00ED213C"/>
    <w:rsid w:val="00ED2373"/>
    <w:rsid w:val="00ED23B9"/>
    <w:rsid w:val="00ED23E1"/>
    <w:rsid w:val="00ED2443"/>
    <w:rsid w:val="00ED24E0"/>
    <w:rsid w:val="00ED24FA"/>
    <w:rsid w:val="00ED262C"/>
    <w:rsid w:val="00ED2928"/>
    <w:rsid w:val="00ED2A1D"/>
    <w:rsid w:val="00ED2B37"/>
    <w:rsid w:val="00ED2C11"/>
    <w:rsid w:val="00ED2CCE"/>
    <w:rsid w:val="00ED2DA6"/>
    <w:rsid w:val="00ED2E16"/>
    <w:rsid w:val="00ED2E9D"/>
    <w:rsid w:val="00ED2FD7"/>
    <w:rsid w:val="00ED31C0"/>
    <w:rsid w:val="00ED31C5"/>
    <w:rsid w:val="00ED3246"/>
    <w:rsid w:val="00ED3294"/>
    <w:rsid w:val="00ED32D7"/>
    <w:rsid w:val="00ED3303"/>
    <w:rsid w:val="00ED340B"/>
    <w:rsid w:val="00ED343B"/>
    <w:rsid w:val="00ED35AD"/>
    <w:rsid w:val="00ED3626"/>
    <w:rsid w:val="00ED3758"/>
    <w:rsid w:val="00ED377C"/>
    <w:rsid w:val="00ED39A4"/>
    <w:rsid w:val="00ED3A34"/>
    <w:rsid w:val="00ED3A47"/>
    <w:rsid w:val="00ED3AA2"/>
    <w:rsid w:val="00ED3AA6"/>
    <w:rsid w:val="00ED3AB7"/>
    <w:rsid w:val="00ED3BF5"/>
    <w:rsid w:val="00ED3C92"/>
    <w:rsid w:val="00ED3D2D"/>
    <w:rsid w:val="00ED3D33"/>
    <w:rsid w:val="00ED3DA0"/>
    <w:rsid w:val="00ED406A"/>
    <w:rsid w:val="00ED438D"/>
    <w:rsid w:val="00ED4396"/>
    <w:rsid w:val="00ED43DE"/>
    <w:rsid w:val="00ED4449"/>
    <w:rsid w:val="00ED447B"/>
    <w:rsid w:val="00ED4560"/>
    <w:rsid w:val="00ED458A"/>
    <w:rsid w:val="00ED45C8"/>
    <w:rsid w:val="00ED4616"/>
    <w:rsid w:val="00ED464E"/>
    <w:rsid w:val="00ED469D"/>
    <w:rsid w:val="00ED476A"/>
    <w:rsid w:val="00ED4773"/>
    <w:rsid w:val="00ED47A5"/>
    <w:rsid w:val="00ED49EF"/>
    <w:rsid w:val="00ED4A4E"/>
    <w:rsid w:val="00ED4B7E"/>
    <w:rsid w:val="00ED4BDF"/>
    <w:rsid w:val="00ED51AC"/>
    <w:rsid w:val="00ED5409"/>
    <w:rsid w:val="00ED54AB"/>
    <w:rsid w:val="00ED5605"/>
    <w:rsid w:val="00ED5698"/>
    <w:rsid w:val="00ED5753"/>
    <w:rsid w:val="00ED581B"/>
    <w:rsid w:val="00ED588F"/>
    <w:rsid w:val="00ED5964"/>
    <w:rsid w:val="00ED5990"/>
    <w:rsid w:val="00ED59A0"/>
    <w:rsid w:val="00ED59BC"/>
    <w:rsid w:val="00ED5BB1"/>
    <w:rsid w:val="00ED5C38"/>
    <w:rsid w:val="00ED5CB9"/>
    <w:rsid w:val="00ED5CC4"/>
    <w:rsid w:val="00ED5D41"/>
    <w:rsid w:val="00ED5DDE"/>
    <w:rsid w:val="00ED5E99"/>
    <w:rsid w:val="00ED60A2"/>
    <w:rsid w:val="00ED6135"/>
    <w:rsid w:val="00ED6175"/>
    <w:rsid w:val="00ED627B"/>
    <w:rsid w:val="00ED62A8"/>
    <w:rsid w:val="00ED6305"/>
    <w:rsid w:val="00ED6336"/>
    <w:rsid w:val="00ED636A"/>
    <w:rsid w:val="00ED63CB"/>
    <w:rsid w:val="00ED63F4"/>
    <w:rsid w:val="00ED6482"/>
    <w:rsid w:val="00ED654E"/>
    <w:rsid w:val="00ED65C6"/>
    <w:rsid w:val="00ED660C"/>
    <w:rsid w:val="00ED6817"/>
    <w:rsid w:val="00ED6864"/>
    <w:rsid w:val="00ED6895"/>
    <w:rsid w:val="00ED68A3"/>
    <w:rsid w:val="00ED68CE"/>
    <w:rsid w:val="00ED68D1"/>
    <w:rsid w:val="00ED69A8"/>
    <w:rsid w:val="00ED6B53"/>
    <w:rsid w:val="00ED6B97"/>
    <w:rsid w:val="00ED6C53"/>
    <w:rsid w:val="00ED6C5D"/>
    <w:rsid w:val="00ED6DC3"/>
    <w:rsid w:val="00ED6DC8"/>
    <w:rsid w:val="00ED6F0B"/>
    <w:rsid w:val="00ED703A"/>
    <w:rsid w:val="00ED70FE"/>
    <w:rsid w:val="00ED71B7"/>
    <w:rsid w:val="00ED72BB"/>
    <w:rsid w:val="00ED7533"/>
    <w:rsid w:val="00ED75CF"/>
    <w:rsid w:val="00ED760E"/>
    <w:rsid w:val="00ED7711"/>
    <w:rsid w:val="00ED777A"/>
    <w:rsid w:val="00ED78BD"/>
    <w:rsid w:val="00ED790D"/>
    <w:rsid w:val="00ED79AD"/>
    <w:rsid w:val="00ED7B1E"/>
    <w:rsid w:val="00ED7B4A"/>
    <w:rsid w:val="00ED7B93"/>
    <w:rsid w:val="00ED7BE1"/>
    <w:rsid w:val="00ED7CA9"/>
    <w:rsid w:val="00ED7CC9"/>
    <w:rsid w:val="00ED7CE0"/>
    <w:rsid w:val="00ED7CFE"/>
    <w:rsid w:val="00ED7D11"/>
    <w:rsid w:val="00ED7D94"/>
    <w:rsid w:val="00ED7E43"/>
    <w:rsid w:val="00ED7E9B"/>
    <w:rsid w:val="00ED7E9F"/>
    <w:rsid w:val="00ED7F84"/>
    <w:rsid w:val="00ED7FC8"/>
    <w:rsid w:val="00ED7FC9"/>
    <w:rsid w:val="00EE010F"/>
    <w:rsid w:val="00EE011E"/>
    <w:rsid w:val="00EE0239"/>
    <w:rsid w:val="00EE0292"/>
    <w:rsid w:val="00EE02EA"/>
    <w:rsid w:val="00EE03B7"/>
    <w:rsid w:val="00EE0481"/>
    <w:rsid w:val="00EE04C1"/>
    <w:rsid w:val="00EE04E2"/>
    <w:rsid w:val="00EE0586"/>
    <w:rsid w:val="00EE0672"/>
    <w:rsid w:val="00EE0682"/>
    <w:rsid w:val="00EE078C"/>
    <w:rsid w:val="00EE08AC"/>
    <w:rsid w:val="00EE0989"/>
    <w:rsid w:val="00EE0A41"/>
    <w:rsid w:val="00EE0A70"/>
    <w:rsid w:val="00EE0C13"/>
    <w:rsid w:val="00EE0F52"/>
    <w:rsid w:val="00EE0FD7"/>
    <w:rsid w:val="00EE106B"/>
    <w:rsid w:val="00EE1146"/>
    <w:rsid w:val="00EE1235"/>
    <w:rsid w:val="00EE128B"/>
    <w:rsid w:val="00EE12A8"/>
    <w:rsid w:val="00EE12F0"/>
    <w:rsid w:val="00EE13C7"/>
    <w:rsid w:val="00EE149B"/>
    <w:rsid w:val="00EE1575"/>
    <w:rsid w:val="00EE1593"/>
    <w:rsid w:val="00EE16F2"/>
    <w:rsid w:val="00EE1776"/>
    <w:rsid w:val="00EE17CF"/>
    <w:rsid w:val="00EE1848"/>
    <w:rsid w:val="00EE1AFF"/>
    <w:rsid w:val="00EE1B1B"/>
    <w:rsid w:val="00EE1BBF"/>
    <w:rsid w:val="00EE1BC9"/>
    <w:rsid w:val="00EE1C61"/>
    <w:rsid w:val="00EE1CF1"/>
    <w:rsid w:val="00EE1D1E"/>
    <w:rsid w:val="00EE1D9F"/>
    <w:rsid w:val="00EE1DDD"/>
    <w:rsid w:val="00EE1E05"/>
    <w:rsid w:val="00EE1F89"/>
    <w:rsid w:val="00EE1FA3"/>
    <w:rsid w:val="00EE20E4"/>
    <w:rsid w:val="00EE21AA"/>
    <w:rsid w:val="00EE2270"/>
    <w:rsid w:val="00EE2466"/>
    <w:rsid w:val="00EE2487"/>
    <w:rsid w:val="00EE24BF"/>
    <w:rsid w:val="00EE262B"/>
    <w:rsid w:val="00EE264C"/>
    <w:rsid w:val="00EE2757"/>
    <w:rsid w:val="00EE288D"/>
    <w:rsid w:val="00EE28AF"/>
    <w:rsid w:val="00EE28D9"/>
    <w:rsid w:val="00EE295A"/>
    <w:rsid w:val="00EE2B0D"/>
    <w:rsid w:val="00EE2B41"/>
    <w:rsid w:val="00EE2B69"/>
    <w:rsid w:val="00EE2E20"/>
    <w:rsid w:val="00EE2FF7"/>
    <w:rsid w:val="00EE2FFB"/>
    <w:rsid w:val="00EE3076"/>
    <w:rsid w:val="00EE33C2"/>
    <w:rsid w:val="00EE33C6"/>
    <w:rsid w:val="00EE349C"/>
    <w:rsid w:val="00EE373C"/>
    <w:rsid w:val="00EE3745"/>
    <w:rsid w:val="00EE375C"/>
    <w:rsid w:val="00EE3875"/>
    <w:rsid w:val="00EE3942"/>
    <w:rsid w:val="00EE39C8"/>
    <w:rsid w:val="00EE3C76"/>
    <w:rsid w:val="00EE3CE8"/>
    <w:rsid w:val="00EE3CEA"/>
    <w:rsid w:val="00EE3D79"/>
    <w:rsid w:val="00EE3E8A"/>
    <w:rsid w:val="00EE3F7B"/>
    <w:rsid w:val="00EE3FE6"/>
    <w:rsid w:val="00EE4144"/>
    <w:rsid w:val="00EE41C1"/>
    <w:rsid w:val="00EE41CA"/>
    <w:rsid w:val="00EE4283"/>
    <w:rsid w:val="00EE42D6"/>
    <w:rsid w:val="00EE42F9"/>
    <w:rsid w:val="00EE4303"/>
    <w:rsid w:val="00EE43C9"/>
    <w:rsid w:val="00EE43FA"/>
    <w:rsid w:val="00EE4505"/>
    <w:rsid w:val="00EE4506"/>
    <w:rsid w:val="00EE471E"/>
    <w:rsid w:val="00EE47BF"/>
    <w:rsid w:val="00EE4991"/>
    <w:rsid w:val="00EE49CA"/>
    <w:rsid w:val="00EE4CFD"/>
    <w:rsid w:val="00EE4E34"/>
    <w:rsid w:val="00EE4EBC"/>
    <w:rsid w:val="00EE4FF4"/>
    <w:rsid w:val="00EE506E"/>
    <w:rsid w:val="00EE5095"/>
    <w:rsid w:val="00EE50CA"/>
    <w:rsid w:val="00EE529D"/>
    <w:rsid w:val="00EE5377"/>
    <w:rsid w:val="00EE537F"/>
    <w:rsid w:val="00EE54A2"/>
    <w:rsid w:val="00EE54ED"/>
    <w:rsid w:val="00EE56EF"/>
    <w:rsid w:val="00EE570C"/>
    <w:rsid w:val="00EE57DE"/>
    <w:rsid w:val="00EE5AE1"/>
    <w:rsid w:val="00EE5AE3"/>
    <w:rsid w:val="00EE5B6D"/>
    <w:rsid w:val="00EE5BA0"/>
    <w:rsid w:val="00EE5FAD"/>
    <w:rsid w:val="00EE6079"/>
    <w:rsid w:val="00EE60B4"/>
    <w:rsid w:val="00EE60FC"/>
    <w:rsid w:val="00EE61EC"/>
    <w:rsid w:val="00EE6288"/>
    <w:rsid w:val="00EE6302"/>
    <w:rsid w:val="00EE63EA"/>
    <w:rsid w:val="00EE66FE"/>
    <w:rsid w:val="00EE67C1"/>
    <w:rsid w:val="00EE69C9"/>
    <w:rsid w:val="00EE6A0C"/>
    <w:rsid w:val="00EE6B03"/>
    <w:rsid w:val="00EE6B4F"/>
    <w:rsid w:val="00EE6B77"/>
    <w:rsid w:val="00EE6B93"/>
    <w:rsid w:val="00EE6BA1"/>
    <w:rsid w:val="00EE6BD2"/>
    <w:rsid w:val="00EE6C08"/>
    <w:rsid w:val="00EE6C84"/>
    <w:rsid w:val="00EE6ED2"/>
    <w:rsid w:val="00EE6F60"/>
    <w:rsid w:val="00EE70ED"/>
    <w:rsid w:val="00EE7144"/>
    <w:rsid w:val="00EE71E5"/>
    <w:rsid w:val="00EE72C3"/>
    <w:rsid w:val="00EE72CE"/>
    <w:rsid w:val="00EE735D"/>
    <w:rsid w:val="00EE757E"/>
    <w:rsid w:val="00EE75AF"/>
    <w:rsid w:val="00EE75D6"/>
    <w:rsid w:val="00EE769E"/>
    <w:rsid w:val="00EE779B"/>
    <w:rsid w:val="00EE787E"/>
    <w:rsid w:val="00EE7AE6"/>
    <w:rsid w:val="00EE7DA2"/>
    <w:rsid w:val="00EED656"/>
    <w:rsid w:val="00EF0029"/>
    <w:rsid w:val="00EF00C9"/>
    <w:rsid w:val="00EF00E3"/>
    <w:rsid w:val="00EF02AF"/>
    <w:rsid w:val="00EF02C4"/>
    <w:rsid w:val="00EF0372"/>
    <w:rsid w:val="00EF03EB"/>
    <w:rsid w:val="00EF0424"/>
    <w:rsid w:val="00EF0517"/>
    <w:rsid w:val="00EF05C3"/>
    <w:rsid w:val="00EF069A"/>
    <w:rsid w:val="00EF0885"/>
    <w:rsid w:val="00EF08DB"/>
    <w:rsid w:val="00EF0916"/>
    <w:rsid w:val="00EF0996"/>
    <w:rsid w:val="00EF0A50"/>
    <w:rsid w:val="00EF0CA9"/>
    <w:rsid w:val="00EF0CBE"/>
    <w:rsid w:val="00EF0CEE"/>
    <w:rsid w:val="00EF0F1F"/>
    <w:rsid w:val="00EF111D"/>
    <w:rsid w:val="00EF1143"/>
    <w:rsid w:val="00EF1171"/>
    <w:rsid w:val="00EF1186"/>
    <w:rsid w:val="00EF1261"/>
    <w:rsid w:val="00EF1372"/>
    <w:rsid w:val="00EF13AC"/>
    <w:rsid w:val="00EF1420"/>
    <w:rsid w:val="00EF14C8"/>
    <w:rsid w:val="00EF160B"/>
    <w:rsid w:val="00EF172C"/>
    <w:rsid w:val="00EF178B"/>
    <w:rsid w:val="00EF1A00"/>
    <w:rsid w:val="00EF1AEA"/>
    <w:rsid w:val="00EF1B08"/>
    <w:rsid w:val="00EF1B49"/>
    <w:rsid w:val="00EF1B80"/>
    <w:rsid w:val="00EF1BD2"/>
    <w:rsid w:val="00EF1C07"/>
    <w:rsid w:val="00EF1C5A"/>
    <w:rsid w:val="00EF1C7A"/>
    <w:rsid w:val="00EF1CCE"/>
    <w:rsid w:val="00EF1D85"/>
    <w:rsid w:val="00EF1EC1"/>
    <w:rsid w:val="00EF1ED0"/>
    <w:rsid w:val="00EF1FA9"/>
    <w:rsid w:val="00EF2006"/>
    <w:rsid w:val="00EF2060"/>
    <w:rsid w:val="00EF2080"/>
    <w:rsid w:val="00EF2090"/>
    <w:rsid w:val="00EF20ED"/>
    <w:rsid w:val="00EF2124"/>
    <w:rsid w:val="00EF233A"/>
    <w:rsid w:val="00EF238E"/>
    <w:rsid w:val="00EF2476"/>
    <w:rsid w:val="00EF2477"/>
    <w:rsid w:val="00EF260B"/>
    <w:rsid w:val="00EF2739"/>
    <w:rsid w:val="00EF2956"/>
    <w:rsid w:val="00EF2957"/>
    <w:rsid w:val="00EF29B7"/>
    <w:rsid w:val="00EF2A29"/>
    <w:rsid w:val="00EF2A2B"/>
    <w:rsid w:val="00EF2AE2"/>
    <w:rsid w:val="00EF2B7D"/>
    <w:rsid w:val="00EF2CB7"/>
    <w:rsid w:val="00EF2EB7"/>
    <w:rsid w:val="00EF2F10"/>
    <w:rsid w:val="00EF2F9D"/>
    <w:rsid w:val="00EF304D"/>
    <w:rsid w:val="00EF3164"/>
    <w:rsid w:val="00EF31F0"/>
    <w:rsid w:val="00EF322E"/>
    <w:rsid w:val="00EF324B"/>
    <w:rsid w:val="00EF3357"/>
    <w:rsid w:val="00EF33F1"/>
    <w:rsid w:val="00EF36DA"/>
    <w:rsid w:val="00EF384C"/>
    <w:rsid w:val="00EF38BA"/>
    <w:rsid w:val="00EF38E1"/>
    <w:rsid w:val="00EF3923"/>
    <w:rsid w:val="00EF3A21"/>
    <w:rsid w:val="00EF3A94"/>
    <w:rsid w:val="00EF3AA7"/>
    <w:rsid w:val="00EF3B75"/>
    <w:rsid w:val="00EF3BCE"/>
    <w:rsid w:val="00EF3CED"/>
    <w:rsid w:val="00EF3D53"/>
    <w:rsid w:val="00EF40F8"/>
    <w:rsid w:val="00EF414A"/>
    <w:rsid w:val="00EF41AA"/>
    <w:rsid w:val="00EF4294"/>
    <w:rsid w:val="00EF43F4"/>
    <w:rsid w:val="00EF4468"/>
    <w:rsid w:val="00EF4475"/>
    <w:rsid w:val="00EF44B4"/>
    <w:rsid w:val="00EF4518"/>
    <w:rsid w:val="00EF4537"/>
    <w:rsid w:val="00EF4682"/>
    <w:rsid w:val="00EF4898"/>
    <w:rsid w:val="00EF48D6"/>
    <w:rsid w:val="00EF48EE"/>
    <w:rsid w:val="00EF4923"/>
    <w:rsid w:val="00EF4A10"/>
    <w:rsid w:val="00EF4A86"/>
    <w:rsid w:val="00EF4BE1"/>
    <w:rsid w:val="00EF4C94"/>
    <w:rsid w:val="00EF4D81"/>
    <w:rsid w:val="00EF4F3F"/>
    <w:rsid w:val="00EF503C"/>
    <w:rsid w:val="00EF5077"/>
    <w:rsid w:val="00EF507B"/>
    <w:rsid w:val="00EF5182"/>
    <w:rsid w:val="00EF51C6"/>
    <w:rsid w:val="00EF5314"/>
    <w:rsid w:val="00EF537C"/>
    <w:rsid w:val="00EF5398"/>
    <w:rsid w:val="00EF53EB"/>
    <w:rsid w:val="00EF5436"/>
    <w:rsid w:val="00EF5548"/>
    <w:rsid w:val="00EF55DE"/>
    <w:rsid w:val="00EF568D"/>
    <w:rsid w:val="00EF56C4"/>
    <w:rsid w:val="00EF5838"/>
    <w:rsid w:val="00EF58B8"/>
    <w:rsid w:val="00EF58C6"/>
    <w:rsid w:val="00EF59F3"/>
    <w:rsid w:val="00EF59FA"/>
    <w:rsid w:val="00EF5A3F"/>
    <w:rsid w:val="00EF5A48"/>
    <w:rsid w:val="00EF5A95"/>
    <w:rsid w:val="00EF5B49"/>
    <w:rsid w:val="00EF5B76"/>
    <w:rsid w:val="00EF5BB2"/>
    <w:rsid w:val="00EF5C98"/>
    <w:rsid w:val="00EF5D78"/>
    <w:rsid w:val="00EF5DA9"/>
    <w:rsid w:val="00EF5E2F"/>
    <w:rsid w:val="00EF5E5D"/>
    <w:rsid w:val="00EF5F7D"/>
    <w:rsid w:val="00EF5F87"/>
    <w:rsid w:val="00EF5F94"/>
    <w:rsid w:val="00EF5FF0"/>
    <w:rsid w:val="00EF6185"/>
    <w:rsid w:val="00EF6303"/>
    <w:rsid w:val="00EF632F"/>
    <w:rsid w:val="00EF6438"/>
    <w:rsid w:val="00EF64C8"/>
    <w:rsid w:val="00EF652A"/>
    <w:rsid w:val="00EF656E"/>
    <w:rsid w:val="00EF6587"/>
    <w:rsid w:val="00EF6644"/>
    <w:rsid w:val="00EF677F"/>
    <w:rsid w:val="00EF67C3"/>
    <w:rsid w:val="00EF6875"/>
    <w:rsid w:val="00EF695B"/>
    <w:rsid w:val="00EF6AAC"/>
    <w:rsid w:val="00EF6AAD"/>
    <w:rsid w:val="00EF6C00"/>
    <w:rsid w:val="00EF6CB8"/>
    <w:rsid w:val="00EF6CC4"/>
    <w:rsid w:val="00EF6DF8"/>
    <w:rsid w:val="00EF6E03"/>
    <w:rsid w:val="00EF6E45"/>
    <w:rsid w:val="00EF6EA1"/>
    <w:rsid w:val="00EF6ECA"/>
    <w:rsid w:val="00EF6ED9"/>
    <w:rsid w:val="00EF70B2"/>
    <w:rsid w:val="00EF7145"/>
    <w:rsid w:val="00EF71E1"/>
    <w:rsid w:val="00EF74BA"/>
    <w:rsid w:val="00EF74E5"/>
    <w:rsid w:val="00EF75B5"/>
    <w:rsid w:val="00EF7644"/>
    <w:rsid w:val="00EF7694"/>
    <w:rsid w:val="00EF76F1"/>
    <w:rsid w:val="00EF7714"/>
    <w:rsid w:val="00EF77A7"/>
    <w:rsid w:val="00EF77CB"/>
    <w:rsid w:val="00EF781A"/>
    <w:rsid w:val="00EF7961"/>
    <w:rsid w:val="00EF7964"/>
    <w:rsid w:val="00EF7973"/>
    <w:rsid w:val="00EF7A1A"/>
    <w:rsid w:val="00EF7B33"/>
    <w:rsid w:val="00EF7F2A"/>
    <w:rsid w:val="00EF7F8E"/>
    <w:rsid w:val="00F000A3"/>
    <w:rsid w:val="00F00119"/>
    <w:rsid w:val="00F00203"/>
    <w:rsid w:val="00F003A1"/>
    <w:rsid w:val="00F003C9"/>
    <w:rsid w:val="00F003CA"/>
    <w:rsid w:val="00F0045D"/>
    <w:rsid w:val="00F0049E"/>
    <w:rsid w:val="00F00509"/>
    <w:rsid w:val="00F0050A"/>
    <w:rsid w:val="00F00519"/>
    <w:rsid w:val="00F00633"/>
    <w:rsid w:val="00F007D9"/>
    <w:rsid w:val="00F00919"/>
    <w:rsid w:val="00F00920"/>
    <w:rsid w:val="00F00A24"/>
    <w:rsid w:val="00F00A29"/>
    <w:rsid w:val="00F00A3E"/>
    <w:rsid w:val="00F00C22"/>
    <w:rsid w:val="00F00D66"/>
    <w:rsid w:val="00F00D8F"/>
    <w:rsid w:val="00F00DAC"/>
    <w:rsid w:val="00F00E07"/>
    <w:rsid w:val="00F00EAC"/>
    <w:rsid w:val="00F00EE3"/>
    <w:rsid w:val="00F00F31"/>
    <w:rsid w:val="00F00F97"/>
    <w:rsid w:val="00F01003"/>
    <w:rsid w:val="00F01044"/>
    <w:rsid w:val="00F01089"/>
    <w:rsid w:val="00F0108D"/>
    <w:rsid w:val="00F011B3"/>
    <w:rsid w:val="00F0130C"/>
    <w:rsid w:val="00F01392"/>
    <w:rsid w:val="00F0143E"/>
    <w:rsid w:val="00F0172E"/>
    <w:rsid w:val="00F0174B"/>
    <w:rsid w:val="00F0191D"/>
    <w:rsid w:val="00F0196B"/>
    <w:rsid w:val="00F01A45"/>
    <w:rsid w:val="00F01A70"/>
    <w:rsid w:val="00F01B3B"/>
    <w:rsid w:val="00F01B8A"/>
    <w:rsid w:val="00F01BD8"/>
    <w:rsid w:val="00F01BDF"/>
    <w:rsid w:val="00F01E06"/>
    <w:rsid w:val="00F01E08"/>
    <w:rsid w:val="00F01FD1"/>
    <w:rsid w:val="00F02099"/>
    <w:rsid w:val="00F020BB"/>
    <w:rsid w:val="00F0211B"/>
    <w:rsid w:val="00F02128"/>
    <w:rsid w:val="00F0212E"/>
    <w:rsid w:val="00F02287"/>
    <w:rsid w:val="00F022BE"/>
    <w:rsid w:val="00F023BF"/>
    <w:rsid w:val="00F0241D"/>
    <w:rsid w:val="00F024CF"/>
    <w:rsid w:val="00F024E1"/>
    <w:rsid w:val="00F0255E"/>
    <w:rsid w:val="00F02619"/>
    <w:rsid w:val="00F02788"/>
    <w:rsid w:val="00F028F6"/>
    <w:rsid w:val="00F029E9"/>
    <w:rsid w:val="00F02B9C"/>
    <w:rsid w:val="00F02C35"/>
    <w:rsid w:val="00F02C45"/>
    <w:rsid w:val="00F02DA0"/>
    <w:rsid w:val="00F02DD8"/>
    <w:rsid w:val="00F02F87"/>
    <w:rsid w:val="00F030D8"/>
    <w:rsid w:val="00F0313E"/>
    <w:rsid w:val="00F0336B"/>
    <w:rsid w:val="00F033FC"/>
    <w:rsid w:val="00F03451"/>
    <w:rsid w:val="00F0345A"/>
    <w:rsid w:val="00F034F2"/>
    <w:rsid w:val="00F035AC"/>
    <w:rsid w:val="00F03661"/>
    <w:rsid w:val="00F037A4"/>
    <w:rsid w:val="00F037F9"/>
    <w:rsid w:val="00F039D2"/>
    <w:rsid w:val="00F03A68"/>
    <w:rsid w:val="00F03AF4"/>
    <w:rsid w:val="00F03B4F"/>
    <w:rsid w:val="00F03C20"/>
    <w:rsid w:val="00F03C38"/>
    <w:rsid w:val="00F03CF8"/>
    <w:rsid w:val="00F03D1A"/>
    <w:rsid w:val="00F03E9A"/>
    <w:rsid w:val="00F03FBA"/>
    <w:rsid w:val="00F03FBE"/>
    <w:rsid w:val="00F04091"/>
    <w:rsid w:val="00F040F8"/>
    <w:rsid w:val="00F04311"/>
    <w:rsid w:val="00F0433D"/>
    <w:rsid w:val="00F0444D"/>
    <w:rsid w:val="00F0463C"/>
    <w:rsid w:val="00F0473F"/>
    <w:rsid w:val="00F04772"/>
    <w:rsid w:val="00F04829"/>
    <w:rsid w:val="00F049C8"/>
    <w:rsid w:val="00F049D6"/>
    <w:rsid w:val="00F04B02"/>
    <w:rsid w:val="00F04BAF"/>
    <w:rsid w:val="00F04BE9"/>
    <w:rsid w:val="00F04C63"/>
    <w:rsid w:val="00F04CFA"/>
    <w:rsid w:val="00F04FC0"/>
    <w:rsid w:val="00F04FD6"/>
    <w:rsid w:val="00F05229"/>
    <w:rsid w:val="00F0530F"/>
    <w:rsid w:val="00F053FD"/>
    <w:rsid w:val="00F05667"/>
    <w:rsid w:val="00F0576E"/>
    <w:rsid w:val="00F05901"/>
    <w:rsid w:val="00F05B03"/>
    <w:rsid w:val="00F05B6D"/>
    <w:rsid w:val="00F05B72"/>
    <w:rsid w:val="00F05BA2"/>
    <w:rsid w:val="00F05D67"/>
    <w:rsid w:val="00F05DD7"/>
    <w:rsid w:val="00F05E05"/>
    <w:rsid w:val="00F05E98"/>
    <w:rsid w:val="00F05EA6"/>
    <w:rsid w:val="00F05EBF"/>
    <w:rsid w:val="00F05F07"/>
    <w:rsid w:val="00F06039"/>
    <w:rsid w:val="00F06051"/>
    <w:rsid w:val="00F060B2"/>
    <w:rsid w:val="00F060DA"/>
    <w:rsid w:val="00F0614B"/>
    <w:rsid w:val="00F061AD"/>
    <w:rsid w:val="00F0636E"/>
    <w:rsid w:val="00F06510"/>
    <w:rsid w:val="00F06624"/>
    <w:rsid w:val="00F06901"/>
    <w:rsid w:val="00F06A79"/>
    <w:rsid w:val="00F06C10"/>
    <w:rsid w:val="00F06C4E"/>
    <w:rsid w:val="00F06D73"/>
    <w:rsid w:val="00F06E16"/>
    <w:rsid w:val="00F06F90"/>
    <w:rsid w:val="00F06FB1"/>
    <w:rsid w:val="00F0706E"/>
    <w:rsid w:val="00F070EF"/>
    <w:rsid w:val="00F0724E"/>
    <w:rsid w:val="00F0729C"/>
    <w:rsid w:val="00F072C1"/>
    <w:rsid w:val="00F07378"/>
    <w:rsid w:val="00F07476"/>
    <w:rsid w:val="00F074AB"/>
    <w:rsid w:val="00F07568"/>
    <w:rsid w:val="00F075C0"/>
    <w:rsid w:val="00F07795"/>
    <w:rsid w:val="00F07835"/>
    <w:rsid w:val="00F07864"/>
    <w:rsid w:val="00F078F8"/>
    <w:rsid w:val="00F078FA"/>
    <w:rsid w:val="00F0798E"/>
    <w:rsid w:val="00F079B6"/>
    <w:rsid w:val="00F07A0B"/>
    <w:rsid w:val="00F07A51"/>
    <w:rsid w:val="00F07A5B"/>
    <w:rsid w:val="00F07A5D"/>
    <w:rsid w:val="00F07B13"/>
    <w:rsid w:val="00F07B88"/>
    <w:rsid w:val="00F07C63"/>
    <w:rsid w:val="00F07C6B"/>
    <w:rsid w:val="00F07C91"/>
    <w:rsid w:val="00F07DA8"/>
    <w:rsid w:val="00F07E50"/>
    <w:rsid w:val="00F07EC6"/>
    <w:rsid w:val="00F0FFCD"/>
    <w:rsid w:val="00F10040"/>
    <w:rsid w:val="00F1008F"/>
    <w:rsid w:val="00F100F3"/>
    <w:rsid w:val="00F10209"/>
    <w:rsid w:val="00F102D6"/>
    <w:rsid w:val="00F102ED"/>
    <w:rsid w:val="00F10304"/>
    <w:rsid w:val="00F103A1"/>
    <w:rsid w:val="00F103B4"/>
    <w:rsid w:val="00F103F6"/>
    <w:rsid w:val="00F1046D"/>
    <w:rsid w:val="00F105BF"/>
    <w:rsid w:val="00F10646"/>
    <w:rsid w:val="00F106F9"/>
    <w:rsid w:val="00F107B6"/>
    <w:rsid w:val="00F10806"/>
    <w:rsid w:val="00F10915"/>
    <w:rsid w:val="00F10939"/>
    <w:rsid w:val="00F1096F"/>
    <w:rsid w:val="00F109D3"/>
    <w:rsid w:val="00F109E8"/>
    <w:rsid w:val="00F10A1D"/>
    <w:rsid w:val="00F10A87"/>
    <w:rsid w:val="00F10AC3"/>
    <w:rsid w:val="00F10C57"/>
    <w:rsid w:val="00F10C70"/>
    <w:rsid w:val="00F10C90"/>
    <w:rsid w:val="00F10CA4"/>
    <w:rsid w:val="00F10CDE"/>
    <w:rsid w:val="00F10DCD"/>
    <w:rsid w:val="00F10FBE"/>
    <w:rsid w:val="00F110B6"/>
    <w:rsid w:val="00F1117D"/>
    <w:rsid w:val="00F112EE"/>
    <w:rsid w:val="00F1135F"/>
    <w:rsid w:val="00F114AB"/>
    <w:rsid w:val="00F11590"/>
    <w:rsid w:val="00F115F1"/>
    <w:rsid w:val="00F11637"/>
    <w:rsid w:val="00F11692"/>
    <w:rsid w:val="00F116A3"/>
    <w:rsid w:val="00F116EC"/>
    <w:rsid w:val="00F11730"/>
    <w:rsid w:val="00F117DB"/>
    <w:rsid w:val="00F11871"/>
    <w:rsid w:val="00F11978"/>
    <w:rsid w:val="00F11986"/>
    <w:rsid w:val="00F11B81"/>
    <w:rsid w:val="00F11BAC"/>
    <w:rsid w:val="00F11DB7"/>
    <w:rsid w:val="00F11DB8"/>
    <w:rsid w:val="00F11E8E"/>
    <w:rsid w:val="00F11F49"/>
    <w:rsid w:val="00F11FAB"/>
    <w:rsid w:val="00F11FB0"/>
    <w:rsid w:val="00F12071"/>
    <w:rsid w:val="00F120D0"/>
    <w:rsid w:val="00F121F8"/>
    <w:rsid w:val="00F123EE"/>
    <w:rsid w:val="00F12422"/>
    <w:rsid w:val="00F12509"/>
    <w:rsid w:val="00F12589"/>
    <w:rsid w:val="00F12595"/>
    <w:rsid w:val="00F12687"/>
    <w:rsid w:val="00F12695"/>
    <w:rsid w:val="00F1269B"/>
    <w:rsid w:val="00F1280A"/>
    <w:rsid w:val="00F1285D"/>
    <w:rsid w:val="00F128E2"/>
    <w:rsid w:val="00F12961"/>
    <w:rsid w:val="00F12965"/>
    <w:rsid w:val="00F12A3F"/>
    <w:rsid w:val="00F12BD3"/>
    <w:rsid w:val="00F12CAA"/>
    <w:rsid w:val="00F12CB4"/>
    <w:rsid w:val="00F12E73"/>
    <w:rsid w:val="00F12F39"/>
    <w:rsid w:val="00F12FDB"/>
    <w:rsid w:val="00F13108"/>
    <w:rsid w:val="00F13176"/>
    <w:rsid w:val="00F1330F"/>
    <w:rsid w:val="00F133AC"/>
    <w:rsid w:val="00F133EA"/>
    <w:rsid w:val="00F13462"/>
    <w:rsid w:val="00F134D9"/>
    <w:rsid w:val="00F13592"/>
    <w:rsid w:val="00F135CA"/>
    <w:rsid w:val="00F135D7"/>
    <w:rsid w:val="00F13646"/>
    <w:rsid w:val="00F1368C"/>
    <w:rsid w:val="00F137DB"/>
    <w:rsid w:val="00F13856"/>
    <w:rsid w:val="00F13892"/>
    <w:rsid w:val="00F13AD0"/>
    <w:rsid w:val="00F13B15"/>
    <w:rsid w:val="00F13BBD"/>
    <w:rsid w:val="00F13E6E"/>
    <w:rsid w:val="00F13EBD"/>
    <w:rsid w:val="00F13EFB"/>
    <w:rsid w:val="00F13FE4"/>
    <w:rsid w:val="00F1403D"/>
    <w:rsid w:val="00F1414C"/>
    <w:rsid w:val="00F14191"/>
    <w:rsid w:val="00F14257"/>
    <w:rsid w:val="00F14262"/>
    <w:rsid w:val="00F14408"/>
    <w:rsid w:val="00F14498"/>
    <w:rsid w:val="00F1449F"/>
    <w:rsid w:val="00F14563"/>
    <w:rsid w:val="00F1456B"/>
    <w:rsid w:val="00F1463F"/>
    <w:rsid w:val="00F1496C"/>
    <w:rsid w:val="00F149E0"/>
    <w:rsid w:val="00F14AA7"/>
    <w:rsid w:val="00F14B24"/>
    <w:rsid w:val="00F14B3E"/>
    <w:rsid w:val="00F14CE4"/>
    <w:rsid w:val="00F14E09"/>
    <w:rsid w:val="00F14F80"/>
    <w:rsid w:val="00F14F95"/>
    <w:rsid w:val="00F14FD3"/>
    <w:rsid w:val="00F15042"/>
    <w:rsid w:val="00F150A0"/>
    <w:rsid w:val="00F150E0"/>
    <w:rsid w:val="00F15238"/>
    <w:rsid w:val="00F15250"/>
    <w:rsid w:val="00F1528C"/>
    <w:rsid w:val="00F152DE"/>
    <w:rsid w:val="00F1536D"/>
    <w:rsid w:val="00F153A8"/>
    <w:rsid w:val="00F15405"/>
    <w:rsid w:val="00F154E8"/>
    <w:rsid w:val="00F15500"/>
    <w:rsid w:val="00F15561"/>
    <w:rsid w:val="00F15641"/>
    <w:rsid w:val="00F15748"/>
    <w:rsid w:val="00F1590A"/>
    <w:rsid w:val="00F15975"/>
    <w:rsid w:val="00F15ABE"/>
    <w:rsid w:val="00F15C9C"/>
    <w:rsid w:val="00F15D4B"/>
    <w:rsid w:val="00F15D76"/>
    <w:rsid w:val="00F15DF5"/>
    <w:rsid w:val="00F15F95"/>
    <w:rsid w:val="00F1603C"/>
    <w:rsid w:val="00F16040"/>
    <w:rsid w:val="00F162A3"/>
    <w:rsid w:val="00F162D6"/>
    <w:rsid w:val="00F1636E"/>
    <w:rsid w:val="00F1638E"/>
    <w:rsid w:val="00F16451"/>
    <w:rsid w:val="00F16500"/>
    <w:rsid w:val="00F16620"/>
    <w:rsid w:val="00F16685"/>
    <w:rsid w:val="00F16787"/>
    <w:rsid w:val="00F168F5"/>
    <w:rsid w:val="00F16B98"/>
    <w:rsid w:val="00F16BAC"/>
    <w:rsid w:val="00F16BBD"/>
    <w:rsid w:val="00F16D89"/>
    <w:rsid w:val="00F16DA0"/>
    <w:rsid w:val="00F16E26"/>
    <w:rsid w:val="00F16E8C"/>
    <w:rsid w:val="00F16F95"/>
    <w:rsid w:val="00F16FE1"/>
    <w:rsid w:val="00F1702D"/>
    <w:rsid w:val="00F1704A"/>
    <w:rsid w:val="00F17050"/>
    <w:rsid w:val="00F17183"/>
    <w:rsid w:val="00F17189"/>
    <w:rsid w:val="00F171AD"/>
    <w:rsid w:val="00F17225"/>
    <w:rsid w:val="00F1736A"/>
    <w:rsid w:val="00F17373"/>
    <w:rsid w:val="00F17377"/>
    <w:rsid w:val="00F173CD"/>
    <w:rsid w:val="00F1753F"/>
    <w:rsid w:val="00F17566"/>
    <w:rsid w:val="00F175B1"/>
    <w:rsid w:val="00F175B8"/>
    <w:rsid w:val="00F177E4"/>
    <w:rsid w:val="00F17824"/>
    <w:rsid w:val="00F1794B"/>
    <w:rsid w:val="00F17AF4"/>
    <w:rsid w:val="00F17C30"/>
    <w:rsid w:val="00F17CBB"/>
    <w:rsid w:val="00F17F22"/>
    <w:rsid w:val="00F17FBF"/>
    <w:rsid w:val="00F200D7"/>
    <w:rsid w:val="00F20240"/>
    <w:rsid w:val="00F20297"/>
    <w:rsid w:val="00F203AC"/>
    <w:rsid w:val="00F203D4"/>
    <w:rsid w:val="00F2050F"/>
    <w:rsid w:val="00F2077B"/>
    <w:rsid w:val="00F20791"/>
    <w:rsid w:val="00F207D4"/>
    <w:rsid w:val="00F207F7"/>
    <w:rsid w:val="00F20837"/>
    <w:rsid w:val="00F2090F"/>
    <w:rsid w:val="00F20A09"/>
    <w:rsid w:val="00F20A3E"/>
    <w:rsid w:val="00F20A4B"/>
    <w:rsid w:val="00F20B1D"/>
    <w:rsid w:val="00F20BB2"/>
    <w:rsid w:val="00F20C09"/>
    <w:rsid w:val="00F20C2D"/>
    <w:rsid w:val="00F20DAD"/>
    <w:rsid w:val="00F20F9C"/>
    <w:rsid w:val="00F20FC6"/>
    <w:rsid w:val="00F2106D"/>
    <w:rsid w:val="00F21174"/>
    <w:rsid w:val="00F21302"/>
    <w:rsid w:val="00F21427"/>
    <w:rsid w:val="00F2146C"/>
    <w:rsid w:val="00F21661"/>
    <w:rsid w:val="00F21765"/>
    <w:rsid w:val="00F2176C"/>
    <w:rsid w:val="00F21799"/>
    <w:rsid w:val="00F217EF"/>
    <w:rsid w:val="00F21852"/>
    <w:rsid w:val="00F21AD0"/>
    <w:rsid w:val="00F21BD0"/>
    <w:rsid w:val="00F21D15"/>
    <w:rsid w:val="00F21D95"/>
    <w:rsid w:val="00F21F40"/>
    <w:rsid w:val="00F21FB1"/>
    <w:rsid w:val="00F2201A"/>
    <w:rsid w:val="00F2203B"/>
    <w:rsid w:val="00F220F0"/>
    <w:rsid w:val="00F22164"/>
    <w:rsid w:val="00F221C5"/>
    <w:rsid w:val="00F221D7"/>
    <w:rsid w:val="00F221DD"/>
    <w:rsid w:val="00F22274"/>
    <w:rsid w:val="00F222FA"/>
    <w:rsid w:val="00F2254F"/>
    <w:rsid w:val="00F2256A"/>
    <w:rsid w:val="00F22669"/>
    <w:rsid w:val="00F226D7"/>
    <w:rsid w:val="00F22752"/>
    <w:rsid w:val="00F22786"/>
    <w:rsid w:val="00F227B0"/>
    <w:rsid w:val="00F227D0"/>
    <w:rsid w:val="00F22899"/>
    <w:rsid w:val="00F22907"/>
    <w:rsid w:val="00F229D6"/>
    <w:rsid w:val="00F229E8"/>
    <w:rsid w:val="00F22A84"/>
    <w:rsid w:val="00F22AC8"/>
    <w:rsid w:val="00F22D62"/>
    <w:rsid w:val="00F22D69"/>
    <w:rsid w:val="00F22D9A"/>
    <w:rsid w:val="00F23097"/>
    <w:rsid w:val="00F23259"/>
    <w:rsid w:val="00F232C8"/>
    <w:rsid w:val="00F23342"/>
    <w:rsid w:val="00F23357"/>
    <w:rsid w:val="00F2341F"/>
    <w:rsid w:val="00F2354A"/>
    <w:rsid w:val="00F236E5"/>
    <w:rsid w:val="00F23917"/>
    <w:rsid w:val="00F239D2"/>
    <w:rsid w:val="00F23AF2"/>
    <w:rsid w:val="00F23B54"/>
    <w:rsid w:val="00F23C96"/>
    <w:rsid w:val="00F23D24"/>
    <w:rsid w:val="00F23D90"/>
    <w:rsid w:val="00F23E7B"/>
    <w:rsid w:val="00F23E97"/>
    <w:rsid w:val="00F23EE1"/>
    <w:rsid w:val="00F2407D"/>
    <w:rsid w:val="00F24147"/>
    <w:rsid w:val="00F24273"/>
    <w:rsid w:val="00F2430D"/>
    <w:rsid w:val="00F2459C"/>
    <w:rsid w:val="00F24678"/>
    <w:rsid w:val="00F24696"/>
    <w:rsid w:val="00F247D3"/>
    <w:rsid w:val="00F2499F"/>
    <w:rsid w:val="00F249E8"/>
    <w:rsid w:val="00F24A9E"/>
    <w:rsid w:val="00F24B28"/>
    <w:rsid w:val="00F24B5F"/>
    <w:rsid w:val="00F24B6B"/>
    <w:rsid w:val="00F24B8D"/>
    <w:rsid w:val="00F24CE6"/>
    <w:rsid w:val="00F24CF9"/>
    <w:rsid w:val="00F24D84"/>
    <w:rsid w:val="00F24E1A"/>
    <w:rsid w:val="00F24EB3"/>
    <w:rsid w:val="00F24F10"/>
    <w:rsid w:val="00F24F44"/>
    <w:rsid w:val="00F24F77"/>
    <w:rsid w:val="00F24F9B"/>
    <w:rsid w:val="00F24F9F"/>
    <w:rsid w:val="00F2500E"/>
    <w:rsid w:val="00F2506A"/>
    <w:rsid w:val="00F2516D"/>
    <w:rsid w:val="00F25319"/>
    <w:rsid w:val="00F253A5"/>
    <w:rsid w:val="00F253B2"/>
    <w:rsid w:val="00F25464"/>
    <w:rsid w:val="00F254B6"/>
    <w:rsid w:val="00F2557C"/>
    <w:rsid w:val="00F255C1"/>
    <w:rsid w:val="00F256DA"/>
    <w:rsid w:val="00F2572C"/>
    <w:rsid w:val="00F25798"/>
    <w:rsid w:val="00F25879"/>
    <w:rsid w:val="00F258E1"/>
    <w:rsid w:val="00F259EF"/>
    <w:rsid w:val="00F25A8F"/>
    <w:rsid w:val="00F25AA1"/>
    <w:rsid w:val="00F25B86"/>
    <w:rsid w:val="00F25BA1"/>
    <w:rsid w:val="00F25F77"/>
    <w:rsid w:val="00F25FAC"/>
    <w:rsid w:val="00F261F7"/>
    <w:rsid w:val="00F262CF"/>
    <w:rsid w:val="00F262D3"/>
    <w:rsid w:val="00F26318"/>
    <w:rsid w:val="00F264AB"/>
    <w:rsid w:val="00F26520"/>
    <w:rsid w:val="00F265CF"/>
    <w:rsid w:val="00F2662F"/>
    <w:rsid w:val="00F26648"/>
    <w:rsid w:val="00F26699"/>
    <w:rsid w:val="00F26747"/>
    <w:rsid w:val="00F2678D"/>
    <w:rsid w:val="00F2687D"/>
    <w:rsid w:val="00F26894"/>
    <w:rsid w:val="00F26C0E"/>
    <w:rsid w:val="00F26C7E"/>
    <w:rsid w:val="00F26D02"/>
    <w:rsid w:val="00F26D4F"/>
    <w:rsid w:val="00F26E0A"/>
    <w:rsid w:val="00F26F5A"/>
    <w:rsid w:val="00F26F5C"/>
    <w:rsid w:val="00F2702C"/>
    <w:rsid w:val="00F27040"/>
    <w:rsid w:val="00F27059"/>
    <w:rsid w:val="00F2705A"/>
    <w:rsid w:val="00F270BB"/>
    <w:rsid w:val="00F27228"/>
    <w:rsid w:val="00F27371"/>
    <w:rsid w:val="00F2750D"/>
    <w:rsid w:val="00F2756D"/>
    <w:rsid w:val="00F275AB"/>
    <w:rsid w:val="00F276F9"/>
    <w:rsid w:val="00F27706"/>
    <w:rsid w:val="00F27749"/>
    <w:rsid w:val="00F27779"/>
    <w:rsid w:val="00F277BB"/>
    <w:rsid w:val="00F27814"/>
    <w:rsid w:val="00F27A8E"/>
    <w:rsid w:val="00F27B3A"/>
    <w:rsid w:val="00F27C55"/>
    <w:rsid w:val="00F27DE8"/>
    <w:rsid w:val="00F30086"/>
    <w:rsid w:val="00F3009E"/>
    <w:rsid w:val="00F301DE"/>
    <w:rsid w:val="00F3023B"/>
    <w:rsid w:val="00F3029B"/>
    <w:rsid w:val="00F3033C"/>
    <w:rsid w:val="00F30390"/>
    <w:rsid w:val="00F3046B"/>
    <w:rsid w:val="00F304D8"/>
    <w:rsid w:val="00F30537"/>
    <w:rsid w:val="00F305C9"/>
    <w:rsid w:val="00F30798"/>
    <w:rsid w:val="00F30A7A"/>
    <w:rsid w:val="00F30BC9"/>
    <w:rsid w:val="00F30C3A"/>
    <w:rsid w:val="00F30C6C"/>
    <w:rsid w:val="00F30C95"/>
    <w:rsid w:val="00F30E24"/>
    <w:rsid w:val="00F30E4E"/>
    <w:rsid w:val="00F30F71"/>
    <w:rsid w:val="00F310A7"/>
    <w:rsid w:val="00F310ED"/>
    <w:rsid w:val="00F31125"/>
    <w:rsid w:val="00F3114A"/>
    <w:rsid w:val="00F311BD"/>
    <w:rsid w:val="00F31302"/>
    <w:rsid w:val="00F3131F"/>
    <w:rsid w:val="00F314C5"/>
    <w:rsid w:val="00F31535"/>
    <w:rsid w:val="00F3153A"/>
    <w:rsid w:val="00F31639"/>
    <w:rsid w:val="00F3165B"/>
    <w:rsid w:val="00F318AB"/>
    <w:rsid w:val="00F31926"/>
    <w:rsid w:val="00F31950"/>
    <w:rsid w:val="00F319B2"/>
    <w:rsid w:val="00F31B61"/>
    <w:rsid w:val="00F31B67"/>
    <w:rsid w:val="00F31C3A"/>
    <w:rsid w:val="00F31CDA"/>
    <w:rsid w:val="00F31E4C"/>
    <w:rsid w:val="00F31E79"/>
    <w:rsid w:val="00F31EAB"/>
    <w:rsid w:val="00F31F9A"/>
    <w:rsid w:val="00F31F9D"/>
    <w:rsid w:val="00F3210B"/>
    <w:rsid w:val="00F321CC"/>
    <w:rsid w:val="00F321DE"/>
    <w:rsid w:val="00F32216"/>
    <w:rsid w:val="00F32393"/>
    <w:rsid w:val="00F3242F"/>
    <w:rsid w:val="00F324EE"/>
    <w:rsid w:val="00F32537"/>
    <w:rsid w:val="00F32558"/>
    <w:rsid w:val="00F32604"/>
    <w:rsid w:val="00F326CA"/>
    <w:rsid w:val="00F32829"/>
    <w:rsid w:val="00F3287F"/>
    <w:rsid w:val="00F32970"/>
    <w:rsid w:val="00F329D4"/>
    <w:rsid w:val="00F32A49"/>
    <w:rsid w:val="00F32AD9"/>
    <w:rsid w:val="00F32C4D"/>
    <w:rsid w:val="00F32CAE"/>
    <w:rsid w:val="00F32D25"/>
    <w:rsid w:val="00F32D99"/>
    <w:rsid w:val="00F32DC6"/>
    <w:rsid w:val="00F33193"/>
    <w:rsid w:val="00F331E0"/>
    <w:rsid w:val="00F331E5"/>
    <w:rsid w:val="00F3326C"/>
    <w:rsid w:val="00F332B8"/>
    <w:rsid w:val="00F332D3"/>
    <w:rsid w:val="00F33454"/>
    <w:rsid w:val="00F335F6"/>
    <w:rsid w:val="00F3368D"/>
    <w:rsid w:val="00F33698"/>
    <w:rsid w:val="00F33777"/>
    <w:rsid w:val="00F3383C"/>
    <w:rsid w:val="00F339C1"/>
    <w:rsid w:val="00F33D59"/>
    <w:rsid w:val="00F33E5E"/>
    <w:rsid w:val="00F33E96"/>
    <w:rsid w:val="00F33EB5"/>
    <w:rsid w:val="00F33ED7"/>
    <w:rsid w:val="00F33EF2"/>
    <w:rsid w:val="00F3405C"/>
    <w:rsid w:val="00F34304"/>
    <w:rsid w:val="00F344C4"/>
    <w:rsid w:val="00F34750"/>
    <w:rsid w:val="00F3489B"/>
    <w:rsid w:val="00F348DE"/>
    <w:rsid w:val="00F34908"/>
    <w:rsid w:val="00F349A3"/>
    <w:rsid w:val="00F34AB6"/>
    <w:rsid w:val="00F34B6C"/>
    <w:rsid w:val="00F34B75"/>
    <w:rsid w:val="00F34BED"/>
    <w:rsid w:val="00F34E26"/>
    <w:rsid w:val="00F34F0E"/>
    <w:rsid w:val="00F34FCC"/>
    <w:rsid w:val="00F35020"/>
    <w:rsid w:val="00F35039"/>
    <w:rsid w:val="00F3503F"/>
    <w:rsid w:val="00F3506A"/>
    <w:rsid w:val="00F35180"/>
    <w:rsid w:val="00F3527E"/>
    <w:rsid w:val="00F352D9"/>
    <w:rsid w:val="00F353DF"/>
    <w:rsid w:val="00F3548E"/>
    <w:rsid w:val="00F354F3"/>
    <w:rsid w:val="00F35620"/>
    <w:rsid w:val="00F3567E"/>
    <w:rsid w:val="00F3568C"/>
    <w:rsid w:val="00F35884"/>
    <w:rsid w:val="00F3594A"/>
    <w:rsid w:val="00F359B3"/>
    <w:rsid w:val="00F35B2F"/>
    <w:rsid w:val="00F35CBA"/>
    <w:rsid w:val="00F35D34"/>
    <w:rsid w:val="00F35E30"/>
    <w:rsid w:val="00F35EA5"/>
    <w:rsid w:val="00F35F03"/>
    <w:rsid w:val="00F35F65"/>
    <w:rsid w:val="00F361D3"/>
    <w:rsid w:val="00F3642D"/>
    <w:rsid w:val="00F3646A"/>
    <w:rsid w:val="00F3647E"/>
    <w:rsid w:val="00F364A5"/>
    <w:rsid w:val="00F364F0"/>
    <w:rsid w:val="00F365A7"/>
    <w:rsid w:val="00F366F3"/>
    <w:rsid w:val="00F3683D"/>
    <w:rsid w:val="00F36869"/>
    <w:rsid w:val="00F3688C"/>
    <w:rsid w:val="00F369A8"/>
    <w:rsid w:val="00F36B84"/>
    <w:rsid w:val="00F36C4E"/>
    <w:rsid w:val="00F36CCF"/>
    <w:rsid w:val="00F36CE2"/>
    <w:rsid w:val="00F36CF4"/>
    <w:rsid w:val="00F36ECC"/>
    <w:rsid w:val="00F36FD2"/>
    <w:rsid w:val="00F37172"/>
    <w:rsid w:val="00F37289"/>
    <w:rsid w:val="00F372FD"/>
    <w:rsid w:val="00F37529"/>
    <w:rsid w:val="00F3760E"/>
    <w:rsid w:val="00F3782C"/>
    <w:rsid w:val="00F3783A"/>
    <w:rsid w:val="00F37A69"/>
    <w:rsid w:val="00F37E3F"/>
    <w:rsid w:val="00F37E5E"/>
    <w:rsid w:val="00F37E61"/>
    <w:rsid w:val="00F37E8C"/>
    <w:rsid w:val="00F37EB0"/>
    <w:rsid w:val="00F37F49"/>
    <w:rsid w:val="00F4009F"/>
    <w:rsid w:val="00F400D2"/>
    <w:rsid w:val="00F400EF"/>
    <w:rsid w:val="00F4027A"/>
    <w:rsid w:val="00F40355"/>
    <w:rsid w:val="00F40382"/>
    <w:rsid w:val="00F403E9"/>
    <w:rsid w:val="00F40438"/>
    <w:rsid w:val="00F40465"/>
    <w:rsid w:val="00F40569"/>
    <w:rsid w:val="00F40648"/>
    <w:rsid w:val="00F40654"/>
    <w:rsid w:val="00F40743"/>
    <w:rsid w:val="00F40899"/>
    <w:rsid w:val="00F4095F"/>
    <w:rsid w:val="00F40984"/>
    <w:rsid w:val="00F40B04"/>
    <w:rsid w:val="00F40BC7"/>
    <w:rsid w:val="00F40C36"/>
    <w:rsid w:val="00F40E22"/>
    <w:rsid w:val="00F40E3D"/>
    <w:rsid w:val="00F40E59"/>
    <w:rsid w:val="00F40E5C"/>
    <w:rsid w:val="00F40EF5"/>
    <w:rsid w:val="00F40F66"/>
    <w:rsid w:val="00F40F8E"/>
    <w:rsid w:val="00F4102F"/>
    <w:rsid w:val="00F4111F"/>
    <w:rsid w:val="00F411C7"/>
    <w:rsid w:val="00F411CC"/>
    <w:rsid w:val="00F412B2"/>
    <w:rsid w:val="00F412C3"/>
    <w:rsid w:val="00F413A4"/>
    <w:rsid w:val="00F41491"/>
    <w:rsid w:val="00F414DE"/>
    <w:rsid w:val="00F41650"/>
    <w:rsid w:val="00F41655"/>
    <w:rsid w:val="00F4194C"/>
    <w:rsid w:val="00F41989"/>
    <w:rsid w:val="00F41ACC"/>
    <w:rsid w:val="00F41B76"/>
    <w:rsid w:val="00F41BE3"/>
    <w:rsid w:val="00F41D15"/>
    <w:rsid w:val="00F41DD4"/>
    <w:rsid w:val="00F41DD8"/>
    <w:rsid w:val="00F41EA2"/>
    <w:rsid w:val="00F41F22"/>
    <w:rsid w:val="00F42050"/>
    <w:rsid w:val="00F42169"/>
    <w:rsid w:val="00F4220C"/>
    <w:rsid w:val="00F42324"/>
    <w:rsid w:val="00F42496"/>
    <w:rsid w:val="00F4253E"/>
    <w:rsid w:val="00F42581"/>
    <w:rsid w:val="00F42744"/>
    <w:rsid w:val="00F4275A"/>
    <w:rsid w:val="00F428D2"/>
    <w:rsid w:val="00F42903"/>
    <w:rsid w:val="00F42960"/>
    <w:rsid w:val="00F42963"/>
    <w:rsid w:val="00F42979"/>
    <w:rsid w:val="00F429DF"/>
    <w:rsid w:val="00F429E0"/>
    <w:rsid w:val="00F42B62"/>
    <w:rsid w:val="00F42D0F"/>
    <w:rsid w:val="00F42D96"/>
    <w:rsid w:val="00F42EFF"/>
    <w:rsid w:val="00F42FCE"/>
    <w:rsid w:val="00F43284"/>
    <w:rsid w:val="00F432E5"/>
    <w:rsid w:val="00F434CC"/>
    <w:rsid w:val="00F43523"/>
    <w:rsid w:val="00F435F4"/>
    <w:rsid w:val="00F43603"/>
    <w:rsid w:val="00F437FB"/>
    <w:rsid w:val="00F43AB0"/>
    <w:rsid w:val="00F43BBF"/>
    <w:rsid w:val="00F43D09"/>
    <w:rsid w:val="00F43E9E"/>
    <w:rsid w:val="00F4409E"/>
    <w:rsid w:val="00F4413D"/>
    <w:rsid w:val="00F442C9"/>
    <w:rsid w:val="00F4442A"/>
    <w:rsid w:val="00F444A8"/>
    <w:rsid w:val="00F445F5"/>
    <w:rsid w:val="00F44795"/>
    <w:rsid w:val="00F448E7"/>
    <w:rsid w:val="00F4493D"/>
    <w:rsid w:val="00F4497C"/>
    <w:rsid w:val="00F44B0A"/>
    <w:rsid w:val="00F44C72"/>
    <w:rsid w:val="00F44E52"/>
    <w:rsid w:val="00F44F76"/>
    <w:rsid w:val="00F45016"/>
    <w:rsid w:val="00F450BB"/>
    <w:rsid w:val="00F450D4"/>
    <w:rsid w:val="00F45136"/>
    <w:rsid w:val="00F452D7"/>
    <w:rsid w:val="00F4535C"/>
    <w:rsid w:val="00F453DE"/>
    <w:rsid w:val="00F45433"/>
    <w:rsid w:val="00F45525"/>
    <w:rsid w:val="00F45581"/>
    <w:rsid w:val="00F456B2"/>
    <w:rsid w:val="00F457EA"/>
    <w:rsid w:val="00F458DB"/>
    <w:rsid w:val="00F4591E"/>
    <w:rsid w:val="00F45936"/>
    <w:rsid w:val="00F4598A"/>
    <w:rsid w:val="00F45BE5"/>
    <w:rsid w:val="00F45DC1"/>
    <w:rsid w:val="00F45E0C"/>
    <w:rsid w:val="00F45E84"/>
    <w:rsid w:val="00F45E90"/>
    <w:rsid w:val="00F45EFE"/>
    <w:rsid w:val="00F460B9"/>
    <w:rsid w:val="00F46160"/>
    <w:rsid w:val="00F4619B"/>
    <w:rsid w:val="00F461A5"/>
    <w:rsid w:val="00F4624B"/>
    <w:rsid w:val="00F4625E"/>
    <w:rsid w:val="00F4659D"/>
    <w:rsid w:val="00F466FE"/>
    <w:rsid w:val="00F4673B"/>
    <w:rsid w:val="00F4673F"/>
    <w:rsid w:val="00F46902"/>
    <w:rsid w:val="00F46919"/>
    <w:rsid w:val="00F46A12"/>
    <w:rsid w:val="00F46A6F"/>
    <w:rsid w:val="00F46A8F"/>
    <w:rsid w:val="00F46AAB"/>
    <w:rsid w:val="00F46AC6"/>
    <w:rsid w:val="00F46C49"/>
    <w:rsid w:val="00F46CC8"/>
    <w:rsid w:val="00F46D9A"/>
    <w:rsid w:val="00F46E41"/>
    <w:rsid w:val="00F46E81"/>
    <w:rsid w:val="00F4703D"/>
    <w:rsid w:val="00F47053"/>
    <w:rsid w:val="00F471CC"/>
    <w:rsid w:val="00F4727C"/>
    <w:rsid w:val="00F4731B"/>
    <w:rsid w:val="00F473DC"/>
    <w:rsid w:val="00F4741D"/>
    <w:rsid w:val="00F476E6"/>
    <w:rsid w:val="00F47707"/>
    <w:rsid w:val="00F477DC"/>
    <w:rsid w:val="00F479D7"/>
    <w:rsid w:val="00F47B01"/>
    <w:rsid w:val="00F47B31"/>
    <w:rsid w:val="00F47BA2"/>
    <w:rsid w:val="00F47D23"/>
    <w:rsid w:val="00F47D51"/>
    <w:rsid w:val="00F47D83"/>
    <w:rsid w:val="00F47DA2"/>
    <w:rsid w:val="00F47E50"/>
    <w:rsid w:val="00F5003B"/>
    <w:rsid w:val="00F50146"/>
    <w:rsid w:val="00F501BC"/>
    <w:rsid w:val="00F50301"/>
    <w:rsid w:val="00F5033F"/>
    <w:rsid w:val="00F504FA"/>
    <w:rsid w:val="00F5058B"/>
    <w:rsid w:val="00F505F5"/>
    <w:rsid w:val="00F50638"/>
    <w:rsid w:val="00F506E1"/>
    <w:rsid w:val="00F507CD"/>
    <w:rsid w:val="00F50887"/>
    <w:rsid w:val="00F508BF"/>
    <w:rsid w:val="00F5094E"/>
    <w:rsid w:val="00F50A2E"/>
    <w:rsid w:val="00F50B1B"/>
    <w:rsid w:val="00F50B35"/>
    <w:rsid w:val="00F50CA1"/>
    <w:rsid w:val="00F50F03"/>
    <w:rsid w:val="00F51033"/>
    <w:rsid w:val="00F510CF"/>
    <w:rsid w:val="00F51105"/>
    <w:rsid w:val="00F51196"/>
    <w:rsid w:val="00F513D9"/>
    <w:rsid w:val="00F5167C"/>
    <w:rsid w:val="00F51688"/>
    <w:rsid w:val="00F516BB"/>
    <w:rsid w:val="00F51801"/>
    <w:rsid w:val="00F51814"/>
    <w:rsid w:val="00F5182D"/>
    <w:rsid w:val="00F5183C"/>
    <w:rsid w:val="00F51843"/>
    <w:rsid w:val="00F5189C"/>
    <w:rsid w:val="00F51944"/>
    <w:rsid w:val="00F51964"/>
    <w:rsid w:val="00F5199D"/>
    <w:rsid w:val="00F519FC"/>
    <w:rsid w:val="00F51A52"/>
    <w:rsid w:val="00F51B93"/>
    <w:rsid w:val="00F51D53"/>
    <w:rsid w:val="00F51E64"/>
    <w:rsid w:val="00F51FB4"/>
    <w:rsid w:val="00F52032"/>
    <w:rsid w:val="00F52042"/>
    <w:rsid w:val="00F52065"/>
    <w:rsid w:val="00F520B7"/>
    <w:rsid w:val="00F52120"/>
    <w:rsid w:val="00F5224C"/>
    <w:rsid w:val="00F522BD"/>
    <w:rsid w:val="00F523BF"/>
    <w:rsid w:val="00F5268A"/>
    <w:rsid w:val="00F52698"/>
    <w:rsid w:val="00F526B6"/>
    <w:rsid w:val="00F52762"/>
    <w:rsid w:val="00F528BE"/>
    <w:rsid w:val="00F5290B"/>
    <w:rsid w:val="00F52A1C"/>
    <w:rsid w:val="00F52A60"/>
    <w:rsid w:val="00F52B43"/>
    <w:rsid w:val="00F52C59"/>
    <w:rsid w:val="00F52D59"/>
    <w:rsid w:val="00F52DF3"/>
    <w:rsid w:val="00F52DFC"/>
    <w:rsid w:val="00F52E19"/>
    <w:rsid w:val="00F52ED3"/>
    <w:rsid w:val="00F53045"/>
    <w:rsid w:val="00F53096"/>
    <w:rsid w:val="00F530DD"/>
    <w:rsid w:val="00F532DF"/>
    <w:rsid w:val="00F53311"/>
    <w:rsid w:val="00F5335F"/>
    <w:rsid w:val="00F534C9"/>
    <w:rsid w:val="00F5350D"/>
    <w:rsid w:val="00F53543"/>
    <w:rsid w:val="00F536F7"/>
    <w:rsid w:val="00F53A12"/>
    <w:rsid w:val="00F53A7B"/>
    <w:rsid w:val="00F53A95"/>
    <w:rsid w:val="00F53BD5"/>
    <w:rsid w:val="00F53C20"/>
    <w:rsid w:val="00F53E33"/>
    <w:rsid w:val="00F53F93"/>
    <w:rsid w:val="00F540D7"/>
    <w:rsid w:val="00F540F3"/>
    <w:rsid w:val="00F54131"/>
    <w:rsid w:val="00F5415A"/>
    <w:rsid w:val="00F54271"/>
    <w:rsid w:val="00F54272"/>
    <w:rsid w:val="00F5427C"/>
    <w:rsid w:val="00F54285"/>
    <w:rsid w:val="00F543FA"/>
    <w:rsid w:val="00F54493"/>
    <w:rsid w:val="00F544E3"/>
    <w:rsid w:val="00F546AA"/>
    <w:rsid w:val="00F5477B"/>
    <w:rsid w:val="00F54A62"/>
    <w:rsid w:val="00F54A9E"/>
    <w:rsid w:val="00F54B1C"/>
    <w:rsid w:val="00F54C9D"/>
    <w:rsid w:val="00F54D7F"/>
    <w:rsid w:val="00F54DE5"/>
    <w:rsid w:val="00F54DFD"/>
    <w:rsid w:val="00F54E3E"/>
    <w:rsid w:val="00F54FB3"/>
    <w:rsid w:val="00F550BB"/>
    <w:rsid w:val="00F551DB"/>
    <w:rsid w:val="00F55208"/>
    <w:rsid w:val="00F55289"/>
    <w:rsid w:val="00F55353"/>
    <w:rsid w:val="00F5538E"/>
    <w:rsid w:val="00F554C4"/>
    <w:rsid w:val="00F5550F"/>
    <w:rsid w:val="00F555FC"/>
    <w:rsid w:val="00F556D1"/>
    <w:rsid w:val="00F559C1"/>
    <w:rsid w:val="00F55A7D"/>
    <w:rsid w:val="00F55B10"/>
    <w:rsid w:val="00F55B83"/>
    <w:rsid w:val="00F55B85"/>
    <w:rsid w:val="00F55BF1"/>
    <w:rsid w:val="00F55E3B"/>
    <w:rsid w:val="00F55E9D"/>
    <w:rsid w:val="00F55EE5"/>
    <w:rsid w:val="00F55FF5"/>
    <w:rsid w:val="00F56081"/>
    <w:rsid w:val="00F56203"/>
    <w:rsid w:val="00F56218"/>
    <w:rsid w:val="00F56356"/>
    <w:rsid w:val="00F56366"/>
    <w:rsid w:val="00F567F7"/>
    <w:rsid w:val="00F56821"/>
    <w:rsid w:val="00F56838"/>
    <w:rsid w:val="00F56918"/>
    <w:rsid w:val="00F569C0"/>
    <w:rsid w:val="00F56BF5"/>
    <w:rsid w:val="00F56BFA"/>
    <w:rsid w:val="00F56C50"/>
    <w:rsid w:val="00F56CD5"/>
    <w:rsid w:val="00F56DA0"/>
    <w:rsid w:val="00F56DA7"/>
    <w:rsid w:val="00F56DB9"/>
    <w:rsid w:val="00F56E65"/>
    <w:rsid w:val="00F56E7B"/>
    <w:rsid w:val="00F56E9F"/>
    <w:rsid w:val="00F56ED9"/>
    <w:rsid w:val="00F56F9E"/>
    <w:rsid w:val="00F5702E"/>
    <w:rsid w:val="00F570A5"/>
    <w:rsid w:val="00F57242"/>
    <w:rsid w:val="00F57299"/>
    <w:rsid w:val="00F57365"/>
    <w:rsid w:val="00F57410"/>
    <w:rsid w:val="00F574E8"/>
    <w:rsid w:val="00F57713"/>
    <w:rsid w:val="00F577C0"/>
    <w:rsid w:val="00F57A62"/>
    <w:rsid w:val="00F57A98"/>
    <w:rsid w:val="00F57ACF"/>
    <w:rsid w:val="00F57AEB"/>
    <w:rsid w:val="00F57D41"/>
    <w:rsid w:val="00F57DF5"/>
    <w:rsid w:val="00F57E90"/>
    <w:rsid w:val="00F5B3FE"/>
    <w:rsid w:val="00F60110"/>
    <w:rsid w:val="00F60132"/>
    <w:rsid w:val="00F60181"/>
    <w:rsid w:val="00F60247"/>
    <w:rsid w:val="00F6034F"/>
    <w:rsid w:val="00F60464"/>
    <w:rsid w:val="00F6061E"/>
    <w:rsid w:val="00F6063D"/>
    <w:rsid w:val="00F60645"/>
    <w:rsid w:val="00F606D4"/>
    <w:rsid w:val="00F60710"/>
    <w:rsid w:val="00F6071D"/>
    <w:rsid w:val="00F607C1"/>
    <w:rsid w:val="00F60893"/>
    <w:rsid w:val="00F60ABE"/>
    <w:rsid w:val="00F60C5D"/>
    <w:rsid w:val="00F60CF3"/>
    <w:rsid w:val="00F60D0B"/>
    <w:rsid w:val="00F60D44"/>
    <w:rsid w:val="00F60D7C"/>
    <w:rsid w:val="00F60F84"/>
    <w:rsid w:val="00F61093"/>
    <w:rsid w:val="00F610FF"/>
    <w:rsid w:val="00F61598"/>
    <w:rsid w:val="00F61680"/>
    <w:rsid w:val="00F6173F"/>
    <w:rsid w:val="00F61747"/>
    <w:rsid w:val="00F61A06"/>
    <w:rsid w:val="00F61A08"/>
    <w:rsid w:val="00F61A1E"/>
    <w:rsid w:val="00F61A4C"/>
    <w:rsid w:val="00F61CAF"/>
    <w:rsid w:val="00F61D2F"/>
    <w:rsid w:val="00F61D5F"/>
    <w:rsid w:val="00F61E02"/>
    <w:rsid w:val="00F61E04"/>
    <w:rsid w:val="00F61FE7"/>
    <w:rsid w:val="00F61FFD"/>
    <w:rsid w:val="00F62045"/>
    <w:rsid w:val="00F6206C"/>
    <w:rsid w:val="00F6217D"/>
    <w:rsid w:val="00F6234B"/>
    <w:rsid w:val="00F6239D"/>
    <w:rsid w:val="00F623DB"/>
    <w:rsid w:val="00F624A3"/>
    <w:rsid w:val="00F62529"/>
    <w:rsid w:val="00F62588"/>
    <w:rsid w:val="00F625A7"/>
    <w:rsid w:val="00F62766"/>
    <w:rsid w:val="00F6285D"/>
    <w:rsid w:val="00F628A7"/>
    <w:rsid w:val="00F629A0"/>
    <w:rsid w:val="00F629BB"/>
    <w:rsid w:val="00F62B15"/>
    <w:rsid w:val="00F62BFC"/>
    <w:rsid w:val="00F62D2C"/>
    <w:rsid w:val="00F62DF5"/>
    <w:rsid w:val="00F62F87"/>
    <w:rsid w:val="00F62F8D"/>
    <w:rsid w:val="00F62F92"/>
    <w:rsid w:val="00F62FE4"/>
    <w:rsid w:val="00F63110"/>
    <w:rsid w:val="00F63153"/>
    <w:rsid w:val="00F63298"/>
    <w:rsid w:val="00F632F9"/>
    <w:rsid w:val="00F6345A"/>
    <w:rsid w:val="00F634BC"/>
    <w:rsid w:val="00F63628"/>
    <w:rsid w:val="00F637A9"/>
    <w:rsid w:val="00F6384E"/>
    <w:rsid w:val="00F63946"/>
    <w:rsid w:val="00F639B5"/>
    <w:rsid w:val="00F63AA6"/>
    <w:rsid w:val="00F63B3F"/>
    <w:rsid w:val="00F63D5C"/>
    <w:rsid w:val="00F63E8B"/>
    <w:rsid w:val="00F63EC4"/>
    <w:rsid w:val="00F64125"/>
    <w:rsid w:val="00F64240"/>
    <w:rsid w:val="00F642D8"/>
    <w:rsid w:val="00F642EA"/>
    <w:rsid w:val="00F642FD"/>
    <w:rsid w:val="00F64357"/>
    <w:rsid w:val="00F643F9"/>
    <w:rsid w:val="00F64430"/>
    <w:rsid w:val="00F64434"/>
    <w:rsid w:val="00F64454"/>
    <w:rsid w:val="00F644E1"/>
    <w:rsid w:val="00F645A2"/>
    <w:rsid w:val="00F6462D"/>
    <w:rsid w:val="00F646F5"/>
    <w:rsid w:val="00F647B9"/>
    <w:rsid w:val="00F64949"/>
    <w:rsid w:val="00F64977"/>
    <w:rsid w:val="00F649B8"/>
    <w:rsid w:val="00F649D4"/>
    <w:rsid w:val="00F64A64"/>
    <w:rsid w:val="00F64B64"/>
    <w:rsid w:val="00F64D23"/>
    <w:rsid w:val="00F64DE3"/>
    <w:rsid w:val="00F64E1D"/>
    <w:rsid w:val="00F64ECE"/>
    <w:rsid w:val="00F64EFC"/>
    <w:rsid w:val="00F64F1C"/>
    <w:rsid w:val="00F64FDD"/>
    <w:rsid w:val="00F6508F"/>
    <w:rsid w:val="00F6516E"/>
    <w:rsid w:val="00F651DE"/>
    <w:rsid w:val="00F6523F"/>
    <w:rsid w:val="00F653C7"/>
    <w:rsid w:val="00F65409"/>
    <w:rsid w:val="00F6543A"/>
    <w:rsid w:val="00F6558C"/>
    <w:rsid w:val="00F656F7"/>
    <w:rsid w:val="00F65728"/>
    <w:rsid w:val="00F657C1"/>
    <w:rsid w:val="00F658C0"/>
    <w:rsid w:val="00F65990"/>
    <w:rsid w:val="00F65A15"/>
    <w:rsid w:val="00F65A27"/>
    <w:rsid w:val="00F65BF1"/>
    <w:rsid w:val="00F65BF5"/>
    <w:rsid w:val="00F65D0B"/>
    <w:rsid w:val="00F65E21"/>
    <w:rsid w:val="00F65E23"/>
    <w:rsid w:val="00F65F0B"/>
    <w:rsid w:val="00F65F5F"/>
    <w:rsid w:val="00F65F67"/>
    <w:rsid w:val="00F65F73"/>
    <w:rsid w:val="00F66020"/>
    <w:rsid w:val="00F6602B"/>
    <w:rsid w:val="00F660EB"/>
    <w:rsid w:val="00F66104"/>
    <w:rsid w:val="00F661CC"/>
    <w:rsid w:val="00F662D4"/>
    <w:rsid w:val="00F66339"/>
    <w:rsid w:val="00F66360"/>
    <w:rsid w:val="00F663CF"/>
    <w:rsid w:val="00F663D5"/>
    <w:rsid w:val="00F66422"/>
    <w:rsid w:val="00F66640"/>
    <w:rsid w:val="00F66669"/>
    <w:rsid w:val="00F66692"/>
    <w:rsid w:val="00F668A3"/>
    <w:rsid w:val="00F668C2"/>
    <w:rsid w:val="00F6690B"/>
    <w:rsid w:val="00F66940"/>
    <w:rsid w:val="00F66991"/>
    <w:rsid w:val="00F669C4"/>
    <w:rsid w:val="00F66A9C"/>
    <w:rsid w:val="00F66B7C"/>
    <w:rsid w:val="00F66BC2"/>
    <w:rsid w:val="00F66CA9"/>
    <w:rsid w:val="00F66D47"/>
    <w:rsid w:val="00F66FAE"/>
    <w:rsid w:val="00F67024"/>
    <w:rsid w:val="00F67028"/>
    <w:rsid w:val="00F67033"/>
    <w:rsid w:val="00F67075"/>
    <w:rsid w:val="00F67214"/>
    <w:rsid w:val="00F6731E"/>
    <w:rsid w:val="00F6733E"/>
    <w:rsid w:val="00F67419"/>
    <w:rsid w:val="00F674F0"/>
    <w:rsid w:val="00F67A89"/>
    <w:rsid w:val="00F67BC1"/>
    <w:rsid w:val="00F67D06"/>
    <w:rsid w:val="00F67D62"/>
    <w:rsid w:val="00F67DA2"/>
    <w:rsid w:val="00F67EB1"/>
    <w:rsid w:val="00F67EBA"/>
    <w:rsid w:val="00F67FFB"/>
    <w:rsid w:val="00F6C673"/>
    <w:rsid w:val="00F700F3"/>
    <w:rsid w:val="00F701C2"/>
    <w:rsid w:val="00F7027D"/>
    <w:rsid w:val="00F702AC"/>
    <w:rsid w:val="00F7032E"/>
    <w:rsid w:val="00F7045A"/>
    <w:rsid w:val="00F704A2"/>
    <w:rsid w:val="00F7050A"/>
    <w:rsid w:val="00F705AA"/>
    <w:rsid w:val="00F70670"/>
    <w:rsid w:val="00F706A6"/>
    <w:rsid w:val="00F70857"/>
    <w:rsid w:val="00F7096B"/>
    <w:rsid w:val="00F70B46"/>
    <w:rsid w:val="00F70B6E"/>
    <w:rsid w:val="00F70B7A"/>
    <w:rsid w:val="00F70C4C"/>
    <w:rsid w:val="00F70D01"/>
    <w:rsid w:val="00F70EE9"/>
    <w:rsid w:val="00F70EEE"/>
    <w:rsid w:val="00F7103F"/>
    <w:rsid w:val="00F710E3"/>
    <w:rsid w:val="00F710F7"/>
    <w:rsid w:val="00F71313"/>
    <w:rsid w:val="00F713FA"/>
    <w:rsid w:val="00F7145D"/>
    <w:rsid w:val="00F714C5"/>
    <w:rsid w:val="00F715D2"/>
    <w:rsid w:val="00F71655"/>
    <w:rsid w:val="00F716C8"/>
    <w:rsid w:val="00F717DF"/>
    <w:rsid w:val="00F718FF"/>
    <w:rsid w:val="00F71922"/>
    <w:rsid w:val="00F71A7D"/>
    <w:rsid w:val="00F71BB0"/>
    <w:rsid w:val="00F71C04"/>
    <w:rsid w:val="00F71CE4"/>
    <w:rsid w:val="00F71ED2"/>
    <w:rsid w:val="00F72102"/>
    <w:rsid w:val="00F72143"/>
    <w:rsid w:val="00F7224F"/>
    <w:rsid w:val="00F7234B"/>
    <w:rsid w:val="00F7234E"/>
    <w:rsid w:val="00F7235A"/>
    <w:rsid w:val="00F724E5"/>
    <w:rsid w:val="00F72664"/>
    <w:rsid w:val="00F726D8"/>
    <w:rsid w:val="00F7274F"/>
    <w:rsid w:val="00F72822"/>
    <w:rsid w:val="00F72851"/>
    <w:rsid w:val="00F72B81"/>
    <w:rsid w:val="00F72B96"/>
    <w:rsid w:val="00F72BC5"/>
    <w:rsid w:val="00F72C20"/>
    <w:rsid w:val="00F72C50"/>
    <w:rsid w:val="00F72C5E"/>
    <w:rsid w:val="00F72CAB"/>
    <w:rsid w:val="00F72E52"/>
    <w:rsid w:val="00F72E70"/>
    <w:rsid w:val="00F72F93"/>
    <w:rsid w:val="00F72FC1"/>
    <w:rsid w:val="00F730EB"/>
    <w:rsid w:val="00F73109"/>
    <w:rsid w:val="00F7319F"/>
    <w:rsid w:val="00F731FE"/>
    <w:rsid w:val="00F73383"/>
    <w:rsid w:val="00F7345A"/>
    <w:rsid w:val="00F734D8"/>
    <w:rsid w:val="00F7356F"/>
    <w:rsid w:val="00F7357D"/>
    <w:rsid w:val="00F735BA"/>
    <w:rsid w:val="00F73746"/>
    <w:rsid w:val="00F73754"/>
    <w:rsid w:val="00F737CF"/>
    <w:rsid w:val="00F73900"/>
    <w:rsid w:val="00F739B6"/>
    <w:rsid w:val="00F73A69"/>
    <w:rsid w:val="00F73A6E"/>
    <w:rsid w:val="00F73AA0"/>
    <w:rsid w:val="00F73C5B"/>
    <w:rsid w:val="00F73D2A"/>
    <w:rsid w:val="00F73E0C"/>
    <w:rsid w:val="00F7434B"/>
    <w:rsid w:val="00F743ED"/>
    <w:rsid w:val="00F74490"/>
    <w:rsid w:val="00F744E1"/>
    <w:rsid w:val="00F7454A"/>
    <w:rsid w:val="00F74768"/>
    <w:rsid w:val="00F749BF"/>
    <w:rsid w:val="00F749CB"/>
    <w:rsid w:val="00F749CC"/>
    <w:rsid w:val="00F74C11"/>
    <w:rsid w:val="00F74D61"/>
    <w:rsid w:val="00F74DEC"/>
    <w:rsid w:val="00F74DF7"/>
    <w:rsid w:val="00F74E84"/>
    <w:rsid w:val="00F74ED5"/>
    <w:rsid w:val="00F7514B"/>
    <w:rsid w:val="00F75180"/>
    <w:rsid w:val="00F751CE"/>
    <w:rsid w:val="00F75418"/>
    <w:rsid w:val="00F7543B"/>
    <w:rsid w:val="00F7553C"/>
    <w:rsid w:val="00F75756"/>
    <w:rsid w:val="00F75834"/>
    <w:rsid w:val="00F75A23"/>
    <w:rsid w:val="00F75A38"/>
    <w:rsid w:val="00F75B6E"/>
    <w:rsid w:val="00F75E6B"/>
    <w:rsid w:val="00F75EAB"/>
    <w:rsid w:val="00F760B5"/>
    <w:rsid w:val="00F760C3"/>
    <w:rsid w:val="00F760C4"/>
    <w:rsid w:val="00F760E4"/>
    <w:rsid w:val="00F76182"/>
    <w:rsid w:val="00F761CD"/>
    <w:rsid w:val="00F761EA"/>
    <w:rsid w:val="00F76206"/>
    <w:rsid w:val="00F76317"/>
    <w:rsid w:val="00F76481"/>
    <w:rsid w:val="00F764B6"/>
    <w:rsid w:val="00F764FD"/>
    <w:rsid w:val="00F765EB"/>
    <w:rsid w:val="00F765FC"/>
    <w:rsid w:val="00F76611"/>
    <w:rsid w:val="00F766C5"/>
    <w:rsid w:val="00F76765"/>
    <w:rsid w:val="00F767AC"/>
    <w:rsid w:val="00F7686A"/>
    <w:rsid w:val="00F76AE8"/>
    <w:rsid w:val="00F76B48"/>
    <w:rsid w:val="00F76B61"/>
    <w:rsid w:val="00F76BBD"/>
    <w:rsid w:val="00F76BE4"/>
    <w:rsid w:val="00F76DB9"/>
    <w:rsid w:val="00F76ED1"/>
    <w:rsid w:val="00F76EE8"/>
    <w:rsid w:val="00F76FA8"/>
    <w:rsid w:val="00F770D7"/>
    <w:rsid w:val="00F771FC"/>
    <w:rsid w:val="00F773A6"/>
    <w:rsid w:val="00F773BC"/>
    <w:rsid w:val="00F7741C"/>
    <w:rsid w:val="00F7750C"/>
    <w:rsid w:val="00F775DD"/>
    <w:rsid w:val="00F77615"/>
    <w:rsid w:val="00F77655"/>
    <w:rsid w:val="00F77711"/>
    <w:rsid w:val="00F77736"/>
    <w:rsid w:val="00F777B0"/>
    <w:rsid w:val="00F77934"/>
    <w:rsid w:val="00F77A66"/>
    <w:rsid w:val="00F77B89"/>
    <w:rsid w:val="00F77BD5"/>
    <w:rsid w:val="00F77C21"/>
    <w:rsid w:val="00F77D87"/>
    <w:rsid w:val="00F77FC1"/>
    <w:rsid w:val="00F77FED"/>
    <w:rsid w:val="00F80061"/>
    <w:rsid w:val="00F800AD"/>
    <w:rsid w:val="00F801BF"/>
    <w:rsid w:val="00F80233"/>
    <w:rsid w:val="00F802E0"/>
    <w:rsid w:val="00F804BA"/>
    <w:rsid w:val="00F8056D"/>
    <w:rsid w:val="00F8066D"/>
    <w:rsid w:val="00F8078E"/>
    <w:rsid w:val="00F807D8"/>
    <w:rsid w:val="00F8091D"/>
    <w:rsid w:val="00F809E9"/>
    <w:rsid w:val="00F809F2"/>
    <w:rsid w:val="00F80AD3"/>
    <w:rsid w:val="00F80B10"/>
    <w:rsid w:val="00F80EE7"/>
    <w:rsid w:val="00F80F2B"/>
    <w:rsid w:val="00F80F5B"/>
    <w:rsid w:val="00F80F61"/>
    <w:rsid w:val="00F81138"/>
    <w:rsid w:val="00F811B0"/>
    <w:rsid w:val="00F811BF"/>
    <w:rsid w:val="00F81531"/>
    <w:rsid w:val="00F81669"/>
    <w:rsid w:val="00F816CA"/>
    <w:rsid w:val="00F81744"/>
    <w:rsid w:val="00F817A0"/>
    <w:rsid w:val="00F817E2"/>
    <w:rsid w:val="00F81854"/>
    <w:rsid w:val="00F81A1D"/>
    <w:rsid w:val="00F81A58"/>
    <w:rsid w:val="00F81BDF"/>
    <w:rsid w:val="00F81C9A"/>
    <w:rsid w:val="00F81DD7"/>
    <w:rsid w:val="00F81EF2"/>
    <w:rsid w:val="00F81EF5"/>
    <w:rsid w:val="00F81FC3"/>
    <w:rsid w:val="00F82035"/>
    <w:rsid w:val="00F820AA"/>
    <w:rsid w:val="00F821C9"/>
    <w:rsid w:val="00F82285"/>
    <w:rsid w:val="00F8245E"/>
    <w:rsid w:val="00F82497"/>
    <w:rsid w:val="00F824B5"/>
    <w:rsid w:val="00F826C0"/>
    <w:rsid w:val="00F82772"/>
    <w:rsid w:val="00F827E0"/>
    <w:rsid w:val="00F828C1"/>
    <w:rsid w:val="00F828F9"/>
    <w:rsid w:val="00F82A26"/>
    <w:rsid w:val="00F82A42"/>
    <w:rsid w:val="00F82AE2"/>
    <w:rsid w:val="00F82B5D"/>
    <w:rsid w:val="00F82B7D"/>
    <w:rsid w:val="00F82C71"/>
    <w:rsid w:val="00F82E2C"/>
    <w:rsid w:val="00F82E8D"/>
    <w:rsid w:val="00F83077"/>
    <w:rsid w:val="00F8311F"/>
    <w:rsid w:val="00F831EE"/>
    <w:rsid w:val="00F8320B"/>
    <w:rsid w:val="00F8326E"/>
    <w:rsid w:val="00F8328D"/>
    <w:rsid w:val="00F8331C"/>
    <w:rsid w:val="00F833A0"/>
    <w:rsid w:val="00F835BE"/>
    <w:rsid w:val="00F83831"/>
    <w:rsid w:val="00F83876"/>
    <w:rsid w:val="00F839BD"/>
    <w:rsid w:val="00F83A85"/>
    <w:rsid w:val="00F83AD8"/>
    <w:rsid w:val="00F83C3B"/>
    <w:rsid w:val="00F83CEB"/>
    <w:rsid w:val="00F83D32"/>
    <w:rsid w:val="00F83E5F"/>
    <w:rsid w:val="00F84188"/>
    <w:rsid w:val="00F8426E"/>
    <w:rsid w:val="00F8428A"/>
    <w:rsid w:val="00F843CE"/>
    <w:rsid w:val="00F8448C"/>
    <w:rsid w:val="00F844CE"/>
    <w:rsid w:val="00F84590"/>
    <w:rsid w:val="00F845BF"/>
    <w:rsid w:val="00F845EE"/>
    <w:rsid w:val="00F84631"/>
    <w:rsid w:val="00F8476A"/>
    <w:rsid w:val="00F847C0"/>
    <w:rsid w:val="00F847CD"/>
    <w:rsid w:val="00F8495C"/>
    <w:rsid w:val="00F8496A"/>
    <w:rsid w:val="00F8497B"/>
    <w:rsid w:val="00F84A79"/>
    <w:rsid w:val="00F84ADB"/>
    <w:rsid w:val="00F84BBF"/>
    <w:rsid w:val="00F84C1B"/>
    <w:rsid w:val="00F84C5D"/>
    <w:rsid w:val="00F84C6F"/>
    <w:rsid w:val="00F84E67"/>
    <w:rsid w:val="00F84FB0"/>
    <w:rsid w:val="00F85003"/>
    <w:rsid w:val="00F8504C"/>
    <w:rsid w:val="00F85059"/>
    <w:rsid w:val="00F8506A"/>
    <w:rsid w:val="00F853E7"/>
    <w:rsid w:val="00F8544A"/>
    <w:rsid w:val="00F85728"/>
    <w:rsid w:val="00F8579B"/>
    <w:rsid w:val="00F8585E"/>
    <w:rsid w:val="00F85914"/>
    <w:rsid w:val="00F859B3"/>
    <w:rsid w:val="00F85A1B"/>
    <w:rsid w:val="00F85B19"/>
    <w:rsid w:val="00F85C01"/>
    <w:rsid w:val="00F85C98"/>
    <w:rsid w:val="00F85E59"/>
    <w:rsid w:val="00F85F5F"/>
    <w:rsid w:val="00F860C1"/>
    <w:rsid w:val="00F86162"/>
    <w:rsid w:val="00F861CA"/>
    <w:rsid w:val="00F861E2"/>
    <w:rsid w:val="00F8627F"/>
    <w:rsid w:val="00F86383"/>
    <w:rsid w:val="00F86515"/>
    <w:rsid w:val="00F86538"/>
    <w:rsid w:val="00F8659A"/>
    <w:rsid w:val="00F865BE"/>
    <w:rsid w:val="00F865F0"/>
    <w:rsid w:val="00F866D7"/>
    <w:rsid w:val="00F86700"/>
    <w:rsid w:val="00F86706"/>
    <w:rsid w:val="00F86772"/>
    <w:rsid w:val="00F867FA"/>
    <w:rsid w:val="00F86855"/>
    <w:rsid w:val="00F86870"/>
    <w:rsid w:val="00F86881"/>
    <w:rsid w:val="00F8689D"/>
    <w:rsid w:val="00F86A0E"/>
    <w:rsid w:val="00F86B43"/>
    <w:rsid w:val="00F86B9E"/>
    <w:rsid w:val="00F86BF5"/>
    <w:rsid w:val="00F86DD6"/>
    <w:rsid w:val="00F86DE0"/>
    <w:rsid w:val="00F86E90"/>
    <w:rsid w:val="00F86FB0"/>
    <w:rsid w:val="00F86FCC"/>
    <w:rsid w:val="00F86FE4"/>
    <w:rsid w:val="00F86FF8"/>
    <w:rsid w:val="00F87089"/>
    <w:rsid w:val="00F8709F"/>
    <w:rsid w:val="00F8725C"/>
    <w:rsid w:val="00F87341"/>
    <w:rsid w:val="00F87360"/>
    <w:rsid w:val="00F8743B"/>
    <w:rsid w:val="00F874A7"/>
    <w:rsid w:val="00F874ED"/>
    <w:rsid w:val="00F875E5"/>
    <w:rsid w:val="00F87782"/>
    <w:rsid w:val="00F877D9"/>
    <w:rsid w:val="00F8784A"/>
    <w:rsid w:val="00F878D0"/>
    <w:rsid w:val="00F87AAF"/>
    <w:rsid w:val="00F87ADE"/>
    <w:rsid w:val="00F87C16"/>
    <w:rsid w:val="00F87C21"/>
    <w:rsid w:val="00F87C5E"/>
    <w:rsid w:val="00F87CAC"/>
    <w:rsid w:val="00F87D07"/>
    <w:rsid w:val="00F87D43"/>
    <w:rsid w:val="00F87EEA"/>
    <w:rsid w:val="00F87FC4"/>
    <w:rsid w:val="00F90047"/>
    <w:rsid w:val="00F90077"/>
    <w:rsid w:val="00F900E8"/>
    <w:rsid w:val="00F90129"/>
    <w:rsid w:val="00F90181"/>
    <w:rsid w:val="00F9034A"/>
    <w:rsid w:val="00F9035E"/>
    <w:rsid w:val="00F903ED"/>
    <w:rsid w:val="00F90408"/>
    <w:rsid w:val="00F90494"/>
    <w:rsid w:val="00F9063E"/>
    <w:rsid w:val="00F907A0"/>
    <w:rsid w:val="00F907C1"/>
    <w:rsid w:val="00F908B3"/>
    <w:rsid w:val="00F90994"/>
    <w:rsid w:val="00F90C30"/>
    <w:rsid w:val="00F90D02"/>
    <w:rsid w:val="00F90DA8"/>
    <w:rsid w:val="00F90E31"/>
    <w:rsid w:val="00F90F82"/>
    <w:rsid w:val="00F90F9C"/>
    <w:rsid w:val="00F90FDF"/>
    <w:rsid w:val="00F9113A"/>
    <w:rsid w:val="00F91170"/>
    <w:rsid w:val="00F91189"/>
    <w:rsid w:val="00F913EE"/>
    <w:rsid w:val="00F914AE"/>
    <w:rsid w:val="00F9157E"/>
    <w:rsid w:val="00F917B9"/>
    <w:rsid w:val="00F918E9"/>
    <w:rsid w:val="00F91908"/>
    <w:rsid w:val="00F9194F"/>
    <w:rsid w:val="00F91A0E"/>
    <w:rsid w:val="00F91A4E"/>
    <w:rsid w:val="00F91BEA"/>
    <w:rsid w:val="00F91D5C"/>
    <w:rsid w:val="00F91E65"/>
    <w:rsid w:val="00F91E68"/>
    <w:rsid w:val="00F91E86"/>
    <w:rsid w:val="00F91EB8"/>
    <w:rsid w:val="00F91EC9"/>
    <w:rsid w:val="00F91EDB"/>
    <w:rsid w:val="00F91FDC"/>
    <w:rsid w:val="00F91FF2"/>
    <w:rsid w:val="00F920E8"/>
    <w:rsid w:val="00F92134"/>
    <w:rsid w:val="00F92399"/>
    <w:rsid w:val="00F925C1"/>
    <w:rsid w:val="00F92772"/>
    <w:rsid w:val="00F92804"/>
    <w:rsid w:val="00F92977"/>
    <w:rsid w:val="00F92BDD"/>
    <w:rsid w:val="00F92C4B"/>
    <w:rsid w:val="00F92C92"/>
    <w:rsid w:val="00F92DC2"/>
    <w:rsid w:val="00F92E5F"/>
    <w:rsid w:val="00F92EA7"/>
    <w:rsid w:val="00F92EC5"/>
    <w:rsid w:val="00F92F56"/>
    <w:rsid w:val="00F92F5F"/>
    <w:rsid w:val="00F930E3"/>
    <w:rsid w:val="00F9313A"/>
    <w:rsid w:val="00F9316D"/>
    <w:rsid w:val="00F931EE"/>
    <w:rsid w:val="00F93312"/>
    <w:rsid w:val="00F933DA"/>
    <w:rsid w:val="00F933F5"/>
    <w:rsid w:val="00F93559"/>
    <w:rsid w:val="00F93810"/>
    <w:rsid w:val="00F9385B"/>
    <w:rsid w:val="00F938F4"/>
    <w:rsid w:val="00F93B77"/>
    <w:rsid w:val="00F93BDC"/>
    <w:rsid w:val="00F93C08"/>
    <w:rsid w:val="00F93C89"/>
    <w:rsid w:val="00F93D1D"/>
    <w:rsid w:val="00F93EDD"/>
    <w:rsid w:val="00F93F08"/>
    <w:rsid w:val="00F93FF4"/>
    <w:rsid w:val="00F942E3"/>
    <w:rsid w:val="00F942E4"/>
    <w:rsid w:val="00F94399"/>
    <w:rsid w:val="00F94442"/>
    <w:rsid w:val="00F944F3"/>
    <w:rsid w:val="00F94655"/>
    <w:rsid w:val="00F94816"/>
    <w:rsid w:val="00F949D6"/>
    <w:rsid w:val="00F94A14"/>
    <w:rsid w:val="00F94BDA"/>
    <w:rsid w:val="00F94CED"/>
    <w:rsid w:val="00F94D40"/>
    <w:rsid w:val="00F94D5F"/>
    <w:rsid w:val="00F94E6A"/>
    <w:rsid w:val="00F94F3F"/>
    <w:rsid w:val="00F94F8F"/>
    <w:rsid w:val="00F95014"/>
    <w:rsid w:val="00F95090"/>
    <w:rsid w:val="00F950FF"/>
    <w:rsid w:val="00F951AC"/>
    <w:rsid w:val="00F9522C"/>
    <w:rsid w:val="00F95532"/>
    <w:rsid w:val="00F9565D"/>
    <w:rsid w:val="00F956C5"/>
    <w:rsid w:val="00F9570E"/>
    <w:rsid w:val="00F9571F"/>
    <w:rsid w:val="00F957AD"/>
    <w:rsid w:val="00F95830"/>
    <w:rsid w:val="00F958E0"/>
    <w:rsid w:val="00F95B88"/>
    <w:rsid w:val="00F95BC0"/>
    <w:rsid w:val="00F95C7A"/>
    <w:rsid w:val="00F95D47"/>
    <w:rsid w:val="00F95DA5"/>
    <w:rsid w:val="00F95E7A"/>
    <w:rsid w:val="00F95F0F"/>
    <w:rsid w:val="00F95F68"/>
    <w:rsid w:val="00F9614C"/>
    <w:rsid w:val="00F96170"/>
    <w:rsid w:val="00F96258"/>
    <w:rsid w:val="00F963DB"/>
    <w:rsid w:val="00F96438"/>
    <w:rsid w:val="00F96494"/>
    <w:rsid w:val="00F96540"/>
    <w:rsid w:val="00F9665A"/>
    <w:rsid w:val="00F96912"/>
    <w:rsid w:val="00F96A24"/>
    <w:rsid w:val="00F96A2D"/>
    <w:rsid w:val="00F96ACD"/>
    <w:rsid w:val="00F96BDD"/>
    <w:rsid w:val="00F96E04"/>
    <w:rsid w:val="00F96E8E"/>
    <w:rsid w:val="00F97070"/>
    <w:rsid w:val="00F9710C"/>
    <w:rsid w:val="00F973C5"/>
    <w:rsid w:val="00F9746A"/>
    <w:rsid w:val="00F97597"/>
    <w:rsid w:val="00F976C4"/>
    <w:rsid w:val="00F976FC"/>
    <w:rsid w:val="00F97773"/>
    <w:rsid w:val="00F9784B"/>
    <w:rsid w:val="00F978B0"/>
    <w:rsid w:val="00F97949"/>
    <w:rsid w:val="00F979DF"/>
    <w:rsid w:val="00F97BE5"/>
    <w:rsid w:val="00F97C3D"/>
    <w:rsid w:val="00F97D3F"/>
    <w:rsid w:val="00F97F27"/>
    <w:rsid w:val="00F97F38"/>
    <w:rsid w:val="00F97FC8"/>
    <w:rsid w:val="00F97FF4"/>
    <w:rsid w:val="00FA00FF"/>
    <w:rsid w:val="00FA0206"/>
    <w:rsid w:val="00FA0231"/>
    <w:rsid w:val="00FA023E"/>
    <w:rsid w:val="00FA02BB"/>
    <w:rsid w:val="00FA0397"/>
    <w:rsid w:val="00FA04C8"/>
    <w:rsid w:val="00FA054A"/>
    <w:rsid w:val="00FA06F7"/>
    <w:rsid w:val="00FA0824"/>
    <w:rsid w:val="00FA096A"/>
    <w:rsid w:val="00FA0A85"/>
    <w:rsid w:val="00FA0B25"/>
    <w:rsid w:val="00FA0B4C"/>
    <w:rsid w:val="00FA0CA6"/>
    <w:rsid w:val="00FA0DB9"/>
    <w:rsid w:val="00FA0F56"/>
    <w:rsid w:val="00FA10A8"/>
    <w:rsid w:val="00FA10BE"/>
    <w:rsid w:val="00FA1125"/>
    <w:rsid w:val="00FA11B8"/>
    <w:rsid w:val="00FA12F9"/>
    <w:rsid w:val="00FA1355"/>
    <w:rsid w:val="00FA13AB"/>
    <w:rsid w:val="00FA1436"/>
    <w:rsid w:val="00FA1492"/>
    <w:rsid w:val="00FA14CF"/>
    <w:rsid w:val="00FA1564"/>
    <w:rsid w:val="00FA15CA"/>
    <w:rsid w:val="00FA1724"/>
    <w:rsid w:val="00FA180D"/>
    <w:rsid w:val="00FA183C"/>
    <w:rsid w:val="00FA185F"/>
    <w:rsid w:val="00FA1916"/>
    <w:rsid w:val="00FA1954"/>
    <w:rsid w:val="00FA1A9F"/>
    <w:rsid w:val="00FA1B5D"/>
    <w:rsid w:val="00FA1B66"/>
    <w:rsid w:val="00FA1D00"/>
    <w:rsid w:val="00FA1D31"/>
    <w:rsid w:val="00FA1D9A"/>
    <w:rsid w:val="00FA1EDA"/>
    <w:rsid w:val="00FA1F76"/>
    <w:rsid w:val="00FA1F77"/>
    <w:rsid w:val="00FA1FF3"/>
    <w:rsid w:val="00FA20A9"/>
    <w:rsid w:val="00FA21C8"/>
    <w:rsid w:val="00FA2238"/>
    <w:rsid w:val="00FA2262"/>
    <w:rsid w:val="00FA2363"/>
    <w:rsid w:val="00FA2372"/>
    <w:rsid w:val="00FA23A3"/>
    <w:rsid w:val="00FA2554"/>
    <w:rsid w:val="00FA259A"/>
    <w:rsid w:val="00FA259C"/>
    <w:rsid w:val="00FA263B"/>
    <w:rsid w:val="00FA2669"/>
    <w:rsid w:val="00FA2674"/>
    <w:rsid w:val="00FA279B"/>
    <w:rsid w:val="00FA27E0"/>
    <w:rsid w:val="00FA2879"/>
    <w:rsid w:val="00FA291B"/>
    <w:rsid w:val="00FA293E"/>
    <w:rsid w:val="00FA29AA"/>
    <w:rsid w:val="00FA2A84"/>
    <w:rsid w:val="00FA2AB3"/>
    <w:rsid w:val="00FA2BF7"/>
    <w:rsid w:val="00FA2CEE"/>
    <w:rsid w:val="00FA2D78"/>
    <w:rsid w:val="00FA2E41"/>
    <w:rsid w:val="00FA2ECF"/>
    <w:rsid w:val="00FA2ED2"/>
    <w:rsid w:val="00FA2ED3"/>
    <w:rsid w:val="00FA2ED9"/>
    <w:rsid w:val="00FA2F93"/>
    <w:rsid w:val="00FA2FD4"/>
    <w:rsid w:val="00FA3014"/>
    <w:rsid w:val="00FA305D"/>
    <w:rsid w:val="00FA30D2"/>
    <w:rsid w:val="00FA3163"/>
    <w:rsid w:val="00FA318C"/>
    <w:rsid w:val="00FA3434"/>
    <w:rsid w:val="00FA3460"/>
    <w:rsid w:val="00FA34B4"/>
    <w:rsid w:val="00FA35BD"/>
    <w:rsid w:val="00FA36C4"/>
    <w:rsid w:val="00FA3733"/>
    <w:rsid w:val="00FA3797"/>
    <w:rsid w:val="00FA388B"/>
    <w:rsid w:val="00FA390B"/>
    <w:rsid w:val="00FA3934"/>
    <w:rsid w:val="00FA39B4"/>
    <w:rsid w:val="00FA39D9"/>
    <w:rsid w:val="00FA3A82"/>
    <w:rsid w:val="00FA3BBF"/>
    <w:rsid w:val="00FA3BF6"/>
    <w:rsid w:val="00FA3C53"/>
    <w:rsid w:val="00FA3CF2"/>
    <w:rsid w:val="00FA3D40"/>
    <w:rsid w:val="00FA3EC7"/>
    <w:rsid w:val="00FA3ED9"/>
    <w:rsid w:val="00FA3F06"/>
    <w:rsid w:val="00FA4040"/>
    <w:rsid w:val="00FA419E"/>
    <w:rsid w:val="00FA41D3"/>
    <w:rsid w:val="00FA433A"/>
    <w:rsid w:val="00FA4389"/>
    <w:rsid w:val="00FA43CE"/>
    <w:rsid w:val="00FA43DC"/>
    <w:rsid w:val="00FA4512"/>
    <w:rsid w:val="00FA462A"/>
    <w:rsid w:val="00FA46B1"/>
    <w:rsid w:val="00FA46CA"/>
    <w:rsid w:val="00FA4765"/>
    <w:rsid w:val="00FA4785"/>
    <w:rsid w:val="00FA48FD"/>
    <w:rsid w:val="00FA49B9"/>
    <w:rsid w:val="00FA4A1C"/>
    <w:rsid w:val="00FA4A23"/>
    <w:rsid w:val="00FA4A9F"/>
    <w:rsid w:val="00FA4BAF"/>
    <w:rsid w:val="00FA4C2F"/>
    <w:rsid w:val="00FA4D2E"/>
    <w:rsid w:val="00FA4DD4"/>
    <w:rsid w:val="00FA4EC6"/>
    <w:rsid w:val="00FA4F51"/>
    <w:rsid w:val="00FA4F92"/>
    <w:rsid w:val="00FA50E0"/>
    <w:rsid w:val="00FA51C7"/>
    <w:rsid w:val="00FA521B"/>
    <w:rsid w:val="00FA5231"/>
    <w:rsid w:val="00FA5374"/>
    <w:rsid w:val="00FA5383"/>
    <w:rsid w:val="00FA539F"/>
    <w:rsid w:val="00FA5429"/>
    <w:rsid w:val="00FA559C"/>
    <w:rsid w:val="00FA5801"/>
    <w:rsid w:val="00FA5989"/>
    <w:rsid w:val="00FA5A2E"/>
    <w:rsid w:val="00FA5B22"/>
    <w:rsid w:val="00FA5BB7"/>
    <w:rsid w:val="00FA5BCF"/>
    <w:rsid w:val="00FA5BE6"/>
    <w:rsid w:val="00FA5CCE"/>
    <w:rsid w:val="00FA5D24"/>
    <w:rsid w:val="00FA5D54"/>
    <w:rsid w:val="00FA5DDE"/>
    <w:rsid w:val="00FA5E59"/>
    <w:rsid w:val="00FA5E73"/>
    <w:rsid w:val="00FA60D3"/>
    <w:rsid w:val="00FA613B"/>
    <w:rsid w:val="00FA615F"/>
    <w:rsid w:val="00FA620F"/>
    <w:rsid w:val="00FA63B3"/>
    <w:rsid w:val="00FA6464"/>
    <w:rsid w:val="00FA6578"/>
    <w:rsid w:val="00FA65AF"/>
    <w:rsid w:val="00FA6683"/>
    <w:rsid w:val="00FA66CD"/>
    <w:rsid w:val="00FA66F2"/>
    <w:rsid w:val="00FA684C"/>
    <w:rsid w:val="00FA69C9"/>
    <w:rsid w:val="00FA6A0B"/>
    <w:rsid w:val="00FA6A49"/>
    <w:rsid w:val="00FA6A68"/>
    <w:rsid w:val="00FA6AE5"/>
    <w:rsid w:val="00FA6E2F"/>
    <w:rsid w:val="00FA713B"/>
    <w:rsid w:val="00FA71BB"/>
    <w:rsid w:val="00FA74F4"/>
    <w:rsid w:val="00FA76A8"/>
    <w:rsid w:val="00FA76C7"/>
    <w:rsid w:val="00FA76D0"/>
    <w:rsid w:val="00FA7906"/>
    <w:rsid w:val="00FA79B7"/>
    <w:rsid w:val="00FA7A2C"/>
    <w:rsid w:val="00FA7ABB"/>
    <w:rsid w:val="00FA7D1A"/>
    <w:rsid w:val="00FA7E1D"/>
    <w:rsid w:val="00FA7EEA"/>
    <w:rsid w:val="00FB0356"/>
    <w:rsid w:val="00FB05A5"/>
    <w:rsid w:val="00FB066E"/>
    <w:rsid w:val="00FB0725"/>
    <w:rsid w:val="00FB0785"/>
    <w:rsid w:val="00FB07FD"/>
    <w:rsid w:val="00FB09DD"/>
    <w:rsid w:val="00FB0A26"/>
    <w:rsid w:val="00FB0A3F"/>
    <w:rsid w:val="00FB0AB5"/>
    <w:rsid w:val="00FB0BA2"/>
    <w:rsid w:val="00FB0C09"/>
    <w:rsid w:val="00FB0C70"/>
    <w:rsid w:val="00FB0CA1"/>
    <w:rsid w:val="00FB0CCA"/>
    <w:rsid w:val="00FB0D96"/>
    <w:rsid w:val="00FB0DD8"/>
    <w:rsid w:val="00FB0EA6"/>
    <w:rsid w:val="00FB0F5B"/>
    <w:rsid w:val="00FB0F92"/>
    <w:rsid w:val="00FB0F96"/>
    <w:rsid w:val="00FB0F97"/>
    <w:rsid w:val="00FB0FE6"/>
    <w:rsid w:val="00FB1104"/>
    <w:rsid w:val="00FB12E3"/>
    <w:rsid w:val="00FB133B"/>
    <w:rsid w:val="00FB13EE"/>
    <w:rsid w:val="00FB14BE"/>
    <w:rsid w:val="00FB14E2"/>
    <w:rsid w:val="00FB14EC"/>
    <w:rsid w:val="00FB174C"/>
    <w:rsid w:val="00FB17C2"/>
    <w:rsid w:val="00FB17D7"/>
    <w:rsid w:val="00FB1B5F"/>
    <w:rsid w:val="00FB1C37"/>
    <w:rsid w:val="00FB1CAC"/>
    <w:rsid w:val="00FB1D2C"/>
    <w:rsid w:val="00FB1D40"/>
    <w:rsid w:val="00FB1EC5"/>
    <w:rsid w:val="00FB1FAE"/>
    <w:rsid w:val="00FB2038"/>
    <w:rsid w:val="00FB210D"/>
    <w:rsid w:val="00FB2245"/>
    <w:rsid w:val="00FB2256"/>
    <w:rsid w:val="00FB2447"/>
    <w:rsid w:val="00FB2459"/>
    <w:rsid w:val="00FB267E"/>
    <w:rsid w:val="00FB2775"/>
    <w:rsid w:val="00FB2807"/>
    <w:rsid w:val="00FB2891"/>
    <w:rsid w:val="00FB28CE"/>
    <w:rsid w:val="00FB2C74"/>
    <w:rsid w:val="00FB2D1C"/>
    <w:rsid w:val="00FB2D74"/>
    <w:rsid w:val="00FB2F5E"/>
    <w:rsid w:val="00FB30D8"/>
    <w:rsid w:val="00FB3148"/>
    <w:rsid w:val="00FB3196"/>
    <w:rsid w:val="00FB328F"/>
    <w:rsid w:val="00FB32E5"/>
    <w:rsid w:val="00FB334F"/>
    <w:rsid w:val="00FB34B4"/>
    <w:rsid w:val="00FB3525"/>
    <w:rsid w:val="00FB35EE"/>
    <w:rsid w:val="00FB3644"/>
    <w:rsid w:val="00FB3664"/>
    <w:rsid w:val="00FB3689"/>
    <w:rsid w:val="00FB37A5"/>
    <w:rsid w:val="00FB37BD"/>
    <w:rsid w:val="00FB3A78"/>
    <w:rsid w:val="00FB3A8F"/>
    <w:rsid w:val="00FB3AA4"/>
    <w:rsid w:val="00FB3AD2"/>
    <w:rsid w:val="00FB3AEB"/>
    <w:rsid w:val="00FB3BF9"/>
    <w:rsid w:val="00FB3C1F"/>
    <w:rsid w:val="00FB3C62"/>
    <w:rsid w:val="00FB3CDC"/>
    <w:rsid w:val="00FB3E35"/>
    <w:rsid w:val="00FB3F01"/>
    <w:rsid w:val="00FB3F68"/>
    <w:rsid w:val="00FB417C"/>
    <w:rsid w:val="00FB419A"/>
    <w:rsid w:val="00FB441B"/>
    <w:rsid w:val="00FB45F5"/>
    <w:rsid w:val="00FB46A8"/>
    <w:rsid w:val="00FB46F2"/>
    <w:rsid w:val="00FB4717"/>
    <w:rsid w:val="00FB491D"/>
    <w:rsid w:val="00FB4927"/>
    <w:rsid w:val="00FB4929"/>
    <w:rsid w:val="00FB4A00"/>
    <w:rsid w:val="00FB4A3F"/>
    <w:rsid w:val="00FB4B1C"/>
    <w:rsid w:val="00FB4D2B"/>
    <w:rsid w:val="00FB4E42"/>
    <w:rsid w:val="00FB4E63"/>
    <w:rsid w:val="00FB4FB7"/>
    <w:rsid w:val="00FB5015"/>
    <w:rsid w:val="00FB5428"/>
    <w:rsid w:val="00FB54FE"/>
    <w:rsid w:val="00FB559D"/>
    <w:rsid w:val="00FB55F4"/>
    <w:rsid w:val="00FB5682"/>
    <w:rsid w:val="00FB56A2"/>
    <w:rsid w:val="00FB58D3"/>
    <w:rsid w:val="00FB590E"/>
    <w:rsid w:val="00FB5ACF"/>
    <w:rsid w:val="00FB5B38"/>
    <w:rsid w:val="00FB5CDC"/>
    <w:rsid w:val="00FB5F30"/>
    <w:rsid w:val="00FB5F73"/>
    <w:rsid w:val="00FB6017"/>
    <w:rsid w:val="00FB6076"/>
    <w:rsid w:val="00FB609B"/>
    <w:rsid w:val="00FB60F6"/>
    <w:rsid w:val="00FB6115"/>
    <w:rsid w:val="00FB62A9"/>
    <w:rsid w:val="00FB62F5"/>
    <w:rsid w:val="00FB6382"/>
    <w:rsid w:val="00FB6694"/>
    <w:rsid w:val="00FB6820"/>
    <w:rsid w:val="00FB68C3"/>
    <w:rsid w:val="00FB69FA"/>
    <w:rsid w:val="00FB6A0C"/>
    <w:rsid w:val="00FB6A54"/>
    <w:rsid w:val="00FB6CD8"/>
    <w:rsid w:val="00FB6CF0"/>
    <w:rsid w:val="00FB6D90"/>
    <w:rsid w:val="00FB6D98"/>
    <w:rsid w:val="00FB6DE6"/>
    <w:rsid w:val="00FB6EA0"/>
    <w:rsid w:val="00FB6F92"/>
    <w:rsid w:val="00FB702B"/>
    <w:rsid w:val="00FB70F4"/>
    <w:rsid w:val="00FB728C"/>
    <w:rsid w:val="00FB7455"/>
    <w:rsid w:val="00FB758C"/>
    <w:rsid w:val="00FB7671"/>
    <w:rsid w:val="00FB776C"/>
    <w:rsid w:val="00FB78E5"/>
    <w:rsid w:val="00FB7995"/>
    <w:rsid w:val="00FB79F2"/>
    <w:rsid w:val="00FB7AE1"/>
    <w:rsid w:val="00FB7AE5"/>
    <w:rsid w:val="00FB7B1D"/>
    <w:rsid w:val="00FB7B6E"/>
    <w:rsid w:val="00FB7BB3"/>
    <w:rsid w:val="00FB7BC5"/>
    <w:rsid w:val="00FB7BDE"/>
    <w:rsid w:val="00FB7CBD"/>
    <w:rsid w:val="00FB7CC4"/>
    <w:rsid w:val="00FB7DAE"/>
    <w:rsid w:val="00FB7DC8"/>
    <w:rsid w:val="00FB7DCA"/>
    <w:rsid w:val="00FC00CD"/>
    <w:rsid w:val="00FC014E"/>
    <w:rsid w:val="00FC0247"/>
    <w:rsid w:val="00FC026E"/>
    <w:rsid w:val="00FC0280"/>
    <w:rsid w:val="00FC02AC"/>
    <w:rsid w:val="00FC0355"/>
    <w:rsid w:val="00FC048A"/>
    <w:rsid w:val="00FC048D"/>
    <w:rsid w:val="00FC0735"/>
    <w:rsid w:val="00FC0927"/>
    <w:rsid w:val="00FC0B38"/>
    <w:rsid w:val="00FC0BC1"/>
    <w:rsid w:val="00FC0BED"/>
    <w:rsid w:val="00FC0FB4"/>
    <w:rsid w:val="00FC1101"/>
    <w:rsid w:val="00FC112A"/>
    <w:rsid w:val="00FC11EE"/>
    <w:rsid w:val="00FC12BC"/>
    <w:rsid w:val="00FC13A8"/>
    <w:rsid w:val="00FC143D"/>
    <w:rsid w:val="00FC158E"/>
    <w:rsid w:val="00FC16C3"/>
    <w:rsid w:val="00FC173F"/>
    <w:rsid w:val="00FC17EE"/>
    <w:rsid w:val="00FC181F"/>
    <w:rsid w:val="00FC18E6"/>
    <w:rsid w:val="00FC1A1D"/>
    <w:rsid w:val="00FC1AA7"/>
    <w:rsid w:val="00FC1B39"/>
    <w:rsid w:val="00FC1B8A"/>
    <w:rsid w:val="00FC1BCA"/>
    <w:rsid w:val="00FC1BD3"/>
    <w:rsid w:val="00FC1C0D"/>
    <w:rsid w:val="00FC1C17"/>
    <w:rsid w:val="00FC1CA6"/>
    <w:rsid w:val="00FC1D4F"/>
    <w:rsid w:val="00FC1DEC"/>
    <w:rsid w:val="00FC1FFA"/>
    <w:rsid w:val="00FC20C1"/>
    <w:rsid w:val="00FC20F8"/>
    <w:rsid w:val="00FC220E"/>
    <w:rsid w:val="00FC224C"/>
    <w:rsid w:val="00FC231D"/>
    <w:rsid w:val="00FC23ED"/>
    <w:rsid w:val="00FC2466"/>
    <w:rsid w:val="00FC24FF"/>
    <w:rsid w:val="00FC250B"/>
    <w:rsid w:val="00FC253C"/>
    <w:rsid w:val="00FC2653"/>
    <w:rsid w:val="00FC26D3"/>
    <w:rsid w:val="00FC26F8"/>
    <w:rsid w:val="00FC27AE"/>
    <w:rsid w:val="00FC285C"/>
    <w:rsid w:val="00FC2922"/>
    <w:rsid w:val="00FC2977"/>
    <w:rsid w:val="00FC2A47"/>
    <w:rsid w:val="00FC2A95"/>
    <w:rsid w:val="00FC2B10"/>
    <w:rsid w:val="00FC2F76"/>
    <w:rsid w:val="00FC2FAA"/>
    <w:rsid w:val="00FC3060"/>
    <w:rsid w:val="00FC30B7"/>
    <w:rsid w:val="00FC30C2"/>
    <w:rsid w:val="00FC3450"/>
    <w:rsid w:val="00FC3475"/>
    <w:rsid w:val="00FC3530"/>
    <w:rsid w:val="00FC3552"/>
    <w:rsid w:val="00FC3570"/>
    <w:rsid w:val="00FC3688"/>
    <w:rsid w:val="00FC36A8"/>
    <w:rsid w:val="00FC3897"/>
    <w:rsid w:val="00FC38B8"/>
    <w:rsid w:val="00FC3914"/>
    <w:rsid w:val="00FC3970"/>
    <w:rsid w:val="00FC3AE0"/>
    <w:rsid w:val="00FC3B04"/>
    <w:rsid w:val="00FC3BA9"/>
    <w:rsid w:val="00FC3C49"/>
    <w:rsid w:val="00FC3ED9"/>
    <w:rsid w:val="00FC4022"/>
    <w:rsid w:val="00FC410A"/>
    <w:rsid w:val="00FC4127"/>
    <w:rsid w:val="00FC4160"/>
    <w:rsid w:val="00FC4286"/>
    <w:rsid w:val="00FC42B8"/>
    <w:rsid w:val="00FC4324"/>
    <w:rsid w:val="00FC438B"/>
    <w:rsid w:val="00FC44A8"/>
    <w:rsid w:val="00FC4590"/>
    <w:rsid w:val="00FC4673"/>
    <w:rsid w:val="00FC476F"/>
    <w:rsid w:val="00FC4951"/>
    <w:rsid w:val="00FC495B"/>
    <w:rsid w:val="00FC49BB"/>
    <w:rsid w:val="00FC49C5"/>
    <w:rsid w:val="00FC4A8A"/>
    <w:rsid w:val="00FC4BB0"/>
    <w:rsid w:val="00FC4C29"/>
    <w:rsid w:val="00FC4CAD"/>
    <w:rsid w:val="00FC4D13"/>
    <w:rsid w:val="00FC4D77"/>
    <w:rsid w:val="00FC4DB1"/>
    <w:rsid w:val="00FC4E54"/>
    <w:rsid w:val="00FC4F89"/>
    <w:rsid w:val="00FC500A"/>
    <w:rsid w:val="00FC505D"/>
    <w:rsid w:val="00FC5124"/>
    <w:rsid w:val="00FC5132"/>
    <w:rsid w:val="00FC5142"/>
    <w:rsid w:val="00FC5181"/>
    <w:rsid w:val="00FC51FD"/>
    <w:rsid w:val="00FC5389"/>
    <w:rsid w:val="00FC53CB"/>
    <w:rsid w:val="00FC551F"/>
    <w:rsid w:val="00FC5630"/>
    <w:rsid w:val="00FC58B7"/>
    <w:rsid w:val="00FC58E7"/>
    <w:rsid w:val="00FC58FD"/>
    <w:rsid w:val="00FC59E1"/>
    <w:rsid w:val="00FC5A46"/>
    <w:rsid w:val="00FC5B15"/>
    <w:rsid w:val="00FC5CD3"/>
    <w:rsid w:val="00FC5D57"/>
    <w:rsid w:val="00FC5DBF"/>
    <w:rsid w:val="00FC5DC0"/>
    <w:rsid w:val="00FC5DD5"/>
    <w:rsid w:val="00FC5E26"/>
    <w:rsid w:val="00FC5E9B"/>
    <w:rsid w:val="00FC5FAA"/>
    <w:rsid w:val="00FC5FCD"/>
    <w:rsid w:val="00FC6007"/>
    <w:rsid w:val="00FC600E"/>
    <w:rsid w:val="00FC6011"/>
    <w:rsid w:val="00FC602C"/>
    <w:rsid w:val="00FC63B3"/>
    <w:rsid w:val="00FC63FA"/>
    <w:rsid w:val="00FC6442"/>
    <w:rsid w:val="00FC6446"/>
    <w:rsid w:val="00FC64E0"/>
    <w:rsid w:val="00FC6512"/>
    <w:rsid w:val="00FC672F"/>
    <w:rsid w:val="00FC676D"/>
    <w:rsid w:val="00FC6788"/>
    <w:rsid w:val="00FC683A"/>
    <w:rsid w:val="00FC6A03"/>
    <w:rsid w:val="00FC6C98"/>
    <w:rsid w:val="00FC6CB4"/>
    <w:rsid w:val="00FC6D18"/>
    <w:rsid w:val="00FC6D90"/>
    <w:rsid w:val="00FC6DC2"/>
    <w:rsid w:val="00FC7002"/>
    <w:rsid w:val="00FC70E6"/>
    <w:rsid w:val="00FC717A"/>
    <w:rsid w:val="00FC71BE"/>
    <w:rsid w:val="00FC7209"/>
    <w:rsid w:val="00FC7274"/>
    <w:rsid w:val="00FC7340"/>
    <w:rsid w:val="00FC73A7"/>
    <w:rsid w:val="00FC7428"/>
    <w:rsid w:val="00FC74C1"/>
    <w:rsid w:val="00FC7535"/>
    <w:rsid w:val="00FC75FC"/>
    <w:rsid w:val="00FC7628"/>
    <w:rsid w:val="00FC7653"/>
    <w:rsid w:val="00FC77E4"/>
    <w:rsid w:val="00FC77F4"/>
    <w:rsid w:val="00FC7944"/>
    <w:rsid w:val="00FC7A4D"/>
    <w:rsid w:val="00FC7B34"/>
    <w:rsid w:val="00FC7C0B"/>
    <w:rsid w:val="00FC7CBA"/>
    <w:rsid w:val="00FC7CDB"/>
    <w:rsid w:val="00FC7D56"/>
    <w:rsid w:val="00FC7D77"/>
    <w:rsid w:val="00FC7F97"/>
    <w:rsid w:val="00FC7F9B"/>
    <w:rsid w:val="00FCE347"/>
    <w:rsid w:val="00FD00AC"/>
    <w:rsid w:val="00FD0102"/>
    <w:rsid w:val="00FD015D"/>
    <w:rsid w:val="00FD01C6"/>
    <w:rsid w:val="00FD022D"/>
    <w:rsid w:val="00FD029B"/>
    <w:rsid w:val="00FD037E"/>
    <w:rsid w:val="00FD0422"/>
    <w:rsid w:val="00FD049A"/>
    <w:rsid w:val="00FD055E"/>
    <w:rsid w:val="00FD0758"/>
    <w:rsid w:val="00FD07C6"/>
    <w:rsid w:val="00FD07D4"/>
    <w:rsid w:val="00FD0826"/>
    <w:rsid w:val="00FD096E"/>
    <w:rsid w:val="00FD0A04"/>
    <w:rsid w:val="00FD0A5A"/>
    <w:rsid w:val="00FD0B48"/>
    <w:rsid w:val="00FD0B71"/>
    <w:rsid w:val="00FD0BAF"/>
    <w:rsid w:val="00FD0D0B"/>
    <w:rsid w:val="00FD0D38"/>
    <w:rsid w:val="00FD0EF7"/>
    <w:rsid w:val="00FD0F61"/>
    <w:rsid w:val="00FD0F68"/>
    <w:rsid w:val="00FD0F77"/>
    <w:rsid w:val="00FD101C"/>
    <w:rsid w:val="00FD102B"/>
    <w:rsid w:val="00FD11B8"/>
    <w:rsid w:val="00FD12FC"/>
    <w:rsid w:val="00FD139B"/>
    <w:rsid w:val="00FD1433"/>
    <w:rsid w:val="00FD1484"/>
    <w:rsid w:val="00FD1541"/>
    <w:rsid w:val="00FD15D7"/>
    <w:rsid w:val="00FD177C"/>
    <w:rsid w:val="00FD1839"/>
    <w:rsid w:val="00FD183C"/>
    <w:rsid w:val="00FD18CE"/>
    <w:rsid w:val="00FD1A86"/>
    <w:rsid w:val="00FD1B3B"/>
    <w:rsid w:val="00FD1C7D"/>
    <w:rsid w:val="00FD1DC3"/>
    <w:rsid w:val="00FD1EF6"/>
    <w:rsid w:val="00FD1F77"/>
    <w:rsid w:val="00FD2031"/>
    <w:rsid w:val="00FD203B"/>
    <w:rsid w:val="00FD2098"/>
    <w:rsid w:val="00FD2161"/>
    <w:rsid w:val="00FD21E5"/>
    <w:rsid w:val="00FD21E7"/>
    <w:rsid w:val="00FD22FB"/>
    <w:rsid w:val="00FD235A"/>
    <w:rsid w:val="00FD238B"/>
    <w:rsid w:val="00FD245E"/>
    <w:rsid w:val="00FD24BD"/>
    <w:rsid w:val="00FD24C9"/>
    <w:rsid w:val="00FD24E6"/>
    <w:rsid w:val="00FD2517"/>
    <w:rsid w:val="00FD2567"/>
    <w:rsid w:val="00FD262D"/>
    <w:rsid w:val="00FD263C"/>
    <w:rsid w:val="00FD2752"/>
    <w:rsid w:val="00FD27D2"/>
    <w:rsid w:val="00FD27F2"/>
    <w:rsid w:val="00FD288F"/>
    <w:rsid w:val="00FD2964"/>
    <w:rsid w:val="00FD2984"/>
    <w:rsid w:val="00FD2B27"/>
    <w:rsid w:val="00FD2C8D"/>
    <w:rsid w:val="00FD2CC6"/>
    <w:rsid w:val="00FD2E9E"/>
    <w:rsid w:val="00FD2F46"/>
    <w:rsid w:val="00FD30D1"/>
    <w:rsid w:val="00FD31D0"/>
    <w:rsid w:val="00FD3262"/>
    <w:rsid w:val="00FD32B2"/>
    <w:rsid w:val="00FD32EC"/>
    <w:rsid w:val="00FD3375"/>
    <w:rsid w:val="00FD33EC"/>
    <w:rsid w:val="00FD346D"/>
    <w:rsid w:val="00FD352A"/>
    <w:rsid w:val="00FD36B9"/>
    <w:rsid w:val="00FD3745"/>
    <w:rsid w:val="00FD37A9"/>
    <w:rsid w:val="00FD3800"/>
    <w:rsid w:val="00FD3853"/>
    <w:rsid w:val="00FD385C"/>
    <w:rsid w:val="00FD3888"/>
    <w:rsid w:val="00FD3935"/>
    <w:rsid w:val="00FD3A06"/>
    <w:rsid w:val="00FD3AF8"/>
    <w:rsid w:val="00FD3B60"/>
    <w:rsid w:val="00FD3D4D"/>
    <w:rsid w:val="00FD3E0F"/>
    <w:rsid w:val="00FD3E59"/>
    <w:rsid w:val="00FD3F50"/>
    <w:rsid w:val="00FD408A"/>
    <w:rsid w:val="00FD4093"/>
    <w:rsid w:val="00FD41AA"/>
    <w:rsid w:val="00FD422D"/>
    <w:rsid w:val="00FD44FC"/>
    <w:rsid w:val="00FD4585"/>
    <w:rsid w:val="00FD45F1"/>
    <w:rsid w:val="00FD468A"/>
    <w:rsid w:val="00FD4709"/>
    <w:rsid w:val="00FD4731"/>
    <w:rsid w:val="00FD4810"/>
    <w:rsid w:val="00FD48D4"/>
    <w:rsid w:val="00FD48F6"/>
    <w:rsid w:val="00FD4935"/>
    <w:rsid w:val="00FD4A9C"/>
    <w:rsid w:val="00FD4B6A"/>
    <w:rsid w:val="00FD4DD9"/>
    <w:rsid w:val="00FD4DF2"/>
    <w:rsid w:val="00FD4E22"/>
    <w:rsid w:val="00FD4E4D"/>
    <w:rsid w:val="00FD4F2D"/>
    <w:rsid w:val="00FD5074"/>
    <w:rsid w:val="00FD50D0"/>
    <w:rsid w:val="00FD5132"/>
    <w:rsid w:val="00FD520D"/>
    <w:rsid w:val="00FD5225"/>
    <w:rsid w:val="00FD5414"/>
    <w:rsid w:val="00FD5647"/>
    <w:rsid w:val="00FD56C3"/>
    <w:rsid w:val="00FD58E6"/>
    <w:rsid w:val="00FD58E8"/>
    <w:rsid w:val="00FD5921"/>
    <w:rsid w:val="00FD5AC4"/>
    <w:rsid w:val="00FD5B7E"/>
    <w:rsid w:val="00FD5CC6"/>
    <w:rsid w:val="00FD5D4B"/>
    <w:rsid w:val="00FD5E4E"/>
    <w:rsid w:val="00FD5E54"/>
    <w:rsid w:val="00FD5EED"/>
    <w:rsid w:val="00FD6025"/>
    <w:rsid w:val="00FD6112"/>
    <w:rsid w:val="00FD6159"/>
    <w:rsid w:val="00FD6314"/>
    <w:rsid w:val="00FD631E"/>
    <w:rsid w:val="00FD63EB"/>
    <w:rsid w:val="00FD6509"/>
    <w:rsid w:val="00FD65DD"/>
    <w:rsid w:val="00FD6665"/>
    <w:rsid w:val="00FD6681"/>
    <w:rsid w:val="00FD6699"/>
    <w:rsid w:val="00FD66D3"/>
    <w:rsid w:val="00FD66EC"/>
    <w:rsid w:val="00FD6718"/>
    <w:rsid w:val="00FD6768"/>
    <w:rsid w:val="00FD67CB"/>
    <w:rsid w:val="00FD67FD"/>
    <w:rsid w:val="00FD6990"/>
    <w:rsid w:val="00FD6A5B"/>
    <w:rsid w:val="00FD6AD1"/>
    <w:rsid w:val="00FD6AFE"/>
    <w:rsid w:val="00FD6BF9"/>
    <w:rsid w:val="00FD6C35"/>
    <w:rsid w:val="00FD6C3B"/>
    <w:rsid w:val="00FD6C94"/>
    <w:rsid w:val="00FD6C99"/>
    <w:rsid w:val="00FD6D65"/>
    <w:rsid w:val="00FD6E1F"/>
    <w:rsid w:val="00FD6ED1"/>
    <w:rsid w:val="00FD6F82"/>
    <w:rsid w:val="00FD6FBA"/>
    <w:rsid w:val="00FD7017"/>
    <w:rsid w:val="00FD7164"/>
    <w:rsid w:val="00FD71B2"/>
    <w:rsid w:val="00FD71E5"/>
    <w:rsid w:val="00FD7224"/>
    <w:rsid w:val="00FD7315"/>
    <w:rsid w:val="00FD7399"/>
    <w:rsid w:val="00FD73F9"/>
    <w:rsid w:val="00FD7433"/>
    <w:rsid w:val="00FD7458"/>
    <w:rsid w:val="00FD7518"/>
    <w:rsid w:val="00FD75D0"/>
    <w:rsid w:val="00FD76A5"/>
    <w:rsid w:val="00FD7918"/>
    <w:rsid w:val="00FD7953"/>
    <w:rsid w:val="00FD7B37"/>
    <w:rsid w:val="00FD7B6C"/>
    <w:rsid w:val="00FD7C64"/>
    <w:rsid w:val="00FD7CBD"/>
    <w:rsid w:val="00FD7CF0"/>
    <w:rsid w:val="00FD7D85"/>
    <w:rsid w:val="00FD7D88"/>
    <w:rsid w:val="00FD7E03"/>
    <w:rsid w:val="00FD7F24"/>
    <w:rsid w:val="00FE0022"/>
    <w:rsid w:val="00FE014D"/>
    <w:rsid w:val="00FE0150"/>
    <w:rsid w:val="00FE01F0"/>
    <w:rsid w:val="00FE02C3"/>
    <w:rsid w:val="00FE030C"/>
    <w:rsid w:val="00FE061C"/>
    <w:rsid w:val="00FE06D9"/>
    <w:rsid w:val="00FE074D"/>
    <w:rsid w:val="00FE07B7"/>
    <w:rsid w:val="00FE0845"/>
    <w:rsid w:val="00FE0881"/>
    <w:rsid w:val="00FE09CB"/>
    <w:rsid w:val="00FE0ABA"/>
    <w:rsid w:val="00FE0B0E"/>
    <w:rsid w:val="00FE0C95"/>
    <w:rsid w:val="00FE0CAF"/>
    <w:rsid w:val="00FE0D1E"/>
    <w:rsid w:val="00FE0EA0"/>
    <w:rsid w:val="00FE0FE3"/>
    <w:rsid w:val="00FE1026"/>
    <w:rsid w:val="00FE10BD"/>
    <w:rsid w:val="00FE1194"/>
    <w:rsid w:val="00FE119C"/>
    <w:rsid w:val="00FE11A2"/>
    <w:rsid w:val="00FE11C6"/>
    <w:rsid w:val="00FE1300"/>
    <w:rsid w:val="00FE13C0"/>
    <w:rsid w:val="00FE13FC"/>
    <w:rsid w:val="00FE1518"/>
    <w:rsid w:val="00FE152B"/>
    <w:rsid w:val="00FE15BA"/>
    <w:rsid w:val="00FE15BE"/>
    <w:rsid w:val="00FE15E4"/>
    <w:rsid w:val="00FE168D"/>
    <w:rsid w:val="00FE16E9"/>
    <w:rsid w:val="00FE1A3B"/>
    <w:rsid w:val="00FE1A5E"/>
    <w:rsid w:val="00FE1A72"/>
    <w:rsid w:val="00FE1A80"/>
    <w:rsid w:val="00FE1AEF"/>
    <w:rsid w:val="00FE1B2D"/>
    <w:rsid w:val="00FE1CE8"/>
    <w:rsid w:val="00FE1EF8"/>
    <w:rsid w:val="00FE2022"/>
    <w:rsid w:val="00FE2080"/>
    <w:rsid w:val="00FE2164"/>
    <w:rsid w:val="00FE2174"/>
    <w:rsid w:val="00FE23DC"/>
    <w:rsid w:val="00FE24B6"/>
    <w:rsid w:val="00FE2509"/>
    <w:rsid w:val="00FE2581"/>
    <w:rsid w:val="00FE2661"/>
    <w:rsid w:val="00FE26E4"/>
    <w:rsid w:val="00FE27DF"/>
    <w:rsid w:val="00FE2868"/>
    <w:rsid w:val="00FE288C"/>
    <w:rsid w:val="00FE29BF"/>
    <w:rsid w:val="00FE2A6C"/>
    <w:rsid w:val="00FE2C03"/>
    <w:rsid w:val="00FE2C35"/>
    <w:rsid w:val="00FE2C64"/>
    <w:rsid w:val="00FE2CA6"/>
    <w:rsid w:val="00FE2CBF"/>
    <w:rsid w:val="00FE2FFE"/>
    <w:rsid w:val="00FE3136"/>
    <w:rsid w:val="00FE3225"/>
    <w:rsid w:val="00FE326F"/>
    <w:rsid w:val="00FE336C"/>
    <w:rsid w:val="00FE3387"/>
    <w:rsid w:val="00FE33CE"/>
    <w:rsid w:val="00FE33E2"/>
    <w:rsid w:val="00FE357A"/>
    <w:rsid w:val="00FE3583"/>
    <w:rsid w:val="00FE35B1"/>
    <w:rsid w:val="00FE3643"/>
    <w:rsid w:val="00FE37B3"/>
    <w:rsid w:val="00FE37BE"/>
    <w:rsid w:val="00FE399D"/>
    <w:rsid w:val="00FE3A12"/>
    <w:rsid w:val="00FE3A3F"/>
    <w:rsid w:val="00FE3AC3"/>
    <w:rsid w:val="00FE3B2A"/>
    <w:rsid w:val="00FE3C65"/>
    <w:rsid w:val="00FE3CCA"/>
    <w:rsid w:val="00FE3CFA"/>
    <w:rsid w:val="00FE3D89"/>
    <w:rsid w:val="00FE3DE3"/>
    <w:rsid w:val="00FE4003"/>
    <w:rsid w:val="00FE40C2"/>
    <w:rsid w:val="00FE4385"/>
    <w:rsid w:val="00FE43DF"/>
    <w:rsid w:val="00FE444C"/>
    <w:rsid w:val="00FE44AB"/>
    <w:rsid w:val="00FE44C9"/>
    <w:rsid w:val="00FE4615"/>
    <w:rsid w:val="00FE46CA"/>
    <w:rsid w:val="00FE482C"/>
    <w:rsid w:val="00FE4BFF"/>
    <w:rsid w:val="00FE4C24"/>
    <w:rsid w:val="00FE4CFC"/>
    <w:rsid w:val="00FE4D61"/>
    <w:rsid w:val="00FE4D7F"/>
    <w:rsid w:val="00FE4EAB"/>
    <w:rsid w:val="00FE4F0C"/>
    <w:rsid w:val="00FE4F43"/>
    <w:rsid w:val="00FE50DA"/>
    <w:rsid w:val="00FE5174"/>
    <w:rsid w:val="00FE518C"/>
    <w:rsid w:val="00FE52D7"/>
    <w:rsid w:val="00FE5313"/>
    <w:rsid w:val="00FE5399"/>
    <w:rsid w:val="00FE53CB"/>
    <w:rsid w:val="00FE55E0"/>
    <w:rsid w:val="00FE571A"/>
    <w:rsid w:val="00FE5946"/>
    <w:rsid w:val="00FE5A1A"/>
    <w:rsid w:val="00FE5A5B"/>
    <w:rsid w:val="00FE5B19"/>
    <w:rsid w:val="00FE5B49"/>
    <w:rsid w:val="00FE5BD0"/>
    <w:rsid w:val="00FE5C94"/>
    <w:rsid w:val="00FE5C9F"/>
    <w:rsid w:val="00FE5E13"/>
    <w:rsid w:val="00FE5E7E"/>
    <w:rsid w:val="00FE61EF"/>
    <w:rsid w:val="00FE6302"/>
    <w:rsid w:val="00FE6376"/>
    <w:rsid w:val="00FE63DA"/>
    <w:rsid w:val="00FE64A1"/>
    <w:rsid w:val="00FE64E8"/>
    <w:rsid w:val="00FE651D"/>
    <w:rsid w:val="00FE65D0"/>
    <w:rsid w:val="00FE6633"/>
    <w:rsid w:val="00FE6AE9"/>
    <w:rsid w:val="00FE6E69"/>
    <w:rsid w:val="00FE6EC5"/>
    <w:rsid w:val="00FE6EEB"/>
    <w:rsid w:val="00FE7234"/>
    <w:rsid w:val="00FE73BA"/>
    <w:rsid w:val="00FE73E7"/>
    <w:rsid w:val="00FE743C"/>
    <w:rsid w:val="00FE752C"/>
    <w:rsid w:val="00FE7563"/>
    <w:rsid w:val="00FE7565"/>
    <w:rsid w:val="00FE7656"/>
    <w:rsid w:val="00FE781A"/>
    <w:rsid w:val="00FE7903"/>
    <w:rsid w:val="00FE79FA"/>
    <w:rsid w:val="00FE7B91"/>
    <w:rsid w:val="00FE7C2B"/>
    <w:rsid w:val="00FE7CCF"/>
    <w:rsid w:val="00FE7EA4"/>
    <w:rsid w:val="00FE7ED3"/>
    <w:rsid w:val="00FF0035"/>
    <w:rsid w:val="00FF024C"/>
    <w:rsid w:val="00FF0256"/>
    <w:rsid w:val="00FF0334"/>
    <w:rsid w:val="00FF03F5"/>
    <w:rsid w:val="00FF0401"/>
    <w:rsid w:val="00FF047E"/>
    <w:rsid w:val="00FF04D3"/>
    <w:rsid w:val="00FF06F1"/>
    <w:rsid w:val="00FF087B"/>
    <w:rsid w:val="00FF08C6"/>
    <w:rsid w:val="00FF0AB0"/>
    <w:rsid w:val="00FF0B29"/>
    <w:rsid w:val="00FF0B52"/>
    <w:rsid w:val="00FF0BCA"/>
    <w:rsid w:val="00FF0C05"/>
    <w:rsid w:val="00FF0DD0"/>
    <w:rsid w:val="00FF1182"/>
    <w:rsid w:val="00FF11F3"/>
    <w:rsid w:val="00FF11F9"/>
    <w:rsid w:val="00FF1217"/>
    <w:rsid w:val="00FF1235"/>
    <w:rsid w:val="00FF13D3"/>
    <w:rsid w:val="00FF13F2"/>
    <w:rsid w:val="00FF153F"/>
    <w:rsid w:val="00FF16FF"/>
    <w:rsid w:val="00FF1893"/>
    <w:rsid w:val="00FF190B"/>
    <w:rsid w:val="00FF1A02"/>
    <w:rsid w:val="00FF1C62"/>
    <w:rsid w:val="00FF1C6F"/>
    <w:rsid w:val="00FF1D85"/>
    <w:rsid w:val="00FF1F17"/>
    <w:rsid w:val="00FF1F81"/>
    <w:rsid w:val="00FF20AE"/>
    <w:rsid w:val="00FF20DE"/>
    <w:rsid w:val="00FF211F"/>
    <w:rsid w:val="00FF2206"/>
    <w:rsid w:val="00FF228F"/>
    <w:rsid w:val="00FF2419"/>
    <w:rsid w:val="00FF2670"/>
    <w:rsid w:val="00FF26D0"/>
    <w:rsid w:val="00FF272B"/>
    <w:rsid w:val="00FF28AC"/>
    <w:rsid w:val="00FF28F2"/>
    <w:rsid w:val="00FF29F4"/>
    <w:rsid w:val="00FF2A96"/>
    <w:rsid w:val="00FF2ABB"/>
    <w:rsid w:val="00FF2C6A"/>
    <w:rsid w:val="00FF2FB5"/>
    <w:rsid w:val="00FF2FFC"/>
    <w:rsid w:val="00FF319C"/>
    <w:rsid w:val="00FF31A0"/>
    <w:rsid w:val="00FF3237"/>
    <w:rsid w:val="00FF32C8"/>
    <w:rsid w:val="00FF3686"/>
    <w:rsid w:val="00FF3876"/>
    <w:rsid w:val="00FF395B"/>
    <w:rsid w:val="00FF3C9C"/>
    <w:rsid w:val="00FF3CD2"/>
    <w:rsid w:val="00FF3CED"/>
    <w:rsid w:val="00FF3D16"/>
    <w:rsid w:val="00FF3E0F"/>
    <w:rsid w:val="00FF3E3E"/>
    <w:rsid w:val="00FF3EA4"/>
    <w:rsid w:val="00FF3ECA"/>
    <w:rsid w:val="00FF3F84"/>
    <w:rsid w:val="00FF405B"/>
    <w:rsid w:val="00FF4258"/>
    <w:rsid w:val="00FF4336"/>
    <w:rsid w:val="00FF4417"/>
    <w:rsid w:val="00FF446F"/>
    <w:rsid w:val="00FF4630"/>
    <w:rsid w:val="00FF46B2"/>
    <w:rsid w:val="00FF4849"/>
    <w:rsid w:val="00FF48CB"/>
    <w:rsid w:val="00FF4A14"/>
    <w:rsid w:val="00FF4A4C"/>
    <w:rsid w:val="00FF4A73"/>
    <w:rsid w:val="00FF4A77"/>
    <w:rsid w:val="00FF4AAE"/>
    <w:rsid w:val="00FF4AD3"/>
    <w:rsid w:val="00FF4AFF"/>
    <w:rsid w:val="00FF4B0F"/>
    <w:rsid w:val="00FF4B12"/>
    <w:rsid w:val="00FF4BC8"/>
    <w:rsid w:val="00FF4BD8"/>
    <w:rsid w:val="00FF4D80"/>
    <w:rsid w:val="00FF4D8A"/>
    <w:rsid w:val="00FF4D9A"/>
    <w:rsid w:val="00FF4DBF"/>
    <w:rsid w:val="00FF4EFE"/>
    <w:rsid w:val="00FF4F99"/>
    <w:rsid w:val="00FF4FA2"/>
    <w:rsid w:val="00FF4FD1"/>
    <w:rsid w:val="00FF4FE7"/>
    <w:rsid w:val="00FF502C"/>
    <w:rsid w:val="00FF5045"/>
    <w:rsid w:val="00FF5220"/>
    <w:rsid w:val="00FF52D3"/>
    <w:rsid w:val="00FF52DF"/>
    <w:rsid w:val="00FF534D"/>
    <w:rsid w:val="00FF534E"/>
    <w:rsid w:val="00FF54D8"/>
    <w:rsid w:val="00FF5584"/>
    <w:rsid w:val="00FF57DD"/>
    <w:rsid w:val="00FF585A"/>
    <w:rsid w:val="00FF599B"/>
    <w:rsid w:val="00FF5AB7"/>
    <w:rsid w:val="00FF5AF4"/>
    <w:rsid w:val="00FF5B70"/>
    <w:rsid w:val="00FF5B84"/>
    <w:rsid w:val="00FF5BB2"/>
    <w:rsid w:val="00FF5BD1"/>
    <w:rsid w:val="00FF5C45"/>
    <w:rsid w:val="00FF5C8A"/>
    <w:rsid w:val="00FF5D5C"/>
    <w:rsid w:val="00FF5DFA"/>
    <w:rsid w:val="00FF5DFD"/>
    <w:rsid w:val="00FF5E08"/>
    <w:rsid w:val="00FF5F72"/>
    <w:rsid w:val="00FF5FAF"/>
    <w:rsid w:val="00FF5FC7"/>
    <w:rsid w:val="00FF60C4"/>
    <w:rsid w:val="00FF621E"/>
    <w:rsid w:val="00FF6281"/>
    <w:rsid w:val="00FF62F8"/>
    <w:rsid w:val="00FF649D"/>
    <w:rsid w:val="00FF6570"/>
    <w:rsid w:val="00FF6721"/>
    <w:rsid w:val="00FF68C8"/>
    <w:rsid w:val="00FF68CE"/>
    <w:rsid w:val="00FF6A18"/>
    <w:rsid w:val="00FF6A2E"/>
    <w:rsid w:val="00FF6DB0"/>
    <w:rsid w:val="00FF6DD2"/>
    <w:rsid w:val="00FF6F0A"/>
    <w:rsid w:val="00FF7179"/>
    <w:rsid w:val="00FF74A5"/>
    <w:rsid w:val="00FF74AB"/>
    <w:rsid w:val="00FF74AC"/>
    <w:rsid w:val="00FF74ED"/>
    <w:rsid w:val="00FF74F2"/>
    <w:rsid w:val="00FF74FF"/>
    <w:rsid w:val="00FF75A1"/>
    <w:rsid w:val="00FF75C7"/>
    <w:rsid w:val="00FF7636"/>
    <w:rsid w:val="00FF76D9"/>
    <w:rsid w:val="00FF777D"/>
    <w:rsid w:val="00FF77AB"/>
    <w:rsid w:val="00FF7978"/>
    <w:rsid w:val="00FF79E2"/>
    <w:rsid w:val="00FF7EC6"/>
    <w:rsid w:val="00FF7EE2"/>
    <w:rsid w:val="00FF7F3C"/>
    <w:rsid w:val="00FF7F62"/>
    <w:rsid w:val="010601BA"/>
    <w:rsid w:val="010B2B89"/>
    <w:rsid w:val="0110476A"/>
    <w:rsid w:val="0114FE4E"/>
    <w:rsid w:val="01154622"/>
    <w:rsid w:val="01162769"/>
    <w:rsid w:val="0116D9B2"/>
    <w:rsid w:val="011A8B33"/>
    <w:rsid w:val="011B69E0"/>
    <w:rsid w:val="011E6C62"/>
    <w:rsid w:val="011EE652"/>
    <w:rsid w:val="0120CE5E"/>
    <w:rsid w:val="0121C785"/>
    <w:rsid w:val="0121CD1A"/>
    <w:rsid w:val="0126C35B"/>
    <w:rsid w:val="01277620"/>
    <w:rsid w:val="012A4D94"/>
    <w:rsid w:val="012B0623"/>
    <w:rsid w:val="012BF3F9"/>
    <w:rsid w:val="012C0D14"/>
    <w:rsid w:val="0130A5AF"/>
    <w:rsid w:val="013149FA"/>
    <w:rsid w:val="013160CC"/>
    <w:rsid w:val="01329A34"/>
    <w:rsid w:val="01329DA0"/>
    <w:rsid w:val="01335293"/>
    <w:rsid w:val="0134A4AC"/>
    <w:rsid w:val="01372B03"/>
    <w:rsid w:val="013CDC8A"/>
    <w:rsid w:val="014464D4"/>
    <w:rsid w:val="014AFA3C"/>
    <w:rsid w:val="014CF9A5"/>
    <w:rsid w:val="01549E84"/>
    <w:rsid w:val="0156EAD7"/>
    <w:rsid w:val="015B5D8C"/>
    <w:rsid w:val="015ED6CC"/>
    <w:rsid w:val="015F8DEE"/>
    <w:rsid w:val="0162F92B"/>
    <w:rsid w:val="0163BD32"/>
    <w:rsid w:val="01649590"/>
    <w:rsid w:val="0166F187"/>
    <w:rsid w:val="01682830"/>
    <w:rsid w:val="0169E4F4"/>
    <w:rsid w:val="016ECF8E"/>
    <w:rsid w:val="0170070B"/>
    <w:rsid w:val="017BA1FF"/>
    <w:rsid w:val="017C059A"/>
    <w:rsid w:val="017DC64F"/>
    <w:rsid w:val="01806A50"/>
    <w:rsid w:val="01853592"/>
    <w:rsid w:val="018671A0"/>
    <w:rsid w:val="018CD5F0"/>
    <w:rsid w:val="018DD4EE"/>
    <w:rsid w:val="01967CF0"/>
    <w:rsid w:val="0199AB1E"/>
    <w:rsid w:val="019B38C6"/>
    <w:rsid w:val="019BC1A8"/>
    <w:rsid w:val="019DBAEE"/>
    <w:rsid w:val="019EAB35"/>
    <w:rsid w:val="01A421DD"/>
    <w:rsid w:val="01A52077"/>
    <w:rsid w:val="01A5AC2C"/>
    <w:rsid w:val="01A62BE7"/>
    <w:rsid w:val="01A6F425"/>
    <w:rsid w:val="01AED673"/>
    <w:rsid w:val="01B2058D"/>
    <w:rsid w:val="01B658F6"/>
    <w:rsid w:val="01B69AE8"/>
    <w:rsid w:val="01BBBB1C"/>
    <w:rsid w:val="01BEA83D"/>
    <w:rsid w:val="01BF3DE5"/>
    <w:rsid w:val="01C041CF"/>
    <w:rsid w:val="01C3170D"/>
    <w:rsid w:val="01C3EEFE"/>
    <w:rsid w:val="01C8E741"/>
    <w:rsid w:val="01CFD8B6"/>
    <w:rsid w:val="01D01BBC"/>
    <w:rsid w:val="01D894DD"/>
    <w:rsid w:val="01FACA51"/>
    <w:rsid w:val="0202028F"/>
    <w:rsid w:val="020B9A00"/>
    <w:rsid w:val="020FFB17"/>
    <w:rsid w:val="021256DF"/>
    <w:rsid w:val="0216D3D2"/>
    <w:rsid w:val="02180655"/>
    <w:rsid w:val="0221835F"/>
    <w:rsid w:val="022676E8"/>
    <w:rsid w:val="022BC4E7"/>
    <w:rsid w:val="022FAD0B"/>
    <w:rsid w:val="0230179E"/>
    <w:rsid w:val="0232384F"/>
    <w:rsid w:val="02358B8F"/>
    <w:rsid w:val="023592AF"/>
    <w:rsid w:val="023824D3"/>
    <w:rsid w:val="02391485"/>
    <w:rsid w:val="023E33B8"/>
    <w:rsid w:val="023E7D6F"/>
    <w:rsid w:val="023FF94A"/>
    <w:rsid w:val="02439225"/>
    <w:rsid w:val="0245F40B"/>
    <w:rsid w:val="02463485"/>
    <w:rsid w:val="02484548"/>
    <w:rsid w:val="024A3B7E"/>
    <w:rsid w:val="024F6628"/>
    <w:rsid w:val="02510578"/>
    <w:rsid w:val="02543B85"/>
    <w:rsid w:val="025966A4"/>
    <w:rsid w:val="025E8F72"/>
    <w:rsid w:val="025F205D"/>
    <w:rsid w:val="026CF1D6"/>
    <w:rsid w:val="026FD45A"/>
    <w:rsid w:val="0276AACA"/>
    <w:rsid w:val="0277AD80"/>
    <w:rsid w:val="027E9026"/>
    <w:rsid w:val="027F5EDF"/>
    <w:rsid w:val="0284DA9D"/>
    <w:rsid w:val="028574AC"/>
    <w:rsid w:val="02891404"/>
    <w:rsid w:val="028B5EA1"/>
    <w:rsid w:val="028C1B6C"/>
    <w:rsid w:val="028E71E3"/>
    <w:rsid w:val="0296010C"/>
    <w:rsid w:val="029AB835"/>
    <w:rsid w:val="029D796E"/>
    <w:rsid w:val="02A2ACF8"/>
    <w:rsid w:val="02A4D947"/>
    <w:rsid w:val="02AD0B1D"/>
    <w:rsid w:val="02AD7AD1"/>
    <w:rsid w:val="02ADBCED"/>
    <w:rsid w:val="02AF1C2D"/>
    <w:rsid w:val="02BD7EF4"/>
    <w:rsid w:val="02BD9946"/>
    <w:rsid w:val="02BE409B"/>
    <w:rsid w:val="02BE8A01"/>
    <w:rsid w:val="02BEE4F5"/>
    <w:rsid w:val="02C533EF"/>
    <w:rsid w:val="02C7B5B3"/>
    <w:rsid w:val="02C8BA0B"/>
    <w:rsid w:val="02C9B043"/>
    <w:rsid w:val="02CC1D47"/>
    <w:rsid w:val="02CCF3AD"/>
    <w:rsid w:val="02D1B970"/>
    <w:rsid w:val="02D2A4EA"/>
    <w:rsid w:val="02DA6878"/>
    <w:rsid w:val="02DBB2BE"/>
    <w:rsid w:val="02E88957"/>
    <w:rsid w:val="02EA5D09"/>
    <w:rsid w:val="02EE1658"/>
    <w:rsid w:val="02EF1AD8"/>
    <w:rsid w:val="02F08391"/>
    <w:rsid w:val="02F1049E"/>
    <w:rsid w:val="02F1BA46"/>
    <w:rsid w:val="02F31877"/>
    <w:rsid w:val="02F34683"/>
    <w:rsid w:val="02F4EE89"/>
    <w:rsid w:val="02F80651"/>
    <w:rsid w:val="02F84A26"/>
    <w:rsid w:val="030A66FA"/>
    <w:rsid w:val="030C1F87"/>
    <w:rsid w:val="030E5FF3"/>
    <w:rsid w:val="03116518"/>
    <w:rsid w:val="03121B41"/>
    <w:rsid w:val="03128266"/>
    <w:rsid w:val="031680B4"/>
    <w:rsid w:val="03171770"/>
    <w:rsid w:val="031B0254"/>
    <w:rsid w:val="0324D4A8"/>
    <w:rsid w:val="0325CF7F"/>
    <w:rsid w:val="03268B8D"/>
    <w:rsid w:val="0326DACC"/>
    <w:rsid w:val="0329F894"/>
    <w:rsid w:val="032A88D5"/>
    <w:rsid w:val="032CA36C"/>
    <w:rsid w:val="032D7D99"/>
    <w:rsid w:val="03304FC9"/>
    <w:rsid w:val="0330F96F"/>
    <w:rsid w:val="033245F9"/>
    <w:rsid w:val="0332FCD5"/>
    <w:rsid w:val="03364951"/>
    <w:rsid w:val="03383BFD"/>
    <w:rsid w:val="033A2824"/>
    <w:rsid w:val="033A8DC0"/>
    <w:rsid w:val="03431E6A"/>
    <w:rsid w:val="0346860A"/>
    <w:rsid w:val="0349AAC4"/>
    <w:rsid w:val="0349BA13"/>
    <w:rsid w:val="034A3DF0"/>
    <w:rsid w:val="034CA3B7"/>
    <w:rsid w:val="03507D9C"/>
    <w:rsid w:val="0351B9F3"/>
    <w:rsid w:val="0352880D"/>
    <w:rsid w:val="03531036"/>
    <w:rsid w:val="03531F87"/>
    <w:rsid w:val="03537A52"/>
    <w:rsid w:val="0353EE60"/>
    <w:rsid w:val="03585725"/>
    <w:rsid w:val="0360D698"/>
    <w:rsid w:val="0364F865"/>
    <w:rsid w:val="0365B5F0"/>
    <w:rsid w:val="036843CB"/>
    <w:rsid w:val="036F4F69"/>
    <w:rsid w:val="0371F1EF"/>
    <w:rsid w:val="0371F2D0"/>
    <w:rsid w:val="03732E8A"/>
    <w:rsid w:val="037448A5"/>
    <w:rsid w:val="037CDFF3"/>
    <w:rsid w:val="0384C6D1"/>
    <w:rsid w:val="038507F9"/>
    <w:rsid w:val="0387F2CA"/>
    <w:rsid w:val="0388D410"/>
    <w:rsid w:val="0389AA04"/>
    <w:rsid w:val="038AFD87"/>
    <w:rsid w:val="038BFC8F"/>
    <w:rsid w:val="038C6425"/>
    <w:rsid w:val="038F6611"/>
    <w:rsid w:val="03949068"/>
    <w:rsid w:val="03A15C12"/>
    <w:rsid w:val="03A4B5D5"/>
    <w:rsid w:val="03A4C69F"/>
    <w:rsid w:val="03A56EB9"/>
    <w:rsid w:val="03AABCF2"/>
    <w:rsid w:val="03AD6746"/>
    <w:rsid w:val="03AEFE2A"/>
    <w:rsid w:val="03AF02BD"/>
    <w:rsid w:val="03B47296"/>
    <w:rsid w:val="03B546AF"/>
    <w:rsid w:val="03B9AD96"/>
    <w:rsid w:val="03BA265D"/>
    <w:rsid w:val="03BBD04C"/>
    <w:rsid w:val="03BFD1A3"/>
    <w:rsid w:val="03CA48D8"/>
    <w:rsid w:val="03CB0980"/>
    <w:rsid w:val="03CBA088"/>
    <w:rsid w:val="03D8FE31"/>
    <w:rsid w:val="03DA6FC1"/>
    <w:rsid w:val="03DF4DB4"/>
    <w:rsid w:val="03E24EE4"/>
    <w:rsid w:val="03EA99E6"/>
    <w:rsid w:val="03ECA996"/>
    <w:rsid w:val="03EE0F06"/>
    <w:rsid w:val="03EFDBC8"/>
    <w:rsid w:val="03F05EA6"/>
    <w:rsid w:val="03F8E4A0"/>
    <w:rsid w:val="03F8FB2F"/>
    <w:rsid w:val="03FD3526"/>
    <w:rsid w:val="03FD7239"/>
    <w:rsid w:val="03FF487A"/>
    <w:rsid w:val="04002DF9"/>
    <w:rsid w:val="04012F9E"/>
    <w:rsid w:val="04034D0A"/>
    <w:rsid w:val="0403A3F4"/>
    <w:rsid w:val="040624A0"/>
    <w:rsid w:val="040A0B65"/>
    <w:rsid w:val="040B2370"/>
    <w:rsid w:val="04108CAC"/>
    <w:rsid w:val="0416584D"/>
    <w:rsid w:val="04170067"/>
    <w:rsid w:val="0418D1D0"/>
    <w:rsid w:val="0418E3B0"/>
    <w:rsid w:val="041B0C35"/>
    <w:rsid w:val="0423CB87"/>
    <w:rsid w:val="04253230"/>
    <w:rsid w:val="04275A67"/>
    <w:rsid w:val="0428443D"/>
    <w:rsid w:val="042B1616"/>
    <w:rsid w:val="042FEFEA"/>
    <w:rsid w:val="0430EA6A"/>
    <w:rsid w:val="043611AE"/>
    <w:rsid w:val="043B3DCF"/>
    <w:rsid w:val="043B78F0"/>
    <w:rsid w:val="043D7AA1"/>
    <w:rsid w:val="043F56BB"/>
    <w:rsid w:val="0447C4CB"/>
    <w:rsid w:val="044A1D13"/>
    <w:rsid w:val="044BD296"/>
    <w:rsid w:val="044D3DB6"/>
    <w:rsid w:val="044F844A"/>
    <w:rsid w:val="045361BF"/>
    <w:rsid w:val="0455C645"/>
    <w:rsid w:val="04573A64"/>
    <w:rsid w:val="045AD62D"/>
    <w:rsid w:val="045BFD5B"/>
    <w:rsid w:val="045CACBD"/>
    <w:rsid w:val="04660536"/>
    <w:rsid w:val="04660D85"/>
    <w:rsid w:val="0466200A"/>
    <w:rsid w:val="04673C5C"/>
    <w:rsid w:val="046EDA2A"/>
    <w:rsid w:val="046FD0C3"/>
    <w:rsid w:val="04701510"/>
    <w:rsid w:val="04716BC4"/>
    <w:rsid w:val="0472F0BA"/>
    <w:rsid w:val="04768DDC"/>
    <w:rsid w:val="0477FE93"/>
    <w:rsid w:val="0485B6BF"/>
    <w:rsid w:val="04878DA4"/>
    <w:rsid w:val="048A08A0"/>
    <w:rsid w:val="048B0FB1"/>
    <w:rsid w:val="048C1C58"/>
    <w:rsid w:val="04932179"/>
    <w:rsid w:val="0494137A"/>
    <w:rsid w:val="04971834"/>
    <w:rsid w:val="049DC2CD"/>
    <w:rsid w:val="049EE57D"/>
    <w:rsid w:val="049F2ABB"/>
    <w:rsid w:val="04A43799"/>
    <w:rsid w:val="04A45D78"/>
    <w:rsid w:val="04A63C52"/>
    <w:rsid w:val="04ABBDEA"/>
    <w:rsid w:val="04B2DEE1"/>
    <w:rsid w:val="04B59D5E"/>
    <w:rsid w:val="04B89919"/>
    <w:rsid w:val="04BC10BC"/>
    <w:rsid w:val="04C51C5E"/>
    <w:rsid w:val="04C581CC"/>
    <w:rsid w:val="04C7B623"/>
    <w:rsid w:val="04CDC28F"/>
    <w:rsid w:val="04CEC004"/>
    <w:rsid w:val="04D25DF2"/>
    <w:rsid w:val="04D8F1D7"/>
    <w:rsid w:val="04DE348E"/>
    <w:rsid w:val="04DEDB83"/>
    <w:rsid w:val="04E7AB01"/>
    <w:rsid w:val="04EA27EA"/>
    <w:rsid w:val="04EB9A0D"/>
    <w:rsid w:val="04F2C13C"/>
    <w:rsid w:val="04F42F50"/>
    <w:rsid w:val="04FAAFFC"/>
    <w:rsid w:val="04FEB936"/>
    <w:rsid w:val="04FF0495"/>
    <w:rsid w:val="05016FC5"/>
    <w:rsid w:val="050CBD7B"/>
    <w:rsid w:val="050E8617"/>
    <w:rsid w:val="05126DEB"/>
    <w:rsid w:val="051B4019"/>
    <w:rsid w:val="051EAA41"/>
    <w:rsid w:val="051F3CDE"/>
    <w:rsid w:val="0525666D"/>
    <w:rsid w:val="052925BC"/>
    <w:rsid w:val="052A2F88"/>
    <w:rsid w:val="052EA9E8"/>
    <w:rsid w:val="05301E89"/>
    <w:rsid w:val="05305B5C"/>
    <w:rsid w:val="05322D8E"/>
    <w:rsid w:val="05366AC3"/>
    <w:rsid w:val="05371401"/>
    <w:rsid w:val="0538A04A"/>
    <w:rsid w:val="0538BE3E"/>
    <w:rsid w:val="053A8394"/>
    <w:rsid w:val="0546A12C"/>
    <w:rsid w:val="054A0D46"/>
    <w:rsid w:val="054AD216"/>
    <w:rsid w:val="054B429C"/>
    <w:rsid w:val="054B499D"/>
    <w:rsid w:val="054CB018"/>
    <w:rsid w:val="054F9B9F"/>
    <w:rsid w:val="054FF2F4"/>
    <w:rsid w:val="0551A292"/>
    <w:rsid w:val="05577B68"/>
    <w:rsid w:val="0557F3CD"/>
    <w:rsid w:val="0560C897"/>
    <w:rsid w:val="056254B9"/>
    <w:rsid w:val="05627CD8"/>
    <w:rsid w:val="05637E85"/>
    <w:rsid w:val="05651117"/>
    <w:rsid w:val="056ACE88"/>
    <w:rsid w:val="056E91F8"/>
    <w:rsid w:val="0579AFC3"/>
    <w:rsid w:val="057C2335"/>
    <w:rsid w:val="057CF8E6"/>
    <w:rsid w:val="058219CA"/>
    <w:rsid w:val="05863646"/>
    <w:rsid w:val="05866B9D"/>
    <w:rsid w:val="0586E1B3"/>
    <w:rsid w:val="0587048E"/>
    <w:rsid w:val="05872B2D"/>
    <w:rsid w:val="0588D875"/>
    <w:rsid w:val="058AD977"/>
    <w:rsid w:val="058BFF8A"/>
    <w:rsid w:val="058C73A2"/>
    <w:rsid w:val="05944F80"/>
    <w:rsid w:val="059700B4"/>
    <w:rsid w:val="059FADD1"/>
    <w:rsid w:val="05A3B279"/>
    <w:rsid w:val="05A47497"/>
    <w:rsid w:val="05A6DA0D"/>
    <w:rsid w:val="05AB852F"/>
    <w:rsid w:val="05AEEF46"/>
    <w:rsid w:val="05B01A23"/>
    <w:rsid w:val="05B17F40"/>
    <w:rsid w:val="05B516A0"/>
    <w:rsid w:val="05B5CB99"/>
    <w:rsid w:val="05BB798D"/>
    <w:rsid w:val="05BE46F3"/>
    <w:rsid w:val="05C1168E"/>
    <w:rsid w:val="05C41947"/>
    <w:rsid w:val="05C7894A"/>
    <w:rsid w:val="05C8C23E"/>
    <w:rsid w:val="05C8DB08"/>
    <w:rsid w:val="05C9F79B"/>
    <w:rsid w:val="05D07560"/>
    <w:rsid w:val="05D07870"/>
    <w:rsid w:val="05D1DB1B"/>
    <w:rsid w:val="05D2CB4F"/>
    <w:rsid w:val="05D97087"/>
    <w:rsid w:val="05D9F5E4"/>
    <w:rsid w:val="05DA66A6"/>
    <w:rsid w:val="05DAFCD7"/>
    <w:rsid w:val="05DB28F6"/>
    <w:rsid w:val="05E0C46D"/>
    <w:rsid w:val="05E2BA9A"/>
    <w:rsid w:val="05E48AFF"/>
    <w:rsid w:val="05E5ED78"/>
    <w:rsid w:val="05E798A0"/>
    <w:rsid w:val="05E9FFD8"/>
    <w:rsid w:val="05EA00D9"/>
    <w:rsid w:val="05EA6AC2"/>
    <w:rsid w:val="05EABCA5"/>
    <w:rsid w:val="05EC2BAD"/>
    <w:rsid w:val="05ED473E"/>
    <w:rsid w:val="05F33D29"/>
    <w:rsid w:val="05F35914"/>
    <w:rsid w:val="05F4BFDD"/>
    <w:rsid w:val="05F61AC9"/>
    <w:rsid w:val="05F68C31"/>
    <w:rsid w:val="05FA23D2"/>
    <w:rsid w:val="05FD7C8F"/>
    <w:rsid w:val="05FFD031"/>
    <w:rsid w:val="0605C1BC"/>
    <w:rsid w:val="06087884"/>
    <w:rsid w:val="06094AC7"/>
    <w:rsid w:val="060B31A1"/>
    <w:rsid w:val="060BB594"/>
    <w:rsid w:val="060D2A85"/>
    <w:rsid w:val="06191F6C"/>
    <w:rsid w:val="06200F1E"/>
    <w:rsid w:val="06206116"/>
    <w:rsid w:val="06238894"/>
    <w:rsid w:val="062531AD"/>
    <w:rsid w:val="062751CF"/>
    <w:rsid w:val="0629339B"/>
    <w:rsid w:val="0633BF28"/>
    <w:rsid w:val="0638124A"/>
    <w:rsid w:val="063D3741"/>
    <w:rsid w:val="0641B850"/>
    <w:rsid w:val="06430A8D"/>
    <w:rsid w:val="0645C70C"/>
    <w:rsid w:val="0645F227"/>
    <w:rsid w:val="06490E9A"/>
    <w:rsid w:val="064A2542"/>
    <w:rsid w:val="064BDAF2"/>
    <w:rsid w:val="0651F8B3"/>
    <w:rsid w:val="0653B6B3"/>
    <w:rsid w:val="0655EDF8"/>
    <w:rsid w:val="06598655"/>
    <w:rsid w:val="0664C801"/>
    <w:rsid w:val="066A3A15"/>
    <w:rsid w:val="066B0594"/>
    <w:rsid w:val="066C2653"/>
    <w:rsid w:val="067076F6"/>
    <w:rsid w:val="0671074C"/>
    <w:rsid w:val="0671DF44"/>
    <w:rsid w:val="067681BC"/>
    <w:rsid w:val="0679B82F"/>
    <w:rsid w:val="067BF17A"/>
    <w:rsid w:val="067CD35A"/>
    <w:rsid w:val="06809142"/>
    <w:rsid w:val="0683DD89"/>
    <w:rsid w:val="068480FF"/>
    <w:rsid w:val="06863FD6"/>
    <w:rsid w:val="0687BD4B"/>
    <w:rsid w:val="0688A4D3"/>
    <w:rsid w:val="068CDD7C"/>
    <w:rsid w:val="068CDFA7"/>
    <w:rsid w:val="068E317C"/>
    <w:rsid w:val="068FE35E"/>
    <w:rsid w:val="06910C7D"/>
    <w:rsid w:val="06962FBD"/>
    <w:rsid w:val="06983A84"/>
    <w:rsid w:val="0699BD48"/>
    <w:rsid w:val="06A151A9"/>
    <w:rsid w:val="06A88F81"/>
    <w:rsid w:val="06B1B2EB"/>
    <w:rsid w:val="06B89A01"/>
    <w:rsid w:val="06BB6742"/>
    <w:rsid w:val="06BCBF4A"/>
    <w:rsid w:val="06BE47E2"/>
    <w:rsid w:val="06C0094A"/>
    <w:rsid w:val="06C102CE"/>
    <w:rsid w:val="06C10F84"/>
    <w:rsid w:val="06C29779"/>
    <w:rsid w:val="06C7A44B"/>
    <w:rsid w:val="06DDE1A7"/>
    <w:rsid w:val="06E0AF44"/>
    <w:rsid w:val="06E3C834"/>
    <w:rsid w:val="06EBC67E"/>
    <w:rsid w:val="06EC6E92"/>
    <w:rsid w:val="06ECEE5D"/>
    <w:rsid w:val="06EFF270"/>
    <w:rsid w:val="06F0881A"/>
    <w:rsid w:val="06F1CBD6"/>
    <w:rsid w:val="06F6DDA2"/>
    <w:rsid w:val="06FA38FB"/>
    <w:rsid w:val="06FF0E86"/>
    <w:rsid w:val="070515CA"/>
    <w:rsid w:val="070734C1"/>
    <w:rsid w:val="070C56E4"/>
    <w:rsid w:val="07110621"/>
    <w:rsid w:val="071330D3"/>
    <w:rsid w:val="0717CF1A"/>
    <w:rsid w:val="0718943E"/>
    <w:rsid w:val="071C2FEB"/>
    <w:rsid w:val="071D9664"/>
    <w:rsid w:val="071DE782"/>
    <w:rsid w:val="071F93E7"/>
    <w:rsid w:val="07205E4C"/>
    <w:rsid w:val="0724BE5C"/>
    <w:rsid w:val="072721CF"/>
    <w:rsid w:val="07315A9D"/>
    <w:rsid w:val="073635D4"/>
    <w:rsid w:val="07411B60"/>
    <w:rsid w:val="0741C9B2"/>
    <w:rsid w:val="0741EB9B"/>
    <w:rsid w:val="0746A58A"/>
    <w:rsid w:val="0747346F"/>
    <w:rsid w:val="0749D2C4"/>
    <w:rsid w:val="074A148F"/>
    <w:rsid w:val="074B207D"/>
    <w:rsid w:val="074C4B96"/>
    <w:rsid w:val="075235BA"/>
    <w:rsid w:val="0757230E"/>
    <w:rsid w:val="075BB5E1"/>
    <w:rsid w:val="075C1C5E"/>
    <w:rsid w:val="075D542C"/>
    <w:rsid w:val="0763AEAE"/>
    <w:rsid w:val="076673AE"/>
    <w:rsid w:val="0766A00F"/>
    <w:rsid w:val="0769D6AE"/>
    <w:rsid w:val="076D5159"/>
    <w:rsid w:val="076E7E19"/>
    <w:rsid w:val="0776263F"/>
    <w:rsid w:val="077A9FD7"/>
    <w:rsid w:val="077E6615"/>
    <w:rsid w:val="07803B2E"/>
    <w:rsid w:val="07851370"/>
    <w:rsid w:val="0785E203"/>
    <w:rsid w:val="078A5A15"/>
    <w:rsid w:val="078E917E"/>
    <w:rsid w:val="0792A269"/>
    <w:rsid w:val="07975104"/>
    <w:rsid w:val="07994BF1"/>
    <w:rsid w:val="079A5177"/>
    <w:rsid w:val="079C0F3B"/>
    <w:rsid w:val="07A02B4B"/>
    <w:rsid w:val="07A7CA6F"/>
    <w:rsid w:val="07A98CA7"/>
    <w:rsid w:val="07AB2634"/>
    <w:rsid w:val="07AFCDB8"/>
    <w:rsid w:val="07AFFD02"/>
    <w:rsid w:val="07B0C078"/>
    <w:rsid w:val="07B38DCE"/>
    <w:rsid w:val="07B3AAA8"/>
    <w:rsid w:val="07B466F1"/>
    <w:rsid w:val="07B49606"/>
    <w:rsid w:val="07B4B2BE"/>
    <w:rsid w:val="07B54807"/>
    <w:rsid w:val="07B8511E"/>
    <w:rsid w:val="07BCEDF6"/>
    <w:rsid w:val="07BF53AE"/>
    <w:rsid w:val="07C1E236"/>
    <w:rsid w:val="07C2D857"/>
    <w:rsid w:val="07CB5090"/>
    <w:rsid w:val="07D4A99A"/>
    <w:rsid w:val="07D5D345"/>
    <w:rsid w:val="07D65067"/>
    <w:rsid w:val="07E03FCA"/>
    <w:rsid w:val="07EA1FCF"/>
    <w:rsid w:val="07ED6512"/>
    <w:rsid w:val="07EDC93F"/>
    <w:rsid w:val="07EE3CCB"/>
    <w:rsid w:val="07EF96BD"/>
    <w:rsid w:val="07F0C63B"/>
    <w:rsid w:val="07F4F2DF"/>
    <w:rsid w:val="07F52C68"/>
    <w:rsid w:val="07F7469E"/>
    <w:rsid w:val="07F7F032"/>
    <w:rsid w:val="07F88025"/>
    <w:rsid w:val="07FA5F26"/>
    <w:rsid w:val="07FC1DE3"/>
    <w:rsid w:val="07FE8B1A"/>
    <w:rsid w:val="07FFEFBC"/>
    <w:rsid w:val="0803B483"/>
    <w:rsid w:val="0803CAF2"/>
    <w:rsid w:val="0804BDB7"/>
    <w:rsid w:val="08067F62"/>
    <w:rsid w:val="0806A83B"/>
    <w:rsid w:val="0809308D"/>
    <w:rsid w:val="0809594D"/>
    <w:rsid w:val="080A4CD6"/>
    <w:rsid w:val="080A6B70"/>
    <w:rsid w:val="080AF7DD"/>
    <w:rsid w:val="080E47DE"/>
    <w:rsid w:val="080F7E17"/>
    <w:rsid w:val="080FCCE8"/>
    <w:rsid w:val="0810EA75"/>
    <w:rsid w:val="08115B5D"/>
    <w:rsid w:val="08124FDA"/>
    <w:rsid w:val="08136E10"/>
    <w:rsid w:val="08145BCD"/>
    <w:rsid w:val="0814638E"/>
    <w:rsid w:val="08168511"/>
    <w:rsid w:val="081DD0AA"/>
    <w:rsid w:val="08234344"/>
    <w:rsid w:val="08238ACA"/>
    <w:rsid w:val="08244AB7"/>
    <w:rsid w:val="0824E75F"/>
    <w:rsid w:val="082C9581"/>
    <w:rsid w:val="08319F7A"/>
    <w:rsid w:val="0832F8BD"/>
    <w:rsid w:val="0834F1D6"/>
    <w:rsid w:val="08371FAA"/>
    <w:rsid w:val="083B8C9E"/>
    <w:rsid w:val="08411276"/>
    <w:rsid w:val="0845F3B4"/>
    <w:rsid w:val="08485745"/>
    <w:rsid w:val="0849E889"/>
    <w:rsid w:val="084B4994"/>
    <w:rsid w:val="085549D1"/>
    <w:rsid w:val="0855743C"/>
    <w:rsid w:val="0856ECAA"/>
    <w:rsid w:val="085A46B5"/>
    <w:rsid w:val="085BC41D"/>
    <w:rsid w:val="085EF54F"/>
    <w:rsid w:val="086795D1"/>
    <w:rsid w:val="08689CAE"/>
    <w:rsid w:val="08693ED7"/>
    <w:rsid w:val="08709976"/>
    <w:rsid w:val="0871C86F"/>
    <w:rsid w:val="0872DE25"/>
    <w:rsid w:val="08737EC4"/>
    <w:rsid w:val="087C24DA"/>
    <w:rsid w:val="087CD719"/>
    <w:rsid w:val="0884B834"/>
    <w:rsid w:val="088964F5"/>
    <w:rsid w:val="0891AA4F"/>
    <w:rsid w:val="0894F270"/>
    <w:rsid w:val="0895DBC9"/>
    <w:rsid w:val="089F336F"/>
    <w:rsid w:val="08A03C53"/>
    <w:rsid w:val="08A2C1D0"/>
    <w:rsid w:val="08A7F9AB"/>
    <w:rsid w:val="08ADA1BE"/>
    <w:rsid w:val="08AE64D3"/>
    <w:rsid w:val="08AE9916"/>
    <w:rsid w:val="08B14FDA"/>
    <w:rsid w:val="08B30950"/>
    <w:rsid w:val="08B30D76"/>
    <w:rsid w:val="08B73E3E"/>
    <w:rsid w:val="08B7A375"/>
    <w:rsid w:val="08BCDA61"/>
    <w:rsid w:val="08BEF7C2"/>
    <w:rsid w:val="08C35C40"/>
    <w:rsid w:val="08C63590"/>
    <w:rsid w:val="08CCF48C"/>
    <w:rsid w:val="08CFE21E"/>
    <w:rsid w:val="08D29191"/>
    <w:rsid w:val="08DBDC9D"/>
    <w:rsid w:val="08DCA4EA"/>
    <w:rsid w:val="08DD80EE"/>
    <w:rsid w:val="08E1E3AE"/>
    <w:rsid w:val="08E52335"/>
    <w:rsid w:val="08EB8E3A"/>
    <w:rsid w:val="08F23681"/>
    <w:rsid w:val="08F2B031"/>
    <w:rsid w:val="08F35A2F"/>
    <w:rsid w:val="08F81FF4"/>
    <w:rsid w:val="08FAEA18"/>
    <w:rsid w:val="08FF8867"/>
    <w:rsid w:val="09053D00"/>
    <w:rsid w:val="09062F4F"/>
    <w:rsid w:val="090910BE"/>
    <w:rsid w:val="0909218B"/>
    <w:rsid w:val="090958BE"/>
    <w:rsid w:val="090ADEB5"/>
    <w:rsid w:val="090F07DF"/>
    <w:rsid w:val="090F193A"/>
    <w:rsid w:val="090FDE73"/>
    <w:rsid w:val="0910EB0E"/>
    <w:rsid w:val="0911624F"/>
    <w:rsid w:val="09136C49"/>
    <w:rsid w:val="09170D62"/>
    <w:rsid w:val="091AD260"/>
    <w:rsid w:val="092395B3"/>
    <w:rsid w:val="0923D1CC"/>
    <w:rsid w:val="092C682F"/>
    <w:rsid w:val="092DB95F"/>
    <w:rsid w:val="09393F88"/>
    <w:rsid w:val="093A8F3C"/>
    <w:rsid w:val="093B2EB9"/>
    <w:rsid w:val="093BEDCB"/>
    <w:rsid w:val="093E9563"/>
    <w:rsid w:val="09458F67"/>
    <w:rsid w:val="0949D96E"/>
    <w:rsid w:val="094CDC1F"/>
    <w:rsid w:val="0956C0BA"/>
    <w:rsid w:val="095815CB"/>
    <w:rsid w:val="095C94AC"/>
    <w:rsid w:val="09620F49"/>
    <w:rsid w:val="09630935"/>
    <w:rsid w:val="096360A4"/>
    <w:rsid w:val="0963EB3F"/>
    <w:rsid w:val="09642481"/>
    <w:rsid w:val="096912A2"/>
    <w:rsid w:val="096F654E"/>
    <w:rsid w:val="0970EA20"/>
    <w:rsid w:val="09715BB6"/>
    <w:rsid w:val="097422E9"/>
    <w:rsid w:val="09750B08"/>
    <w:rsid w:val="097D7D21"/>
    <w:rsid w:val="097E1A22"/>
    <w:rsid w:val="097EE72A"/>
    <w:rsid w:val="098221D2"/>
    <w:rsid w:val="098A781B"/>
    <w:rsid w:val="099365F7"/>
    <w:rsid w:val="09936A1D"/>
    <w:rsid w:val="09985584"/>
    <w:rsid w:val="0999210E"/>
    <w:rsid w:val="099AE0D9"/>
    <w:rsid w:val="099B0CCA"/>
    <w:rsid w:val="099E7499"/>
    <w:rsid w:val="09A29586"/>
    <w:rsid w:val="09A35381"/>
    <w:rsid w:val="09AA70A8"/>
    <w:rsid w:val="09B01864"/>
    <w:rsid w:val="09B39AB5"/>
    <w:rsid w:val="09B7DB56"/>
    <w:rsid w:val="09BDF4F7"/>
    <w:rsid w:val="09BEAADE"/>
    <w:rsid w:val="09C27300"/>
    <w:rsid w:val="09C3D312"/>
    <w:rsid w:val="09C90636"/>
    <w:rsid w:val="09D3B621"/>
    <w:rsid w:val="09D6EC6E"/>
    <w:rsid w:val="09D81D0D"/>
    <w:rsid w:val="09DD68D3"/>
    <w:rsid w:val="09E4A2DF"/>
    <w:rsid w:val="09E660BA"/>
    <w:rsid w:val="09E81A91"/>
    <w:rsid w:val="09ECB754"/>
    <w:rsid w:val="09F22DC8"/>
    <w:rsid w:val="09F237F3"/>
    <w:rsid w:val="09F3DA13"/>
    <w:rsid w:val="09FA118C"/>
    <w:rsid w:val="09FDA51F"/>
    <w:rsid w:val="09FEC968"/>
    <w:rsid w:val="09FFAF00"/>
    <w:rsid w:val="0A045952"/>
    <w:rsid w:val="0A052963"/>
    <w:rsid w:val="0A06774E"/>
    <w:rsid w:val="0A07D488"/>
    <w:rsid w:val="0A094DE0"/>
    <w:rsid w:val="0A09F315"/>
    <w:rsid w:val="0A0B0D57"/>
    <w:rsid w:val="0A0D6750"/>
    <w:rsid w:val="0A0D6E62"/>
    <w:rsid w:val="0A14DF58"/>
    <w:rsid w:val="0A15400C"/>
    <w:rsid w:val="0A15B16F"/>
    <w:rsid w:val="0A16AFA4"/>
    <w:rsid w:val="0A1C708E"/>
    <w:rsid w:val="0A1EAE2D"/>
    <w:rsid w:val="0A207CB3"/>
    <w:rsid w:val="0A25EAD8"/>
    <w:rsid w:val="0A2F0C66"/>
    <w:rsid w:val="0A3177EB"/>
    <w:rsid w:val="0A37AC04"/>
    <w:rsid w:val="0A3EEE02"/>
    <w:rsid w:val="0A40907E"/>
    <w:rsid w:val="0A41A1CF"/>
    <w:rsid w:val="0A41FC68"/>
    <w:rsid w:val="0A427CD2"/>
    <w:rsid w:val="0A431A8F"/>
    <w:rsid w:val="0A4350E8"/>
    <w:rsid w:val="0A46F3FF"/>
    <w:rsid w:val="0A4E1CAA"/>
    <w:rsid w:val="0A527516"/>
    <w:rsid w:val="0A5BD63B"/>
    <w:rsid w:val="0A607172"/>
    <w:rsid w:val="0A6378A8"/>
    <w:rsid w:val="0A6CBBF0"/>
    <w:rsid w:val="0A6FF15E"/>
    <w:rsid w:val="0A703F71"/>
    <w:rsid w:val="0A79F58A"/>
    <w:rsid w:val="0A82EF40"/>
    <w:rsid w:val="0A848E43"/>
    <w:rsid w:val="0A8A6E67"/>
    <w:rsid w:val="0A8D6707"/>
    <w:rsid w:val="0A8EA968"/>
    <w:rsid w:val="0A91070E"/>
    <w:rsid w:val="0A926683"/>
    <w:rsid w:val="0A95E1A6"/>
    <w:rsid w:val="0A964CF1"/>
    <w:rsid w:val="0A9B6664"/>
    <w:rsid w:val="0A9C2CEC"/>
    <w:rsid w:val="0AA88ABE"/>
    <w:rsid w:val="0AACC70E"/>
    <w:rsid w:val="0AAFACED"/>
    <w:rsid w:val="0AB0CCCA"/>
    <w:rsid w:val="0AB1FFFD"/>
    <w:rsid w:val="0AB4CF0D"/>
    <w:rsid w:val="0AB50179"/>
    <w:rsid w:val="0AB50CA5"/>
    <w:rsid w:val="0ABC53D9"/>
    <w:rsid w:val="0AC3DE49"/>
    <w:rsid w:val="0AC6AAD0"/>
    <w:rsid w:val="0AC78CF4"/>
    <w:rsid w:val="0AC98904"/>
    <w:rsid w:val="0AC99E21"/>
    <w:rsid w:val="0ACF8011"/>
    <w:rsid w:val="0AD0042D"/>
    <w:rsid w:val="0AD94366"/>
    <w:rsid w:val="0AD9BB52"/>
    <w:rsid w:val="0ADCF50F"/>
    <w:rsid w:val="0AE14766"/>
    <w:rsid w:val="0AE28AFA"/>
    <w:rsid w:val="0AE4745F"/>
    <w:rsid w:val="0AE480C0"/>
    <w:rsid w:val="0AE5D545"/>
    <w:rsid w:val="0AE71B52"/>
    <w:rsid w:val="0AEBCBD3"/>
    <w:rsid w:val="0AEBD893"/>
    <w:rsid w:val="0AF033A8"/>
    <w:rsid w:val="0AF0D900"/>
    <w:rsid w:val="0AF2E63F"/>
    <w:rsid w:val="0AF2FB8C"/>
    <w:rsid w:val="0AF98B35"/>
    <w:rsid w:val="0AFF85CC"/>
    <w:rsid w:val="0AFF94DE"/>
    <w:rsid w:val="0B007518"/>
    <w:rsid w:val="0B00DE14"/>
    <w:rsid w:val="0B00F13F"/>
    <w:rsid w:val="0B021599"/>
    <w:rsid w:val="0B037516"/>
    <w:rsid w:val="0B06382A"/>
    <w:rsid w:val="0B07D4A8"/>
    <w:rsid w:val="0B0F325E"/>
    <w:rsid w:val="0B0FBCB5"/>
    <w:rsid w:val="0B0FE485"/>
    <w:rsid w:val="0B1532CE"/>
    <w:rsid w:val="0B15928D"/>
    <w:rsid w:val="0B175BD7"/>
    <w:rsid w:val="0B1D970D"/>
    <w:rsid w:val="0B20394F"/>
    <w:rsid w:val="0B252054"/>
    <w:rsid w:val="0B26AC72"/>
    <w:rsid w:val="0B26B953"/>
    <w:rsid w:val="0B2A1B2F"/>
    <w:rsid w:val="0B30705D"/>
    <w:rsid w:val="0B3C75EB"/>
    <w:rsid w:val="0B3D8C67"/>
    <w:rsid w:val="0B3F454F"/>
    <w:rsid w:val="0B45B06A"/>
    <w:rsid w:val="0B4785C2"/>
    <w:rsid w:val="0B48B30C"/>
    <w:rsid w:val="0B4B6BBB"/>
    <w:rsid w:val="0B4CB0BF"/>
    <w:rsid w:val="0B51CA5C"/>
    <w:rsid w:val="0B52BC4F"/>
    <w:rsid w:val="0B55CDCE"/>
    <w:rsid w:val="0B56C9D6"/>
    <w:rsid w:val="0B5F31FA"/>
    <w:rsid w:val="0B6FEB6B"/>
    <w:rsid w:val="0B724A87"/>
    <w:rsid w:val="0B73466F"/>
    <w:rsid w:val="0B820E37"/>
    <w:rsid w:val="0B868F6B"/>
    <w:rsid w:val="0B8798B4"/>
    <w:rsid w:val="0B887658"/>
    <w:rsid w:val="0B8A40EC"/>
    <w:rsid w:val="0B8CC04E"/>
    <w:rsid w:val="0B8E20EA"/>
    <w:rsid w:val="0B8F62FB"/>
    <w:rsid w:val="0B90F756"/>
    <w:rsid w:val="0B940C27"/>
    <w:rsid w:val="0B968E14"/>
    <w:rsid w:val="0B9985BC"/>
    <w:rsid w:val="0B9A29E4"/>
    <w:rsid w:val="0B9C2EBA"/>
    <w:rsid w:val="0B9CCA5B"/>
    <w:rsid w:val="0BA2A932"/>
    <w:rsid w:val="0BA83BFA"/>
    <w:rsid w:val="0BB41452"/>
    <w:rsid w:val="0BB4746C"/>
    <w:rsid w:val="0BB47A6D"/>
    <w:rsid w:val="0BB5BA3E"/>
    <w:rsid w:val="0BBB4D44"/>
    <w:rsid w:val="0BBBDDC2"/>
    <w:rsid w:val="0BBF8799"/>
    <w:rsid w:val="0BC0343A"/>
    <w:rsid w:val="0BC086AA"/>
    <w:rsid w:val="0BC37062"/>
    <w:rsid w:val="0BC3C556"/>
    <w:rsid w:val="0BC4E280"/>
    <w:rsid w:val="0BC56831"/>
    <w:rsid w:val="0BC60E22"/>
    <w:rsid w:val="0BC76C2D"/>
    <w:rsid w:val="0BCAB2F1"/>
    <w:rsid w:val="0BCCFAD1"/>
    <w:rsid w:val="0BCE331C"/>
    <w:rsid w:val="0BD009F1"/>
    <w:rsid w:val="0BD6EEA9"/>
    <w:rsid w:val="0BD91CC6"/>
    <w:rsid w:val="0BDB07CB"/>
    <w:rsid w:val="0BDBDC83"/>
    <w:rsid w:val="0BE0B4D6"/>
    <w:rsid w:val="0BE16105"/>
    <w:rsid w:val="0BE2090F"/>
    <w:rsid w:val="0BE3FA37"/>
    <w:rsid w:val="0BE5895C"/>
    <w:rsid w:val="0BE6C27D"/>
    <w:rsid w:val="0BE9D596"/>
    <w:rsid w:val="0BEA815C"/>
    <w:rsid w:val="0BEE0BEF"/>
    <w:rsid w:val="0BEF82F8"/>
    <w:rsid w:val="0BF88097"/>
    <w:rsid w:val="0BFAE1F8"/>
    <w:rsid w:val="0BFC7445"/>
    <w:rsid w:val="0BFF0E39"/>
    <w:rsid w:val="0C02970B"/>
    <w:rsid w:val="0C0764AD"/>
    <w:rsid w:val="0C08E58D"/>
    <w:rsid w:val="0C0D6D75"/>
    <w:rsid w:val="0C118B21"/>
    <w:rsid w:val="0C139E9A"/>
    <w:rsid w:val="0C155A1C"/>
    <w:rsid w:val="0C1A0911"/>
    <w:rsid w:val="0C1EA115"/>
    <w:rsid w:val="0C2368BF"/>
    <w:rsid w:val="0C25B08F"/>
    <w:rsid w:val="0C2860F3"/>
    <w:rsid w:val="0C29D2EB"/>
    <w:rsid w:val="0C2ACC55"/>
    <w:rsid w:val="0C33D54C"/>
    <w:rsid w:val="0C3BA6ED"/>
    <w:rsid w:val="0C3F30D7"/>
    <w:rsid w:val="0C44919C"/>
    <w:rsid w:val="0C4D4CD5"/>
    <w:rsid w:val="0C4D8BCD"/>
    <w:rsid w:val="0C51A992"/>
    <w:rsid w:val="0C575F57"/>
    <w:rsid w:val="0C597926"/>
    <w:rsid w:val="0C5B8B38"/>
    <w:rsid w:val="0C5CE726"/>
    <w:rsid w:val="0C61388C"/>
    <w:rsid w:val="0C6641D1"/>
    <w:rsid w:val="0C687692"/>
    <w:rsid w:val="0C68836F"/>
    <w:rsid w:val="0C6E4C35"/>
    <w:rsid w:val="0C70C12E"/>
    <w:rsid w:val="0C7BD319"/>
    <w:rsid w:val="0C7E29DA"/>
    <w:rsid w:val="0C81B8A7"/>
    <w:rsid w:val="0C87A836"/>
    <w:rsid w:val="0C8BEEA1"/>
    <w:rsid w:val="0C9092B3"/>
    <w:rsid w:val="0C91FCD0"/>
    <w:rsid w:val="0CA178F6"/>
    <w:rsid w:val="0CA33EEA"/>
    <w:rsid w:val="0CA9110A"/>
    <w:rsid w:val="0CA9F717"/>
    <w:rsid w:val="0CB4EB63"/>
    <w:rsid w:val="0CC021BD"/>
    <w:rsid w:val="0CC06B38"/>
    <w:rsid w:val="0CC2B2D0"/>
    <w:rsid w:val="0CC78A30"/>
    <w:rsid w:val="0CC79F54"/>
    <w:rsid w:val="0CCF3F90"/>
    <w:rsid w:val="0CD6DFA9"/>
    <w:rsid w:val="0CE2B624"/>
    <w:rsid w:val="0CE424E8"/>
    <w:rsid w:val="0CE5009C"/>
    <w:rsid w:val="0CE8921A"/>
    <w:rsid w:val="0CE91FC3"/>
    <w:rsid w:val="0CE99D66"/>
    <w:rsid w:val="0CEAC8BA"/>
    <w:rsid w:val="0CEC6983"/>
    <w:rsid w:val="0CF51D32"/>
    <w:rsid w:val="0CFDC63E"/>
    <w:rsid w:val="0D00DF8C"/>
    <w:rsid w:val="0D02DFCA"/>
    <w:rsid w:val="0D05071B"/>
    <w:rsid w:val="0D0876EB"/>
    <w:rsid w:val="0D09F35F"/>
    <w:rsid w:val="0D0AE591"/>
    <w:rsid w:val="0D0C412E"/>
    <w:rsid w:val="0D0DD549"/>
    <w:rsid w:val="0D12C180"/>
    <w:rsid w:val="0D144AB7"/>
    <w:rsid w:val="0D153B7F"/>
    <w:rsid w:val="0D171018"/>
    <w:rsid w:val="0D17B1F3"/>
    <w:rsid w:val="0D1E0EB9"/>
    <w:rsid w:val="0D1FBBD6"/>
    <w:rsid w:val="0D22FB03"/>
    <w:rsid w:val="0D23E7B4"/>
    <w:rsid w:val="0D24EF40"/>
    <w:rsid w:val="0D28C2F9"/>
    <w:rsid w:val="0D2F2623"/>
    <w:rsid w:val="0D2F6D5B"/>
    <w:rsid w:val="0D30C036"/>
    <w:rsid w:val="0D3438C8"/>
    <w:rsid w:val="0D38BCCA"/>
    <w:rsid w:val="0D39F903"/>
    <w:rsid w:val="0D3BDEA9"/>
    <w:rsid w:val="0D3D7BE9"/>
    <w:rsid w:val="0D3E4710"/>
    <w:rsid w:val="0D3ED9D1"/>
    <w:rsid w:val="0D40C654"/>
    <w:rsid w:val="0D41D86D"/>
    <w:rsid w:val="0D4770CB"/>
    <w:rsid w:val="0D4F127B"/>
    <w:rsid w:val="0D55AD7E"/>
    <w:rsid w:val="0D55E963"/>
    <w:rsid w:val="0D55EC09"/>
    <w:rsid w:val="0D56F3E3"/>
    <w:rsid w:val="0D5EFAE5"/>
    <w:rsid w:val="0D5F5A2A"/>
    <w:rsid w:val="0D64002C"/>
    <w:rsid w:val="0D66AB94"/>
    <w:rsid w:val="0D6788D6"/>
    <w:rsid w:val="0D6BF0F4"/>
    <w:rsid w:val="0D6F7557"/>
    <w:rsid w:val="0D6F884C"/>
    <w:rsid w:val="0D6F9A5E"/>
    <w:rsid w:val="0D7243A4"/>
    <w:rsid w:val="0D72769C"/>
    <w:rsid w:val="0D743581"/>
    <w:rsid w:val="0D74AEC4"/>
    <w:rsid w:val="0D751DFB"/>
    <w:rsid w:val="0D761275"/>
    <w:rsid w:val="0D77787B"/>
    <w:rsid w:val="0D842285"/>
    <w:rsid w:val="0D861D6A"/>
    <w:rsid w:val="0D87A988"/>
    <w:rsid w:val="0D87AE6C"/>
    <w:rsid w:val="0D88D61A"/>
    <w:rsid w:val="0D8AB5A2"/>
    <w:rsid w:val="0D94E363"/>
    <w:rsid w:val="0D97BB7A"/>
    <w:rsid w:val="0D99D96F"/>
    <w:rsid w:val="0D9CF301"/>
    <w:rsid w:val="0DA11E41"/>
    <w:rsid w:val="0DA4B951"/>
    <w:rsid w:val="0DA60F4F"/>
    <w:rsid w:val="0DAADE5E"/>
    <w:rsid w:val="0DAB6228"/>
    <w:rsid w:val="0DABAFF5"/>
    <w:rsid w:val="0DAFB0E4"/>
    <w:rsid w:val="0DB0954E"/>
    <w:rsid w:val="0DB9A7E5"/>
    <w:rsid w:val="0DBBA48A"/>
    <w:rsid w:val="0DBCAB2E"/>
    <w:rsid w:val="0DBE5821"/>
    <w:rsid w:val="0DC2D695"/>
    <w:rsid w:val="0DC52FC5"/>
    <w:rsid w:val="0DC5945A"/>
    <w:rsid w:val="0DC64495"/>
    <w:rsid w:val="0DC70675"/>
    <w:rsid w:val="0DC7B4BB"/>
    <w:rsid w:val="0DC7C7F5"/>
    <w:rsid w:val="0DCF0F21"/>
    <w:rsid w:val="0DD146F2"/>
    <w:rsid w:val="0DDC30EC"/>
    <w:rsid w:val="0DDFC377"/>
    <w:rsid w:val="0DE53BFE"/>
    <w:rsid w:val="0DE5A577"/>
    <w:rsid w:val="0DE79EEB"/>
    <w:rsid w:val="0DEFBF0C"/>
    <w:rsid w:val="0DF49BC5"/>
    <w:rsid w:val="0DF6A240"/>
    <w:rsid w:val="0DFCE525"/>
    <w:rsid w:val="0DFDC393"/>
    <w:rsid w:val="0E009172"/>
    <w:rsid w:val="0E018007"/>
    <w:rsid w:val="0E048E4F"/>
    <w:rsid w:val="0E0524BF"/>
    <w:rsid w:val="0E063FE4"/>
    <w:rsid w:val="0E07AAA1"/>
    <w:rsid w:val="0E081C3A"/>
    <w:rsid w:val="0E093B88"/>
    <w:rsid w:val="0E0AAB0B"/>
    <w:rsid w:val="0E0B85AC"/>
    <w:rsid w:val="0E1289D7"/>
    <w:rsid w:val="0E16F5EC"/>
    <w:rsid w:val="0E297A9D"/>
    <w:rsid w:val="0E2B5881"/>
    <w:rsid w:val="0E2D17DE"/>
    <w:rsid w:val="0E32C025"/>
    <w:rsid w:val="0E33D327"/>
    <w:rsid w:val="0E3AB9C5"/>
    <w:rsid w:val="0E3B1ABA"/>
    <w:rsid w:val="0E3D7BE6"/>
    <w:rsid w:val="0E3F9A97"/>
    <w:rsid w:val="0E437139"/>
    <w:rsid w:val="0E4BE387"/>
    <w:rsid w:val="0E4EE136"/>
    <w:rsid w:val="0E50C368"/>
    <w:rsid w:val="0E524675"/>
    <w:rsid w:val="0E5316DB"/>
    <w:rsid w:val="0E5A8675"/>
    <w:rsid w:val="0E60E8D8"/>
    <w:rsid w:val="0E6D5410"/>
    <w:rsid w:val="0E728934"/>
    <w:rsid w:val="0E766B32"/>
    <w:rsid w:val="0E7756E0"/>
    <w:rsid w:val="0E787802"/>
    <w:rsid w:val="0E7B1E58"/>
    <w:rsid w:val="0E7B5C40"/>
    <w:rsid w:val="0E7D8D8A"/>
    <w:rsid w:val="0E7F64F9"/>
    <w:rsid w:val="0E7F6BF5"/>
    <w:rsid w:val="0E855BDC"/>
    <w:rsid w:val="0E8DF760"/>
    <w:rsid w:val="0E903CD3"/>
    <w:rsid w:val="0E9328B8"/>
    <w:rsid w:val="0E932BAB"/>
    <w:rsid w:val="0E940AC8"/>
    <w:rsid w:val="0E9550EF"/>
    <w:rsid w:val="0E969302"/>
    <w:rsid w:val="0E997401"/>
    <w:rsid w:val="0E9C5B0F"/>
    <w:rsid w:val="0E9D1288"/>
    <w:rsid w:val="0EA0F6BF"/>
    <w:rsid w:val="0EA66B18"/>
    <w:rsid w:val="0EA8F43F"/>
    <w:rsid w:val="0EA958BC"/>
    <w:rsid w:val="0EAC5080"/>
    <w:rsid w:val="0EAD14F4"/>
    <w:rsid w:val="0EAE9571"/>
    <w:rsid w:val="0EAF1F7F"/>
    <w:rsid w:val="0EB7F63F"/>
    <w:rsid w:val="0EB868B0"/>
    <w:rsid w:val="0EC07B8B"/>
    <w:rsid w:val="0EC0EEB1"/>
    <w:rsid w:val="0EC686CB"/>
    <w:rsid w:val="0ECCEB69"/>
    <w:rsid w:val="0ED07F5A"/>
    <w:rsid w:val="0ED27554"/>
    <w:rsid w:val="0EDAA85D"/>
    <w:rsid w:val="0EDB6A8E"/>
    <w:rsid w:val="0EDC2AB3"/>
    <w:rsid w:val="0EE362CF"/>
    <w:rsid w:val="0EE54F7F"/>
    <w:rsid w:val="0EE56F96"/>
    <w:rsid w:val="0EE9967F"/>
    <w:rsid w:val="0EEB8BCC"/>
    <w:rsid w:val="0EEBA085"/>
    <w:rsid w:val="0EEE7AC6"/>
    <w:rsid w:val="0EF01A0B"/>
    <w:rsid w:val="0EF31627"/>
    <w:rsid w:val="0EF7B6D4"/>
    <w:rsid w:val="0EFC22CF"/>
    <w:rsid w:val="0F01FFB4"/>
    <w:rsid w:val="0F04EE9E"/>
    <w:rsid w:val="0F0572E9"/>
    <w:rsid w:val="0F069821"/>
    <w:rsid w:val="0F0B22CE"/>
    <w:rsid w:val="0F0C4421"/>
    <w:rsid w:val="0F11E464"/>
    <w:rsid w:val="0F142B33"/>
    <w:rsid w:val="0F159199"/>
    <w:rsid w:val="0F1606F6"/>
    <w:rsid w:val="0F19BC15"/>
    <w:rsid w:val="0F1A6F93"/>
    <w:rsid w:val="0F1B5562"/>
    <w:rsid w:val="0F1C15CA"/>
    <w:rsid w:val="0F1DF5E1"/>
    <w:rsid w:val="0F206E6B"/>
    <w:rsid w:val="0F21A9F8"/>
    <w:rsid w:val="0F21EEB1"/>
    <w:rsid w:val="0F22B120"/>
    <w:rsid w:val="0F24D852"/>
    <w:rsid w:val="0F2B07C0"/>
    <w:rsid w:val="0F2D83EA"/>
    <w:rsid w:val="0F2F1BF1"/>
    <w:rsid w:val="0F33123F"/>
    <w:rsid w:val="0F33C53E"/>
    <w:rsid w:val="0F382983"/>
    <w:rsid w:val="0F3C45F6"/>
    <w:rsid w:val="0F45214D"/>
    <w:rsid w:val="0F48F260"/>
    <w:rsid w:val="0F4B2739"/>
    <w:rsid w:val="0F4DCDE5"/>
    <w:rsid w:val="0F4E45C4"/>
    <w:rsid w:val="0F509ABE"/>
    <w:rsid w:val="0F514BBF"/>
    <w:rsid w:val="0F527C13"/>
    <w:rsid w:val="0F5CDF47"/>
    <w:rsid w:val="0F5D2F41"/>
    <w:rsid w:val="0F61C2E2"/>
    <w:rsid w:val="0F640206"/>
    <w:rsid w:val="0F6558F0"/>
    <w:rsid w:val="0F6A2172"/>
    <w:rsid w:val="0F6A6B52"/>
    <w:rsid w:val="0F6CB723"/>
    <w:rsid w:val="0F716D4A"/>
    <w:rsid w:val="0F75DAF8"/>
    <w:rsid w:val="0F765A2A"/>
    <w:rsid w:val="0F7677BF"/>
    <w:rsid w:val="0F771ACF"/>
    <w:rsid w:val="0F8230FB"/>
    <w:rsid w:val="0F828D9A"/>
    <w:rsid w:val="0F87EF6D"/>
    <w:rsid w:val="0F889749"/>
    <w:rsid w:val="0F900089"/>
    <w:rsid w:val="0F90CED5"/>
    <w:rsid w:val="0F91BF0C"/>
    <w:rsid w:val="0F968612"/>
    <w:rsid w:val="0F9759F7"/>
    <w:rsid w:val="0F99A5A9"/>
    <w:rsid w:val="0F9C4673"/>
    <w:rsid w:val="0F9C7C15"/>
    <w:rsid w:val="0F9EAFD7"/>
    <w:rsid w:val="0F9F63A1"/>
    <w:rsid w:val="0FA06DB9"/>
    <w:rsid w:val="0FA23341"/>
    <w:rsid w:val="0FA6103B"/>
    <w:rsid w:val="0FB13590"/>
    <w:rsid w:val="0FB32A87"/>
    <w:rsid w:val="0FB573AF"/>
    <w:rsid w:val="0FB9F6CE"/>
    <w:rsid w:val="0FBF5F3E"/>
    <w:rsid w:val="0FC100E5"/>
    <w:rsid w:val="0FC5DF59"/>
    <w:rsid w:val="0FC64532"/>
    <w:rsid w:val="0FC6D6EF"/>
    <w:rsid w:val="0FCCDA6E"/>
    <w:rsid w:val="0FCD8DD2"/>
    <w:rsid w:val="0FCE2928"/>
    <w:rsid w:val="0FD0E8F4"/>
    <w:rsid w:val="0FD204A7"/>
    <w:rsid w:val="0FD5539B"/>
    <w:rsid w:val="0FD9518D"/>
    <w:rsid w:val="0FD958CD"/>
    <w:rsid w:val="0FDB0477"/>
    <w:rsid w:val="0FDB8961"/>
    <w:rsid w:val="0FE16A07"/>
    <w:rsid w:val="0FE28461"/>
    <w:rsid w:val="0FE5F5E1"/>
    <w:rsid w:val="0FE7983F"/>
    <w:rsid w:val="0FE7ECA2"/>
    <w:rsid w:val="0FE8FD2B"/>
    <w:rsid w:val="0FE9959D"/>
    <w:rsid w:val="0FEB6CB6"/>
    <w:rsid w:val="0FEC645F"/>
    <w:rsid w:val="0FF4763B"/>
    <w:rsid w:val="0FFCA25C"/>
    <w:rsid w:val="0FFD3082"/>
    <w:rsid w:val="0FFDF249"/>
    <w:rsid w:val="1001CBB4"/>
    <w:rsid w:val="10061F60"/>
    <w:rsid w:val="1006C5C7"/>
    <w:rsid w:val="10101C59"/>
    <w:rsid w:val="1019AE72"/>
    <w:rsid w:val="101D7980"/>
    <w:rsid w:val="10222BFE"/>
    <w:rsid w:val="10237D4B"/>
    <w:rsid w:val="102464B4"/>
    <w:rsid w:val="1025714B"/>
    <w:rsid w:val="10259214"/>
    <w:rsid w:val="1026D73D"/>
    <w:rsid w:val="1028ABCB"/>
    <w:rsid w:val="102B6858"/>
    <w:rsid w:val="103A2D34"/>
    <w:rsid w:val="103C6E6D"/>
    <w:rsid w:val="103CEFAC"/>
    <w:rsid w:val="1043E316"/>
    <w:rsid w:val="1043ECEA"/>
    <w:rsid w:val="1046DCDE"/>
    <w:rsid w:val="1049CCC9"/>
    <w:rsid w:val="104A023C"/>
    <w:rsid w:val="104A3EC5"/>
    <w:rsid w:val="104A6F02"/>
    <w:rsid w:val="104B0B70"/>
    <w:rsid w:val="104DE4BC"/>
    <w:rsid w:val="104E4EEF"/>
    <w:rsid w:val="104EECE4"/>
    <w:rsid w:val="1055B8B6"/>
    <w:rsid w:val="1057A35B"/>
    <w:rsid w:val="1059E760"/>
    <w:rsid w:val="105A68FF"/>
    <w:rsid w:val="106935D2"/>
    <w:rsid w:val="106AA3FE"/>
    <w:rsid w:val="106B2B75"/>
    <w:rsid w:val="106D952C"/>
    <w:rsid w:val="106DE92B"/>
    <w:rsid w:val="1072CBB4"/>
    <w:rsid w:val="10750F87"/>
    <w:rsid w:val="107E7420"/>
    <w:rsid w:val="10801C6F"/>
    <w:rsid w:val="10806B33"/>
    <w:rsid w:val="1080F46A"/>
    <w:rsid w:val="10814A0C"/>
    <w:rsid w:val="1084E335"/>
    <w:rsid w:val="1087F254"/>
    <w:rsid w:val="108891A8"/>
    <w:rsid w:val="10952A0C"/>
    <w:rsid w:val="1095389C"/>
    <w:rsid w:val="10976099"/>
    <w:rsid w:val="10A0D6C6"/>
    <w:rsid w:val="10A16556"/>
    <w:rsid w:val="10A6D63F"/>
    <w:rsid w:val="10A734E3"/>
    <w:rsid w:val="10AA91C0"/>
    <w:rsid w:val="10AC3CF0"/>
    <w:rsid w:val="10AF0479"/>
    <w:rsid w:val="10B5663A"/>
    <w:rsid w:val="10BB2AB2"/>
    <w:rsid w:val="10BCFB05"/>
    <w:rsid w:val="10BD7F6B"/>
    <w:rsid w:val="10C048F5"/>
    <w:rsid w:val="10C2D0CF"/>
    <w:rsid w:val="10C4ED9F"/>
    <w:rsid w:val="10CCFA85"/>
    <w:rsid w:val="10CFF9ED"/>
    <w:rsid w:val="10D032CC"/>
    <w:rsid w:val="10DB33C0"/>
    <w:rsid w:val="10DB8687"/>
    <w:rsid w:val="10DCD3AE"/>
    <w:rsid w:val="10DDA935"/>
    <w:rsid w:val="10DFD338"/>
    <w:rsid w:val="10E2FA0D"/>
    <w:rsid w:val="10E398FD"/>
    <w:rsid w:val="10E716C8"/>
    <w:rsid w:val="10E79CB1"/>
    <w:rsid w:val="10E981DE"/>
    <w:rsid w:val="10F1720E"/>
    <w:rsid w:val="10F1761A"/>
    <w:rsid w:val="10F3ED8B"/>
    <w:rsid w:val="10F8C6A7"/>
    <w:rsid w:val="10F8F80D"/>
    <w:rsid w:val="10FA7A57"/>
    <w:rsid w:val="10FBF4CC"/>
    <w:rsid w:val="10FDD66F"/>
    <w:rsid w:val="1106D524"/>
    <w:rsid w:val="110A36D4"/>
    <w:rsid w:val="110ACE46"/>
    <w:rsid w:val="110B4889"/>
    <w:rsid w:val="110C25A2"/>
    <w:rsid w:val="110EB045"/>
    <w:rsid w:val="110EDC7D"/>
    <w:rsid w:val="1110B2AE"/>
    <w:rsid w:val="112070BF"/>
    <w:rsid w:val="1124CF61"/>
    <w:rsid w:val="1126896E"/>
    <w:rsid w:val="112A7D42"/>
    <w:rsid w:val="112D4912"/>
    <w:rsid w:val="112D89ED"/>
    <w:rsid w:val="113079FF"/>
    <w:rsid w:val="1131F6E5"/>
    <w:rsid w:val="11342808"/>
    <w:rsid w:val="1136D280"/>
    <w:rsid w:val="11396571"/>
    <w:rsid w:val="113A2C00"/>
    <w:rsid w:val="113AF910"/>
    <w:rsid w:val="114929E7"/>
    <w:rsid w:val="11497294"/>
    <w:rsid w:val="115374A7"/>
    <w:rsid w:val="1153BF3C"/>
    <w:rsid w:val="115605AB"/>
    <w:rsid w:val="115797B8"/>
    <w:rsid w:val="115CD57C"/>
    <w:rsid w:val="115D09F5"/>
    <w:rsid w:val="116870EE"/>
    <w:rsid w:val="116874DE"/>
    <w:rsid w:val="116A818D"/>
    <w:rsid w:val="116BD5DC"/>
    <w:rsid w:val="116D1794"/>
    <w:rsid w:val="116EB81B"/>
    <w:rsid w:val="116F764F"/>
    <w:rsid w:val="116FAA77"/>
    <w:rsid w:val="1170923A"/>
    <w:rsid w:val="1174C8AA"/>
    <w:rsid w:val="1177FA3B"/>
    <w:rsid w:val="11786E58"/>
    <w:rsid w:val="11807D97"/>
    <w:rsid w:val="11825E44"/>
    <w:rsid w:val="1185B121"/>
    <w:rsid w:val="118C98EE"/>
    <w:rsid w:val="11923A83"/>
    <w:rsid w:val="1197B447"/>
    <w:rsid w:val="11989F62"/>
    <w:rsid w:val="119C6D40"/>
    <w:rsid w:val="119C9E7F"/>
    <w:rsid w:val="11A1F26F"/>
    <w:rsid w:val="11A578E2"/>
    <w:rsid w:val="11A58C54"/>
    <w:rsid w:val="11A72737"/>
    <w:rsid w:val="11A85873"/>
    <w:rsid w:val="11A9D9CF"/>
    <w:rsid w:val="11AB32B9"/>
    <w:rsid w:val="11ABB26E"/>
    <w:rsid w:val="11AC7902"/>
    <w:rsid w:val="11B325F9"/>
    <w:rsid w:val="11B4FE06"/>
    <w:rsid w:val="11B56CB9"/>
    <w:rsid w:val="11B8FBF7"/>
    <w:rsid w:val="11BCBD29"/>
    <w:rsid w:val="11C155A9"/>
    <w:rsid w:val="11D72671"/>
    <w:rsid w:val="11D7655A"/>
    <w:rsid w:val="11D7FD44"/>
    <w:rsid w:val="11DA0156"/>
    <w:rsid w:val="11DC814E"/>
    <w:rsid w:val="11DEDC5E"/>
    <w:rsid w:val="11E11E28"/>
    <w:rsid w:val="11E68E7D"/>
    <w:rsid w:val="11E80CE5"/>
    <w:rsid w:val="11ED434E"/>
    <w:rsid w:val="11F2BD46"/>
    <w:rsid w:val="11F56A05"/>
    <w:rsid w:val="11FC09B2"/>
    <w:rsid w:val="11FC0BD4"/>
    <w:rsid w:val="120110B6"/>
    <w:rsid w:val="1202232C"/>
    <w:rsid w:val="12031EB4"/>
    <w:rsid w:val="12034008"/>
    <w:rsid w:val="1204F56C"/>
    <w:rsid w:val="12055C6C"/>
    <w:rsid w:val="12060D1B"/>
    <w:rsid w:val="1206A306"/>
    <w:rsid w:val="1207CC3F"/>
    <w:rsid w:val="120BF5F2"/>
    <w:rsid w:val="1219FEC3"/>
    <w:rsid w:val="121D7C35"/>
    <w:rsid w:val="1221EB75"/>
    <w:rsid w:val="122262B0"/>
    <w:rsid w:val="12253194"/>
    <w:rsid w:val="12256146"/>
    <w:rsid w:val="12271026"/>
    <w:rsid w:val="12283AD3"/>
    <w:rsid w:val="12293450"/>
    <w:rsid w:val="122A8F84"/>
    <w:rsid w:val="122BD77C"/>
    <w:rsid w:val="122C49E4"/>
    <w:rsid w:val="122DD677"/>
    <w:rsid w:val="122DEDD6"/>
    <w:rsid w:val="12361625"/>
    <w:rsid w:val="1239F0C5"/>
    <w:rsid w:val="123DD480"/>
    <w:rsid w:val="124196A9"/>
    <w:rsid w:val="124348A3"/>
    <w:rsid w:val="12464ECE"/>
    <w:rsid w:val="124B013A"/>
    <w:rsid w:val="12545374"/>
    <w:rsid w:val="12555E92"/>
    <w:rsid w:val="12580A10"/>
    <w:rsid w:val="125A8876"/>
    <w:rsid w:val="125C5938"/>
    <w:rsid w:val="125D31E7"/>
    <w:rsid w:val="12605928"/>
    <w:rsid w:val="12708DA1"/>
    <w:rsid w:val="1276FA67"/>
    <w:rsid w:val="127830F3"/>
    <w:rsid w:val="1279F9A0"/>
    <w:rsid w:val="127B3294"/>
    <w:rsid w:val="127C5231"/>
    <w:rsid w:val="127EC51C"/>
    <w:rsid w:val="127FD28C"/>
    <w:rsid w:val="1286681E"/>
    <w:rsid w:val="1288D0C5"/>
    <w:rsid w:val="128A33DA"/>
    <w:rsid w:val="12938D6A"/>
    <w:rsid w:val="129626F7"/>
    <w:rsid w:val="12A066B7"/>
    <w:rsid w:val="12A15A0B"/>
    <w:rsid w:val="12A1EBD6"/>
    <w:rsid w:val="12A6C6EF"/>
    <w:rsid w:val="12A89BCF"/>
    <w:rsid w:val="12AF786C"/>
    <w:rsid w:val="12B32FE9"/>
    <w:rsid w:val="12B34735"/>
    <w:rsid w:val="12B56E63"/>
    <w:rsid w:val="12B8317A"/>
    <w:rsid w:val="12B84F58"/>
    <w:rsid w:val="12B89115"/>
    <w:rsid w:val="12B9D7AB"/>
    <w:rsid w:val="12C4EC0A"/>
    <w:rsid w:val="12C7826C"/>
    <w:rsid w:val="12C83AD7"/>
    <w:rsid w:val="12CB71C8"/>
    <w:rsid w:val="12CC68E9"/>
    <w:rsid w:val="12D13427"/>
    <w:rsid w:val="12D4A6CD"/>
    <w:rsid w:val="12D594F1"/>
    <w:rsid w:val="12D66E77"/>
    <w:rsid w:val="12D81093"/>
    <w:rsid w:val="12E25526"/>
    <w:rsid w:val="12E7C71E"/>
    <w:rsid w:val="12E85950"/>
    <w:rsid w:val="12ED17FA"/>
    <w:rsid w:val="12EFEE0B"/>
    <w:rsid w:val="12F10223"/>
    <w:rsid w:val="12F2D893"/>
    <w:rsid w:val="12F5A5D9"/>
    <w:rsid w:val="12F67723"/>
    <w:rsid w:val="12F80826"/>
    <w:rsid w:val="13014355"/>
    <w:rsid w:val="1301B273"/>
    <w:rsid w:val="1302B4D6"/>
    <w:rsid w:val="1303B314"/>
    <w:rsid w:val="1304F34A"/>
    <w:rsid w:val="13053EA5"/>
    <w:rsid w:val="1305DC1D"/>
    <w:rsid w:val="130925F8"/>
    <w:rsid w:val="13095168"/>
    <w:rsid w:val="1309FD3D"/>
    <w:rsid w:val="130E2625"/>
    <w:rsid w:val="13110427"/>
    <w:rsid w:val="1311D5CA"/>
    <w:rsid w:val="1312B9AC"/>
    <w:rsid w:val="13130763"/>
    <w:rsid w:val="13189B67"/>
    <w:rsid w:val="131CCD31"/>
    <w:rsid w:val="131F23DB"/>
    <w:rsid w:val="1321F983"/>
    <w:rsid w:val="132229AA"/>
    <w:rsid w:val="1329860D"/>
    <w:rsid w:val="132AE028"/>
    <w:rsid w:val="132C9BCE"/>
    <w:rsid w:val="132CD570"/>
    <w:rsid w:val="1333ED32"/>
    <w:rsid w:val="13346CDE"/>
    <w:rsid w:val="1339A8D6"/>
    <w:rsid w:val="133C655C"/>
    <w:rsid w:val="1341E8D9"/>
    <w:rsid w:val="1343C3E9"/>
    <w:rsid w:val="134AFCE9"/>
    <w:rsid w:val="134E5CDE"/>
    <w:rsid w:val="13583F35"/>
    <w:rsid w:val="13621B87"/>
    <w:rsid w:val="13628E99"/>
    <w:rsid w:val="13635C36"/>
    <w:rsid w:val="13655C88"/>
    <w:rsid w:val="1367B0D3"/>
    <w:rsid w:val="13680314"/>
    <w:rsid w:val="136CB45E"/>
    <w:rsid w:val="1375EB27"/>
    <w:rsid w:val="137E39E6"/>
    <w:rsid w:val="1381FC77"/>
    <w:rsid w:val="138A45E9"/>
    <w:rsid w:val="138B0825"/>
    <w:rsid w:val="138CAD47"/>
    <w:rsid w:val="138D8AE0"/>
    <w:rsid w:val="138FE246"/>
    <w:rsid w:val="1390A839"/>
    <w:rsid w:val="1391BBBA"/>
    <w:rsid w:val="139FE97C"/>
    <w:rsid w:val="13A11976"/>
    <w:rsid w:val="13A5DEC7"/>
    <w:rsid w:val="13ACCE83"/>
    <w:rsid w:val="13ACF1ED"/>
    <w:rsid w:val="13AD0E2B"/>
    <w:rsid w:val="13AF10DE"/>
    <w:rsid w:val="13B362A5"/>
    <w:rsid w:val="13B91AD5"/>
    <w:rsid w:val="13B9CC83"/>
    <w:rsid w:val="13BAC4DC"/>
    <w:rsid w:val="13BACD26"/>
    <w:rsid w:val="13BBF042"/>
    <w:rsid w:val="13BE027A"/>
    <w:rsid w:val="13C04755"/>
    <w:rsid w:val="13C12F9A"/>
    <w:rsid w:val="13C639C6"/>
    <w:rsid w:val="13C67B05"/>
    <w:rsid w:val="13CF6866"/>
    <w:rsid w:val="13D7857D"/>
    <w:rsid w:val="13DA3BAC"/>
    <w:rsid w:val="13DAE329"/>
    <w:rsid w:val="13DE57B6"/>
    <w:rsid w:val="13DE7D0C"/>
    <w:rsid w:val="13E0BAC5"/>
    <w:rsid w:val="13E24E55"/>
    <w:rsid w:val="13E9B0C2"/>
    <w:rsid w:val="13EEFC53"/>
    <w:rsid w:val="13EF7896"/>
    <w:rsid w:val="13EF9718"/>
    <w:rsid w:val="13F561BA"/>
    <w:rsid w:val="13F6F916"/>
    <w:rsid w:val="13FFCE34"/>
    <w:rsid w:val="1401D8BB"/>
    <w:rsid w:val="1401DDB7"/>
    <w:rsid w:val="140C7C3D"/>
    <w:rsid w:val="140CF670"/>
    <w:rsid w:val="140DA0B6"/>
    <w:rsid w:val="140F0540"/>
    <w:rsid w:val="140F68D3"/>
    <w:rsid w:val="14101F1E"/>
    <w:rsid w:val="1415AFA0"/>
    <w:rsid w:val="1418F578"/>
    <w:rsid w:val="141DA1BC"/>
    <w:rsid w:val="141F6115"/>
    <w:rsid w:val="1423E167"/>
    <w:rsid w:val="142FBA17"/>
    <w:rsid w:val="144321AE"/>
    <w:rsid w:val="14435515"/>
    <w:rsid w:val="1446EF7A"/>
    <w:rsid w:val="14487EDD"/>
    <w:rsid w:val="144CAC0B"/>
    <w:rsid w:val="1453B1CE"/>
    <w:rsid w:val="145CE527"/>
    <w:rsid w:val="145F4348"/>
    <w:rsid w:val="146304D1"/>
    <w:rsid w:val="146B411B"/>
    <w:rsid w:val="146B4904"/>
    <w:rsid w:val="146B6578"/>
    <w:rsid w:val="146E97C0"/>
    <w:rsid w:val="146ED858"/>
    <w:rsid w:val="146F2F60"/>
    <w:rsid w:val="146F54D4"/>
    <w:rsid w:val="146F984F"/>
    <w:rsid w:val="14752496"/>
    <w:rsid w:val="147B9159"/>
    <w:rsid w:val="147C2916"/>
    <w:rsid w:val="147CD643"/>
    <w:rsid w:val="147F3CCF"/>
    <w:rsid w:val="147FFACB"/>
    <w:rsid w:val="1485A84A"/>
    <w:rsid w:val="1486A9A4"/>
    <w:rsid w:val="148F9C18"/>
    <w:rsid w:val="14986797"/>
    <w:rsid w:val="149996AE"/>
    <w:rsid w:val="1499C881"/>
    <w:rsid w:val="149A8F18"/>
    <w:rsid w:val="149AA982"/>
    <w:rsid w:val="14AA51CA"/>
    <w:rsid w:val="14AC7D01"/>
    <w:rsid w:val="14B0A4D3"/>
    <w:rsid w:val="14B1F377"/>
    <w:rsid w:val="14B2FDCD"/>
    <w:rsid w:val="14B48915"/>
    <w:rsid w:val="14B688B0"/>
    <w:rsid w:val="14B9648A"/>
    <w:rsid w:val="14CA8D10"/>
    <w:rsid w:val="14CE06E5"/>
    <w:rsid w:val="14D71DF7"/>
    <w:rsid w:val="14DD5262"/>
    <w:rsid w:val="14E025F6"/>
    <w:rsid w:val="14E499A9"/>
    <w:rsid w:val="14EB3452"/>
    <w:rsid w:val="14EE67ED"/>
    <w:rsid w:val="14F0E504"/>
    <w:rsid w:val="14F934F8"/>
    <w:rsid w:val="14F9F129"/>
    <w:rsid w:val="14FE93CF"/>
    <w:rsid w:val="1501653D"/>
    <w:rsid w:val="1501CAFF"/>
    <w:rsid w:val="1503FBF7"/>
    <w:rsid w:val="15058B6C"/>
    <w:rsid w:val="150643C6"/>
    <w:rsid w:val="1517EA49"/>
    <w:rsid w:val="1518419D"/>
    <w:rsid w:val="151C04BB"/>
    <w:rsid w:val="151F06C4"/>
    <w:rsid w:val="1520F83A"/>
    <w:rsid w:val="1521A7C4"/>
    <w:rsid w:val="15238742"/>
    <w:rsid w:val="1524245E"/>
    <w:rsid w:val="1524E1CC"/>
    <w:rsid w:val="15262C01"/>
    <w:rsid w:val="152B17B9"/>
    <w:rsid w:val="152C1843"/>
    <w:rsid w:val="153040E9"/>
    <w:rsid w:val="1532C4EA"/>
    <w:rsid w:val="153370B2"/>
    <w:rsid w:val="153614A5"/>
    <w:rsid w:val="15363959"/>
    <w:rsid w:val="15385893"/>
    <w:rsid w:val="1542B0A8"/>
    <w:rsid w:val="1543304F"/>
    <w:rsid w:val="154410D8"/>
    <w:rsid w:val="154780F9"/>
    <w:rsid w:val="154E2E8A"/>
    <w:rsid w:val="1554A42F"/>
    <w:rsid w:val="1558E148"/>
    <w:rsid w:val="155AA7B5"/>
    <w:rsid w:val="155ABE29"/>
    <w:rsid w:val="156336A9"/>
    <w:rsid w:val="1563EAB6"/>
    <w:rsid w:val="15645193"/>
    <w:rsid w:val="156453AB"/>
    <w:rsid w:val="1564E124"/>
    <w:rsid w:val="1566A039"/>
    <w:rsid w:val="15690DA7"/>
    <w:rsid w:val="1569EA1A"/>
    <w:rsid w:val="157D687B"/>
    <w:rsid w:val="157EAA8A"/>
    <w:rsid w:val="157EC740"/>
    <w:rsid w:val="157F310D"/>
    <w:rsid w:val="1582EFEA"/>
    <w:rsid w:val="158A857D"/>
    <w:rsid w:val="158CE040"/>
    <w:rsid w:val="158F1926"/>
    <w:rsid w:val="15907483"/>
    <w:rsid w:val="1595FCAD"/>
    <w:rsid w:val="15994113"/>
    <w:rsid w:val="159B4C3A"/>
    <w:rsid w:val="159BB551"/>
    <w:rsid w:val="15A332AD"/>
    <w:rsid w:val="15A954E2"/>
    <w:rsid w:val="15ADE038"/>
    <w:rsid w:val="15AFA255"/>
    <w:rsid w:val="15AFA947"/>
    <w:rsid w:val="15B11A0E"/>
    <w:rsid w:val="15B16D9E"/>
    <w:rsid w:val="15B6708B"/>
    <w:rsid w:val="15B71B7D"/>
    <w:rsid w:val="15B7EF19"/>
    <w:rsid w:val="15BDFCFD"/>
    <w:rsid w:val="15C5393B"/>
    <w:rsid w:val="15C578DE"/>
    <w:rsid w:val="15CE1D18"/>
    <w:rsid w:val="15D06EE7"/>
    <w:rsid w:val="15D1242A"/>
    <w:rsid w:val="15D2C79C"/>
    <w:rsid w:val="15DF09AE"/>
    <w:rsid w:val="15E22AC1"/>
    <w:rsid w:val="15E5F33B"/>
    <w:rsid w:val="15E61F07"/>
    <w:rsid w:val="15E73F88"/>
    <w:rsid w:val="15ED8F7A"/>
    <w:rsid w:val="15EE9A71"/>
    <w:rsid w:val="15EEE1D0"/>
    <w:rsid w:val="15F818D8"/>
    <w:rsid w:val="15FD760E"/>
    <w:rsid w:val="15FEFCF4"/>
    <w:rsid w:val="16010AA4"/>
    <w:rsid w:val="160255B6"/>
    <w:rsid w:val="1602800A"/>
    <w:rsid w:val="16061336"/>
    <w:rsid w:val="1609A685"/>
    <w:rsid w:val="160AAB45"/>
    <w:rsid w:val="160FBB06"/>
    <w:rsid w:val="160FF076"/>
    <w:rsid w:val="16114170"/>
    <w:rsid w:val="16187996"/>
    <w:rsid w:val="161DA761"/>
    <w:rsid w:val="161FCD8B"/>
    <w:rsid w:val="162CB980"/>
    <w:rsid w:val="162D6978"/>
    <w:rsid w:val="162D7E25"/>
    <w:rsid w:val="162FBF64"/>
    <w:rsid w:val="16307CD8"/>
    <w:rsid w:val="163224C8"/>
    <w:rsid w:val="16348AA7"/>
    <w:rsid w:val="16350135"/>
    <w:rsid w:val="1637D48D"/>
    <w:rsid w:val="163ECCD2"/>
    <w:rsid w:val="16415F61"/>
    <w:rsid w:val="1642C74F"/>
    <w:rsid w:val="164303B9"/>
    <w:rsid w:val="16436EAE"/>
    <w:rsid w:val="16438616"/>
    <w:rsid w:val="164550F2"/>
    <w:rsid w:val="1645819F"/>
    <w:rsid w:val="164691CF"/>
    <w:rsid w:val="1646AA0B"/>
    <w:rsid w:val="164944A3"/>
    <w:rsid w:val="16496A20"/>
    <w:rsid w:val="164C4335"/>
    <w:rsid w:val="164CFE67"/>
    <w:rsid w:val="164D1443"/>
    <w:rsid w:val="165061EC"/>
    <w:rsid w:val="165265DC"/>
    <w:rsid w:val="1659D666"/>
    <w:rsid w:val="165DA524"/>
    <w:rsid w:val="1667C11A"/>
    <w:rsid w:val="1667D131"/>
    <w:rsid w:val="1669E330"/>
    <w:rsid w:val="166B98C1"/>
    <w:rsid w:val="166E02DF"/>
    <w:rsid w:val="166F360A"/>
    <w:rsid w:val="1678824D"/>
    <w:rsid w:val="167A441B"/>
    <w:rsid w:val="167A9233"/>
    <w:rsid w:val="167F42C4"/>
    <w:rsid w:val="167F9D29"/>
    <w:rsid w:val="1680FCA5"/>
    <w:rsid w:val="1681FE8B"/>
    <w:rsid w:val="16848E82"/>
    <w:rsid w:val="1685AF6E"/>
    <w:rsid w:val="1688473E"/>
    <w:rsid w:val="16899544"/>
    <w:rsid w:val="169177EF"/>
    <w:rsid w:val="169C4EAE"/>
    <w:rsid w:val="169C9B44"/>
    <w:rsid w:val="169CE37F"/>
    <w:rsid w:val="169DE7E2"/>
    <w:rsid w:val="16A05B28"/>
    <w:rsid w:val="16A0C2B2"/>
    <w:rsid w:val="16A0D18D"/>
    <w:rsid w:val="16A37971"/>
    <w:rsid w:val="16A3B83D"/>
    <w:rsid w:val="16A5523A"/>
    <w:rsid w:val="16A6FF54"/>
    <w:rsid w:val="16A9719A"/>
    <w:rsid w:val="16AC34B3"/>
    <w:rsid w:val="16AC9609"/>
    <w:rsid w:val="16AD6AA9"/>
    <w:rsid w:val="16ADD3D9"/>
    <w:rsid w:val="16B88DD7"/>
    <w:rsid w:val="16B8B8AE"/>
    <w:rsid w:val="16BA74A3"/>
    <w:rsid w:val="16BB08E7"/>
    <w:rsid w:val="16BBB522"/>
    <w:rsid w:val="16BDF18E"/>
    <w:rsid w:val="16BF4330"/>
    <w:rsid w:val="16C86506"/>
    <w:rsid w:val="16C8BDB0"/>
    <w:rsid w:val="16CB3496"/>
    <w:rsid w:val="16CD51ED"/>
    <w:rsid w:val="16D04367"/>
    <w:rsid w:val="16D9569D"/>
    <w:rsid w:val="16DBA3EA"/>
    <w:rsid w:val="16DBFE74"/>
    <w:rsid w:val="16E65162"/>
    <w:rsid w:val="16E652F4"/>
    <w:rsid w:val="16E9A337"/>
    <w:rsid w:val="16EB9A0B"/>
    <w:rsid w:val="16F5E54A"/>
    <w:rsid w:val="16F5EA51"/>
    <w:rsid w:val="1706A746"/>
    <w:rsid w:val="1709BD26"/>
    <w:rsid w:val="170F3DDE"/>
    <w:rsid w:val="17127A30"/>
    <w:rsid w:val="1712DEF8"/>
    <w:rsid w:val="1718CBBC"/>
    <w:rsid w:val="171EA4BA"/>
    <w:rsid w:val="1724B7D0"/>
    <w:rsid w:val="17268862"/>
    <w:rsid w:val="17299C78"/>
    <w:rsid w:val="172B7D32"/>
    <w:rsid w:val="172DC169"/>
    <w:rsid w:val="172E457E"/>
    <w:rsid w:val="17309E2D"/>
    <w:rsid w:val="1739E864"/>
    <w:rsid w:val="173B34B0"/>
    <w:rsid w:val="173C3202"/>
    <w:rsid w:val="17434F0C"/>
    <w:rsid w:val="1747BBC4"/>
    <w:rsid w:val="1747FE5F"/>
    <w:rsid w:val="174AD399"/>
    <w:rsid w:val="1752EAA4"/>
    <w:rsid w:val="1759385A"/>
    <w:rsid w:val="175F03CA"/>
    <w:rsid w:val="175FA77F"/>
    <w:rsid w:val="176ED1A0"/>
    <w:rsid w:val="17729A73"/>
    <w:rsid w:val="1776694E"/>
    <w:rsid w:val="1779163C"/>
    <w:rsid w:val="1779452D"/>
    <w:rsid w:val="177BA310"/>
    <w:rsid w:val="177E1EA7"/>
    <w:rsid w:val="17802819"/>
    <w:rsid w:val="178120B9"/>
    <w:rsid w:val="178250DF"/>
    <w:rsid w:val="178540AE"/>
    <w:rsid w:val="178B68D4"/>
    <w:rsid w:val="1795A2AF"/>
    <w:rsid w:val="1797B81D"/>
    <w:rsid w:val="179977C8"/>
    <w:rsid w:val="179E4385"/>
    <w:rsid w:val="17A036EC"/>
    <w:rsid w:val="17A39F5C"/>
    <w:rsid w:val="17A44505"/>
    <w:rsid w:val="17A6FE7B"/>
    <w:rsid w:val="17A99724"/>
    <w:rsid w:val="17AEAB6C"/>
    <w:rsid w:val="17B2AC27"/>
    <w:rsid w:val="17B76660"/>
    <w:rsid w:val="17B8B8AE"/>
    <w:rsid w:val="17BCCC06"/>
    <w:rsid w:val="17C16584"/>
    <w:rsid w:val="17C6C84F"/>
    <w:rsid w:val="17C8566E"/>
    <w:rsid w:val="17C8C59A"/>
    <w:rsid w:val="17C98A8F"/>
    <w:rsid w:val="17C9B719"/>
    <w:rsid w:val="17CD0CDE"/>
    <w:rsid w:val="17D816A4"/>
    <w:rsid w:val="17DD6D5F"/>
    <w:rsid w:val="17E1A381"/>
    <w:rsid w:val="17E49C7F"/>
    <w:rsid w:val="17E4D04C"/>
    <w:rsid w:val="17E74A77"/>
    <w:rsid w:val="17EA8C24"/>
    <w:rsid w:val="17EDB4AA"/>
    <w:rsid w:val="17EFC7F7"/>
    <w:rsid w:val="17F1C80C"/>
    <w:rsid w:val="17F26539"/>
    <w:rsid w:val="17F34F25"/>
    <w:rsid w:val="17F46ED6"/>
    <w:rsid w:val="17F4CFFC"/>
    <w:rsid w:val="17F63A0B"/>
    <w:rsid w:val="17FAC030"/>
    <w:rsid w:val="17FAF18D"/>
    <w:rsid w:val="17FE26B1"/>
    <w:rsid w:val="180219DB"/>
    <w:rsid w:val="1806D653"/>
    <w:rsid w:val="1807FB82"/>
    <w:rsid w:val="18091F5E"/>
    <w:rsid w:val="180FDE12"/>
    <w:rsid w:val="18116E42"/>
    <w:rsid w:val="18130724"/>
    <w:rsid w:val="1814FC62"/>
    <w:rsid w:val="18155845"/>
    <w:rsid w:val="181BF116"/>
    <w:rsid w:val="181D6EF5"/>
    <w:rsid w:val="1820BF86"/>
    <w:rsid w:val="18230404"/>
    <w:rsid w:val="1826109C"/>
    <w:rsid w:val="182705A0"/>
    <w:rsid w:val="182C1383"/>
    <w:rsid w:val="1834CDE7"/>
    <w:rsid w:val="18370E6A"/>
    <w:rsid w:val="18449298"/>
    <w:rsid w:val="18464413"/>
    <w:rsid w:val="184B4532"/>
    <w:rsid w:val="184BC846"/>
    <w:rsid w:val="184D31FE"/>
    <w:rsid w:val="1850F6C8"/>
    <w:rsid w:val="18551623"/>
    <w:rsid w:val="1858E8E9"/>
    <w:rsid w:val="185C78ED"/>
    <w:rsid w:val="185EAEFB"/>
    <w:rsid w:val="187230B8"/>
    <w:rsid w:val="1877E663"/>
    <w:rsid w:val="1878EF2A"/>
    <w:rsid w:val="187E3F04"/>
    <w:rsid w:val="188209ED"/>
    <w:rsid w:val="1886A04A"/>
    <w:rsid w:val="188FE0B6"/>
    <w:rsid w:val="1890F2C2"/>
    <w:rsid w:val="189466A7"/>
    <w:rsid w:val="1897532E"/>
    <w:rsid w:val="1898A397"/>
    <w:rsid w:val="189D15E5"/>
    <w:rsid w:val="189DE9B6"/>
    <w:rsid w:val="18A0A6D1"/>
    <w:rsid w:val="18A0CEAC"/>
    <w:rsid w:val="18A1F914"/>
    <w:rsid w:val="18A590B7"/>
    <w:rsid w:val="18A5EC13"/>
    <w:rsid w:val="18A77830"/>
    <w:rsid w:val="18A9C905"/>
    <w:rsid w:val="18AC35C5"/>
    <w:rsid w:val="18B6A438"/>
    <w:rsid w:val="18B8C3B6"/>
    <w:rsid w:val="18BB1ECD"/>
    <w:rsid w:val="18BC5FC1"/>
    <w:rsid w:val="18BCAE18"/>
    <w:rsid w:val="18BED2A3"/>
    <w:rsid w:val="18BF8FF8"/>
    <w:rsid w:val="18C10455"/>
    <w:rsid w:val="18C1D131"/>
    <w:rsid w:val="18C7B9C5"/>
    <w:rsid w:val="18C805C1"/>
    <w:rsid w:val="18CB80AF"/>
    <w:rsid w:val="18CE1BAA"/>
    <w:rsid w:val="18CE2FDF"/>
    <w:rsid w:val="18CE458C"/>
    <w:rsid w:val="18CFA41F"/>
    <w:rsid w:val="18D2F122"/>
    <w:rsid w:val="18D57175"/>
    <w:rsid w:val="18E1F601"/>
    <w:rsid w:val="18E46201"/>
    <w:rsid w:val="18EAE58C"/>
    <w:rsid w:val="18EB28E1"/>
    <w:rsid w:val="18EB8DE8"/>
    <w:rsid w:val="18EBD8C7"/>
    <w:rsid w:val="18ECEF25"/>
    <w:rsid w:val="18EF8CE9"/>
    <w:rsid w:val="18FBD3B9"/>
    <w:rsid w:val="18FCCA6F"/>
    <w:rsid w:val="18FD0227"/>
    <w:rsid w:val="18FF0035"/>
    <w:rsid w:val="19070B05"/>
    <w:rsid w:val="190808FF"/>
    <w:rsid w:val="190DB1AF"/>
    <w:rsid w:val="1910C755"/>
    <w:rsid w:val="1911D749"/>
    <w:rsid w:val="19208E80"/>
    <w:rsid w:val="19210114"/>
    <w:rsid w:val="1921DC33"/>
    <w:rsid w:val="19238618"/>
    <w:rsid w:val="192538ED"/>
    <w:rsid w:val="19285B0D"/>
    <w:rsid w:val="19287ECC"/>
    <w:rsid w:val="1928AEFF"/>
    <w:rsid w:val="192A1725"/>
    <w:rsid w:val="192A6F21"/>
    <w:rsid w:val="19330DFA"/>
    <w:rsid w:val="193B7380"/>
    <w:rsid w:val="193D71B3"/>
    <w:rsid w:val="193EC908"/>
    <w:rsid w:val="193F2F12"/>
    <w:rsid w:val="1944C8FF"/>
    <w:rsid w:val="194A60EB"/>
    <w:rsid w:val="194B5867"/>
    <w:rsid w:val="194F44C5"/>
    <w:rsid w:val="19507DC2"/>
    <w:rsid w:val="19526F8A"/>
    <w:rsid w:val="1954405F"/>
    <w:rsid w:val="1955CBBA"/>
    <w:rsid w:val="19566BD4"/>
    <w:rsid w:val="19578E4B"/>
    <w:rsid w:val="19587699"/>
    <w:rsid w:val="195A5876"/>
    <w:rsid w:val="195FB432"/>
    <w:rsid w:val="1960645C"/>
    <w:rsid w:val="19643AD8"/>
    <w:rsid w:val="1965AE48"/>
    <w:rsid w:val="1965F7DE"/>
    <w:rsid w:val="19688963"/>
    <w:rsid w:val="196C4A58"/>
    <w:rsid w:val="196D8E86"/>
    <w:rsid w:val="197D3015"/>
    <w:rsid w:val="197DDA7D"/>
    <w:rsid w:val="197E873A"/>
    <w:rsid w:val="197F088C"/>
    <w:rsid w:val="19810AB1"/>
    <w:rsid w:val="198D4681"/>
    <w:rsid w:val="1990155D"/>
    <w:rsid w:val="1992610D"/>
    <w:rsid w:val="199437EA"/>
    <w:rsid w:val="199715EA"/>
    <w:rsid w:val="1997B746"/>
    <w:rsid w:val="19995512"/>
    <w:rsid w:val="199A325D"/>
    <w:rsid w:val="199AA9FD"/>
    <w:rsid w:val="199DBC9B"/>
    <w:rsid w:val="19A145C1"/>
    <w:rsid w:val="19A22140"/>
    <w:rsid w:val="19A59216"/>
    <w:rsid w:val="19A810A0"/>
    <w:rsid w:val="19AC3C4D"/>
    <w:rsid w:val="19AC93FE"/>
    <w:rsid w:val="19AFFD16"/>
    <w:rsid w:val="19B0BF7E"/>
    <w:rsid w:val="19B49CCA"/>
    <w:rsid w:val="19BE4786"/>
    <w:rsid w:val="19C20480"/>
    <w:rsid w:val="19CC1DA9"/>
    <w:rsid w:val="19CF3985"/>
    <w:rsid w:val="19D54BC4"/>
    <w:rsid w:val="19D5916E"/>
    <w:rsid w:val="19D5E6F8"/>
    <w:rsid w:val="19DB99B2"/>
    <w:rsid w:val="19DC313E"/>
    <w:rsid w:val="19DF6B87"/>
    <w:rsid w:val="19E3778C"/>
    <w:rsid w:val="19E5E4CB"/>
    <w:rsid w:val="19E6CDC9"/>
    <w:rsid w:val="19EC655B"/>
    <w:rsid w:val="19EF7B85"/>
    <w:rsid w:val="19F70C8A"/>
    <w:rsid w:val="19FBFEC1"/>
    <w:rsid w:val="19FFBED4"/>
    <w:rsid w:val="1A022892"/>
    <w:rsid w:val="1A02A710"/>
    <w:rsid w:val="1A099F3A"/>
    <w:rsid w:val="1A0BC68F"/>
    <w:rsid w:val="1A0F3355"/>
    <w:rsid w:val="1A12E850"/>
    <w:rsid w:val="1A17B58D"/>
    <w:rsid w:val="1A18BB29"/>
    <w:rsid w:val="1A190D05"/>
    <w:rsid w:val="1A1928CD"/>
    <w:rsid w:val="1A20AA70"/>
    <w:rsid w:val="1A20E179"/>
    <w:rsid w:val="1A27EF86"/>
    <w:rsid w:val="1A2B77F1"/>
    <w:rsid w:val="1A2CE3AB"/>
    <w:rsid w:val="1A2FFEAE"/>
    <w:rsid w:val="1A3576E7"/>
    <w:rsid w:val="1A3606E0"/>
    <w:rsid w:val="1A3A1A7D"/>
    <w:rsid w:val="1A3A6C6F"/>
    <w:rsid w:val="1A3B3ED6"/>
    <w:rsid w:val="1A3C24DC"/>
    <w:rsid w:val="1A45C9D4"/>
    <w:rsid w:val="1A4B6364"/>
    <w:rsid w:val="1A4CD008"/>
    <w:rsid w:val="1A5611DA"/>
    <w:rsid w:val="1A5C1987"/>
    <w:rsid w:val="1A6249F3"/>
    <w:rsid w:val="1A68E598"/>
    <w:rsid w:val="1A69E80C"/>
    <w:rsid w:val="1A6BEDA8"/>
    <w:rsid w:val="1A6C2034"/>
    <w:rsid w:val="1A6D219C"/>
    <w:rsid w:val="1A6F9BA2"/>
    <w:rsid w:val="1A71F954"/>
    <w:rsid w:val="1A733097"/>
    <w:rsid w:val="1A74888E"/>
    <w:rsid w:val="1A768F78"/>
    <w:rsid w:val="1A79EA11"/>
    <w:rsid w:val="1A7A69A3"/>
    <w:rsid w:val="1A7B223E"/>
    <w:rsid w:val="1A7C4D04"/>
    <w:rsid w:val="1A7D02B5"/>
    <w:rsid w:val="1A80781A"/>
    <w:rsid w:val="1A840330"/>
    <w:rsid w:val="1A85E2F0"/>
    <w:rsid w:val="1A8CF5EA"/>
    <w:rsid w:val="1A924C9D"/>
    <w:rsid w:val="1A97275B"/>
    <w:rsid w:val="1A9A97AA"/>
    <w:rsid w:val="1A9CB081"/>
    <w:rsid w:val="1AA5E906"/>
    <w:rsid w:val="1AA83BD0"/>
    <w:rsid w:val="1AA85AA4"/>
    <w:rsid w:val="1AAB1189"/>
    <w:rsid w:val="1AAE5C1D"/>
    <w:rsid w:val="1AAF18A4"/>
    <w:rsid w:val="1ABB1E74"/>
    <w:rsid w:val="1ABF0749"/>
    <w:rsid w:val="1ABF999B"/>
    <w:rsid w:val="1AC05E6A"/>
    <w:rsid w:val="1AC1717D"/>
    <w:rsid w:val="1AC7C65D"/>
    <w:rsid w:val="1AD0C258"/>
    <w:rsid w:val="1AD697F7"/>
    <w:rsid w:val="1ADAB863"/>
    <w:rsid w:val="1ADB1777"/>
    <w:rsid w:val="1ADD3C9F"/>
    <w:rsid w:val="1ADF69B6"/>
    <w:rsid w:val="1ADFA43E"/>
    <w:rsid w:val="1AE1A9CB"/>
    <w:rsid w:val="1AE64A1B"/>
    <w:rsid w:val="1AE9A2FA"/>
    <w:rsid w:val="1AF334D1"/>
    <w:rsid w:val="1AF3C93A"/>
    <w:rsid w:val="1B051C89"/>
    <w:rsid w:val="1B096588"/>
    <w:rsid w:val="1B09CC8E"/>
    <w:rsid w:val="1B0AAC5E"/>
    <w:rsid w:val="1B0CAADB"/>
    <w:rsid w:val="1B0E6B79"/>
    <w:rsid w:val="1B1215EA"/>
    <w:rsid w:val="1B1AC3DF"/>
    <w:rsid w:val="1B1C3A0F"/>
    <w:rsid w:val="1B1F5FD5"/>
    <w:rsid w:val="1B23D2CD"/>
    <w:rsid w:val="1B2E3876"/>
    <w:rsid w:val="1B2F6393"/>
    <w:rsid w:val="1B372528"/>
    <w:rsid w:val="1B3A88C3"/>
    <w:rsid w:val="1B3DC52F"/>
    <w:rsid w:val="1B426C92"/>
    <w:rsid w:val="1B45C3DC"/>
    <w:rsid w:val="1B46555C"/>
    <w:rsid w:val="1B468E88"/>
    <w:rsid w:val="1B4F5E15"/>
    <w:rsid w:val="1B4F6420"/>
    <w:rsid w:val="1B5338B4"/>
    <w:rsid w:val="1B5C6C64"/>
    <w:rsid w:val="1B5D2755"/>
    <w:rsid w:val="1B60F2D8"/>
    <w:rsid w:val="1B612F96"/>
    <w:rsid w:val="1B6A6B08"/>
    <w:rsid w:val="1B6CEEEB"/>
    <w:rsid w:val="1B6E7D64"/>
    <w:rsid w:val="1B713859"/>
    <w:rsid w:val="1B723082"/>
    <w:rsid w:val="1B76CEB0"/>
    <w:rsid w:val="1B7994B0"/>
    <w:rsid w:val="1B7C1B09"/>
    <w:rsid w:val="1B7E18B4"/>
    <w:rsid w:val="1B8D68CA"/>
    <w:rsid w:val="1B9104DD"/>
    <w:rsid w:val="1B94E324"/>
    <w:rsid w:val="1B994042"/>
    <w:rsid w:val="1B9D6A18"/>
    <w:rsid w:val="1BAC1910"/>
    <w:rsid w:val="1BAC1C76"/>
    <w:rsid w:val="1BAF88B3"/>
    <w:rsid w:val="1BB10B78"/>
    <w:rsid w:val="1BB7DAAD"/>
    <w:rsid w:val="1BBC130E"/>
    <w:rsid w:val="1BBCF9E6"/>
    <w:rsid w:val="1BBD8ADD"/>
    <w:rsid w:val="1BBF23FC"/>
    <w:rsid w:val="1BBFFCF5"/>
    <w:rsid w:val="1BC04D41"/>
    <w:rsid w:val="1BC3305D"/>
    <w:rsid w:val="1BC3E5F4"/>
    <w:rsid w:val="1BC4E306"/>
    <w:rsid w:val="1BC57B19"/>
    <w:rsid w:val="1BC7DECC"/>
    <w:rsid w:val="1BCDE090"/>
    <w:rsid w:val="1BCFA755"/>
    <w:rsid w:val="1BD0922B"/>
    <w:rsid w:val="1BD1C9CB"/>
    <w:rsid w:val="1BD72DDE"/>
    <w:rsid w:val="1BD91956"/>
    <w:rsid w:val="1BDB16B3"/>
    <w:rsid w:val="1BE05CB3"/>
    <w:rsid w:val="1BE1AA3A"/>
    <w:rsid w:val="1BE313E0"/>
    <w:rsid w:val="1BE43288"/>
    <w:rsid w:val="1BE59E6F"/>
    <w:rsid w:val="1BE8B1A8"/>
    <w:rsid w:val="1BE98F3A"/>
    <w:rsid w:val="1BE9A324"/>
    <w:rsid w:val="1BEA08E2"/>
    <w:rsid w:val="1BEB14B8"/>
    <w:rsid w:val="1BEB2F87"/>
    <w:rsid w:val="1BEB523E"/>
    <w:rsid w:val="1BECB699"/>
    <w:rsid w:val="1BED5D02"/>
    <w:rsid w:val="1BEDA903"/>
    <w:rsid w:val="1BEE2105"/>
    <w:rsid w:val="1BEE281A"/>
    <w:rsid w:val="1BF2FD3E"/>
    <w:rsid w:val="1BF3537F"/>
    <w:rsid w:val="1BFA4A1E"/>
    <w:rsid w:val="1BFBCBE8"/>
    <w:rsid w:val="1C117CB5"/>
    <w:rsid w:val="1C11ABC0"/>
    <w:rsid w:val="1C123F79"/>
    <w:rsid w:val="1C1629E1"/>
    <w:rsid w:val="1C20ED14"/>
    <w:rsid w:val="1C260560"/>
    <w:rsid w:val="1C2C2700"/>
    <w:rsid w:val="1C2D1C7A"/>
    <w:rsid w:val="1C2DCBCA"/>
    <w:rsid w:val="1C2EE1AC"/>
    <w:rsid w:val="1C32BB08"/>
    <w:rsid w:val="1C32C180"/>
    <w:rsid w:val="1C368840"/>
    <w:rsid w:val="1C37C857"/>
    <w:rsid w:val="1C398CDE"/>
    <w:rsid w:val="1C3C5893"/>
    <w:rsid w:val="1C3EA242"/>
    <w:rsid w:val="1C3FA343"/>
    <w:rsid w:val="1C41DD34"/>
    <w:rsid w:val="1C46D6B9"/>
    <w:rsid w:val="1C47ABCA"/>
    <w:rsid w:val="1C4AA310"/>
    <w:rsid w:val="1C4C72DF"/>
    <w:rsid w:val="1C4E4934"/>
    <w:rsid w:val="1C4FBD65"/>
    <w:rsid w:val="1C55ADAB"/>
    <w:rsid w:val="1C56487B"/>
    <w:rsid w:val="1C59D99A"/>
    <w:rsid w:val="1C5E3F5B"/>
    <w:rsid w:val="1C60DA69"/>
    <w:rsid w:val="1C62570F"/>
    <w:rsid w:val="1C63E35D"/>
    <w:rsid w:val="1C6F73FF"/>
    <w:rsid w:val="1C725A3E"/>
    <w:rsid w:val="1C76003C"/>
    <w:rsid w:val="1C7A815D"/>
    <w:rsid w:val="1C821EC8"/>
    <w:rsid w:val="1C856DC3"/>
    <w:rsid w:val="1C88092A"/>
    <w:rsid w:val="1C8A66F6"/>
    <w:rsid w:val="1C992AEE"/>
    <w:rsid w:val="1C9D029E"/>
    <w:rsid w:val="1C9DA113"/>
    <w:rsid w:val="1CA03CC3"/>
    <w:rsid w:val="1CA66311"/>
    <w:rsid w:val="1CAAA50D"/>
    <w:rsid w:val="1CABD591"/>
    <w:rsid w:val="1CAED4B5"/>
    <w:rsid w:val="1CAFD978"/>
    <w:rsid w:val="1CB19A52"/>
    <w:rsid w:val="1CB301B5"/>
    <w:rsid w:val="1CB3AEDE"/>
    <w:rsid w:val="1CBCAD32"/>
    <w:rsid w:val="1CBE34A1"/>
    <w:rsid w:val="1CBF7CDE"/>
    <w:rsid w:val="1CC0C984"/>
    <w:rsid w:val="1CC20D66"/>
    <w:rsid w:val="1CC3BB8E"/>
    <w:rsid w:val="1CC6A1DF"/>
    <w:rsid w:val="1CCD6E8C"/>
    <w:rsid w:val="1CCFCB3D"/>
    <w:rsid w:val="1CD0BD9A"/>
    <w:rsid w:val="1CD0FCD9"/>
    <w:rsid w:val="1CD6F018"/>
    <w:rsid w:val="1CDDB0B1"/>
    <w:rsid w:val="1CE3354C"/>
    <w:rsid w:val="1CE5EC5D"/>
    <w:rsid w:val="1CEA3B23"/>
    <w:rsid w:val="1CF79EA1"/>
    <w:rsid w:val="1D0007AF"/>
    <w:rsid w:val="1D095F10"/>
    <w:rsid w:val="1D0CC9C5"/>
    <w:rsid w:val="1D0E7BF0"/>
    <w:rsid w:val="1D129BD7"/>
    <w:rsid w:val="1D16C0E3"/>
    <w:rsid w:val="1D1877ED"/>
    <w:rsid w:val="1D1999FE"/>
    <w:rsid w:val="1D1A6480"/>
    <w:rsid w:val="1D1AE3C2"/>
    <w:rsid w:val="1D1CC7B7"/>
    <w:rsid w:val="1D1D8E7D"/>
    <w:rsid w:val="1D1F1DE0"/>
    <w:rsid w:val="1D1F8087"/>
    <w:rsid w:val="1D221A56"/>
    <w:rsid w:val="1D24FC0B"/>
    <w:rsid w:val="1D25BC98"/>
    <w:rsid w:val="1D29429F"/>
    <w:rsid w:val="1D2DFEB2"/>
    <w:rsid w:val="1D2E0D0E"/>
    <w:rsid w:val="1D310717"/>
    <w:rsid w:val="1D32C4B0"/>
    <w:rsid w:val="1D33CA19"/>
    <w:rsid w:val="1D365AE6"/>
    <w:rsid w:val="1D386A59"/>
    <w:rsid w:val="1D38CC71"/>
    <w:rsid w:val="1D3C96BF"/>
    <w:rsid w:val="1D3E20EB"/>
    <w:rsid w:val="1D3E2BD6"/>
    <w:rsid w:val="1D428143"/>
    <w:rsid w:val="1D4864FA"/>
    <w:rsid w:val="1D4C9BA9"/>
    <w:rsid w:val="1D4E8880"/>
    <w:rsid w:val="1D4FFE51"/>
    <w:rsid w:val="1D58079A"/>
    <w:rsid w:val="1D5F2E72"/>
    <w:rsid w:val="1D6A4828"/>
    <w:rsid w:val="1D6B4ABA"/>
    <w:rsid w:val="1D6C3CF9"/>
    <w:rsid w:val="1D70DD3D"/>
    <w:rsid w:val="1D71D0D9"/>
    <w:rsid w:val="1D72E9A8"/>
    <w:rsid w:val="1D75FE4C"/>
    <w:rsid w:val="1D790F93"/>
    <w:rsid w:val="1D7BCA72"/>
    <w:rsid w:val="1D80A4F8"/>
    <w:rsid w:val="1D80FC40"/>
    <w:rsid w:val="1D8120E5"/>
    <w:rsid w:val="1D816790"/>
    <w:rsid w:val="1D84906B"/>
    <w:rsid w:val="1D90FC68"/>
    <w:rsid w:val="1D9C38E2"/>
    <w:rsid w:val="1D9CC5C1"/>
    <w:rsid w:val="1DA205DC"/>
    <w:rsid w:val="1DA3F0C0"/>
    <w:rsid w:val="1DAB4EB2"/>
    <w:rsid w:val="1DAD1274"/>
    <w:rsid w:val="1DB0DFFA"/>
    <w:rsid w:val="1DB2B85C"/>
    <w:rsid w:val="1DB324E9"/>
    <w:rsid w:val="1DB39963"/>
    <w:rsid w:val="1DB6E39C"/>
    <w:rsid w:val="1DBA16AB"/>
    <w:rsid w:val="1DBE7248"/>
    <w:rsid w:val="1DC0A045"/>
    <w:rsid w:val="1DC40645"/>
    <w:rsid w:val="1DC41CB9"/>
    <w:rsid w:val="1DCA6B3F"/>
    <w:rsid w:val="1DCB2579"/>
    <w:rsid w:val="1DCCE3C9"/>
    <w:rsid w:val="1DCF0209"/>
    <w:rsid w:val="1DD07AF4"/>
    <w:rsid w:val="1DD200F3"/>
    <w:rsid w:val="1DDA89AB"/>
    <w:rsid w:val="1DE00322"/>
    <w:rsid w:val="1DE6CEC5"/>
    <w:rsid w:val="1DE70013"/>
    <w:rsid w:val="1DE7677D"/>
    <w:rsid w:val="1DEA0DE4"/>
    <w:rsid w:val="1DECC357"/>
    <w:rsid w:val="1DF53F26"/>
    <w:rsid w:val="1DF99027"/>
    <w:rsid w:val="1DFDE274"/>
    <w:rsid w:val="1DFE2B27"/>
    <w:rsid w:val="1DFE5760"/>
    <w:rsid w:val="1E00B9A2"/>
    <w:rsid w:val="1E02F70A"/>
    <w:rsid w:val="1E0995CB"/>
    <w:rsid w:val="1E0A2B43"/>
    <w:rsid w:val="1E0B66D1"/>
    <w:rsid w:val="1E0CAE3A"/>
    <w:rsid w:val="1E103EB4"/>
    <w:rsid w:val="1E1360FB"/>
    <w:rsid w:val="1E1648ED"/>
    <w:rsid w:val="1E164D18"/>
    <w:rsid w:val="1E17849B"/>
    <w:rsid w:val="1E231EEB"/>
    <w:rsid w:val="1E2425F9"/>
    <w:rsid w:val="1E2809B0"/>
    <w:rsid w:val="1E2847AD"/>
    <w:rsid w:val="1E292C1A"/>
    <w:rsid w:val="1E29F145"/>
    <w:rsid w:val="1E2BBB7D"/>
    <w:rsid w:val="1E32A400"/>
    <w:rsid w:val="1E32C470"/>
    <w:rsid w:val="1E368AF8"/>
    <w:rsid w:val="1E381351"/>
    <w:rsid w:val="1E3ABF86"/>
    <w:rsid w:val="1E3C7E2D"/>
    <w:rsid w:val="1E434A09"/>
    <w:rsid w:val="1E438B02"/>
    <w:rsid w:val="1E4BDB7A"/>
    <w:rsid w:val="1E4FAA76"/>
    <w:rsid w:val="1E5016DF"/>
    <w:rsid w:val="1E51F2D4"/>
    <w:rsid w:val="1E52FB90"/>
    <w:rsid w:val="1E537DB7"/>
    <w:rsid w:val="1E55492D"/>
    <w:rsid w:val="1E5CBB7D"/>
    <w:rsid w:val="1E609ABB"/>
    <w:rsid w:val="1E6359D5"/>
    <w:rsid w:val="1E686AA5"/>
    <w:rsid w:val="1E69FF70"/>
    <w:rsid w:val="1E6BA9A2"/>
    <w:rsid w:val="1E6C3AC7"/>
    <w:rsid w:val="1E6C823E"/>
    <w:rsid w:val="1E6ED215"/>
    <w:rsid w:val="1E71D73A"/>
    <w:rsid w:val="1E7DD065"/>
    <w:rsid w:val="1E7EAEDD"/>
    <w:rsid w:val="1E804A13"/>
    <w:rsid w:val="1E841B3C"/>
    <w:rsid w:val="1E8680FD"/>
    <w:rsid w:val="1E89F342"/>
    <w:rsid w:val="1E8A8AB3"/>
    <w:rsid w:val="1E8B1178"/>
    <w:rsid w:val="1E8D2AA4"/>
    <w:rsid w:val="1E910B6A"/>
    <w:rsid w:val="1E95CE32"/>
    <w:rsid w:val="1E97C145"/>
    <w:rsid w:val="1E99AB1E"/>
    <w:rsid w:val="1E9E5A6B"/>
    <w:rsid w:val="1E9E6EB8"/>
    <w:rsid w:val="1E9EE1D8"/>
    <w:rsid w:val="1E9F71FD"/>
    <w:rsid w:val="1E9FF14D"/>
    <w:rsid w:val="1EA0B846"/>
    <w:rsid w:val="1EA2D099"/>
    <w:rsid w:val="1EA78964"/>
    <w:rsid w:val="1EA7B869"/>
    <w:rsid w:val="1EA83A18"/>
    <w:rsid w:val="1EA8EA16"/>
    <w:rsid w:val="1EA8ECA6"/>
    <w:rsid w:val="1EA93AC1"/>
    <w:rsid w:val="1EAA5D9E"/>
    <w:rsid w:val="1EAB89A4"/>
    <w:rsid w:val="1EACDD24"/>
    <w:rsid w:val="1EB01EF5"/>
    <w:rsid w:val="1EB1980E"/>
    <w:rsid w:val="1EB438B7"/>
    <w:rsid w:val="1EB9057A"/>
    <w:rsid w:val="1EBAA506"/>
    <w:rsid w:val="1EBEC376"/>
    <w:rsid w:val="1EBF6488"/>
    <w:rsid w:val="1EC1795F"/>
    <w:rsid w:val="1EC57930"/>
    <w:rsid w:val="1EC5BFA2"/>
    <w:rsid w:val="1EC932BF"/>
    <w:rsid w:val="1ECD4BAC"/>
    <w:rsid w:val="1ECF51DD"/>
    <w:rsid w:val="1ED04A65"/>
    <w:rsid w:val="1ED496E1"/>
    <w:rsid w:val="1ED667AE"/>
    <w:rsid w:val="1ED8556A"/>
    <w:rsid w:val="1ED912DF"/>
    <w:rsid w:val="1EE22613"/>
    <w:rsid w:val="1EE6292F"/>
    <w:rsid w:val="1EEAF8F0"/>
    <w:rsid w:val="1EEB3528"/>
    <w:rsid w:val="1EF163AA"/>
    <w:rsid w:val="1EF536AA"/>
    <w:rsid w:val="1EF59D91"/>
    <w:rsid w:val="1EF6C3C7"/>
    <w:rsid w:val="1EF7192C"/>
    <w:rsid w:val="1EFCA387"/>
    <w:rsid w:val="1EFE6308"/>
    <w:rsid w:val="1F07F023"/>
    <w:rsid w:val="1F0FA3B3"/>
    <w:rsid w:val="1F11562A"/>
    <w:rsid w:val="1F137E4C"/>
    <w:rsid w:val="1F166CA0"/>
    <w:rsid w:val="1F1D26B2"/>
    <w:rsid w:val="1F1D916E"/>
    <w:rsid w:val="1F218C40"/>
    <w:rsid w:val="1F242118"/>
    <w:rsid w:val="1F2671A8"/>
    <w:rsid w:val="1F2F1132"/>
    <w:rsid w:val="1F33CDF2"/>
    <w:rsid w:val="1F3494EE"/>
    <w:rsid w:val="1F363A2F"/>
    <w:rsid w:val="1F376833"/>
    <w:rsid w:val="1F3C0CF6"/>
    <w:rsid w:val="1F3D93BC"/>
    <w:rsid w:val="1F40DC54"/>
    <w:rsid w:val="1F417B02"/>
    <w:rsid w:val="1F45EB21"/>
    <w:rsid w:val="1F45F877"/>
    <w:rsid w:val="1F4889B8"/>
    <w:rsid w:val="1F4AA9DC"/>
    <w:rsid w:val="1F4F0673"/>
    <w:rsid w:val="1F4FCA9D"/>
    <w:rsid w:val="1F55FD32"/>
    <w:rsid w:val="1F57CA57"/>
    <w:rsid w:val="1F5DF3F3"/>
    <w:rsid w:val="1F6010A2"/>
    <w:rsid w:val="1F6A5550"/>
    <w:rsid w:val="1F6B63B1"/>
    <w:rsid w:val="1F6C6819"/>
    <w:rsid w:val="1F703FBD"/>
    <w:rsid w:val="1F75CCC5"/>
    <w:rsid w:val="1F79A8EA"/>
    <w:rsid w:val="1F7D999D"/>
    <w:rsid w:val="1F805D54"/>
    <w:rsid w:val="1F847F65"/>
    <w:rsid w:val="1F84E275"/>
    <w:rsid w:val="1F854319"/>
    <w:rsid w:val="1F879651"/>
    <w:rsid w:val="1F8B1389"/>
    <w:rsid w:val="1F8EBC05"/>
    <w:rsid w:val="1F90E838"/>
    <w:rsid w:val="1F95ECAC"/>
    <w:rsid w:val="1F966AC0"/>
    <w:rsid w:val="1F987933"/>
    <w:rsid w:val="1F9C6D86"/>
    <w:rsid w:val="1F9C89F4"/>
    <w:rsid w:val="1FA3D517"/>
    <w:rsid w:val="1FA692FC"/>
    <w:rsid w:val="1FAB6EED"/>
    <w:rsid w:val="1FAB9D24"/>
    <w:rsid w:val="1FAC7173"/>
    <w:rsid w:val="1FB03FE5"/>
    <w:rsid w:val="1FB13686"/>
    <w:rsid w:val="1FB4F30E"/>
    <w:rsid w:val="1FB56E88"/>
    <w:rsid w:val="1FB78638"/>
    <w:rsid w:val="1FBA62F4"/>
    <w:rsid w:val="1FBDD3D4"/>
    <w:rsid w:val="1FC02AFA"/>
    <w:rsid w:val="1FC215DB"/>
    <w:rsid w:val="1FC4D282"/>
    <w:rsid w:val="1FC57991"/>
    <w:rsid w:val="1FC61BB5"/>
    <w:rsid w:val="1FCBF324"/>
    <w:rsid w:val="1FCE5E62"/>
    <w:rsid w:val="1FCEABDF"/>
    <w:rsid w:val="1FD38FF7"/>
    <w:rsid w:val="1FD3D39F"/>
    <w:rsid w:val="1FD6750E"/>
    <w:rsid w:val="1FD7D2F8"/>
    <w:rsid w:val="1FD9C949"/>
    <w:rsid w:val="1FDA819B"/>
    <w:rsid w:val="1FDD6AFD"/>
    <w:rsid w:val="1FDE09C3"/>
    <w:rsid w:val="1FE05B3D"/>
    <w:rsid w:val="1FE3C600"/>
    <w:rsid w:val="1FE573E6"/>
    <w:rsid w:val="1FE94224"/>
    <w:rsid w:val="1FEA955C"/>
    <w:rsid w:val="1FEE6C16"/>
    <w:rsid w:val="1FF33DB7"/>
    <w:rsid w:val="1FF82DAB"/>
    <w:rsid w:val="1FFC5B76"/>
    <w:rsid w:val="2002A0DE"/>
    <w:rsid w:val="20097C7E"/>
    <w:rsid w:val="200DBD4F"/>
    <w:rsid w:val="2019A119"/>
    <w:rsid w:val="2019ED97"/>
    <w:rsid w:val="2023F430"/>
    <w:rsid w:val="20260B55"/>
    <w:rsid w:val="20277A05"/>
    <w:rsid w:val="202D760A"/>
    <w:rsid w:val="2034DF41"/>
    <w:rsid w:val="203DF3FD"/>
    <w:rsid w:val="2043473A"/>
    <w:rsid w:val="204423DA"/>
    <w:rsid w:val="204A7387"/>
    <w:rsid w:val="2050CA03"/>
    <w:rsid w:val="205396BD"/>
    <w:rsid w:val="20562EC3"/>
    <w:rsid w:val="2056EE80"/>
    <w:rsid w:val="205EBE2C"/>
    <w:rsid w:val="205F7A46"/>
    <w:rsid w:val="205FA965"/>
    <w:rsid w:val="20604BDA"/>
    <w:rsid w:val="206352CF"/>
    <w:rsid w:val="20637B74"/>
    <w:rsid w:val="206AC4FC"/>
    <w:rsid w:val="206CE2DA"/>
    <w:rsid w:val="206E8855"/>
    <w:rsid w:val="2076A235"/>
    <w:rsid w:val="2077867A"/>
    <w:rsid w:val="2079600C"/>
    <w:rsid w:val="207C9CF8"/>
    <w:rsid w:val="2083C4AA"/>
    <w:rsid w:val="20861823"/>
    <w:rsid w:val="20892AA6"/>
    <w:rsid w:val="208A3D92"/>
    <w:rsid w:val="208A46CE"/>
    <w:rsid w:val="2090AFF1"/>
    <w:rsid w:val="2092752B"/>
    <w:rsid w:val="20970D6E"/>
    <w:rsid w:val="209A9B23"/>
    <w:rsid w:val="209DAB30"/>
    <w:rsid w:val="20A362CA"/>
    <w:rsid w:val="20A75B93"/>
    <w:rsid w:val="20A959BC"/>
    <w:rsid w:val="20AF138A"/>
    <w:rsid w:val="20B18676"/>
    <w:rsid w:val="20B2087E"/>
    <w:rsid w:val="20B2B837"/>
    <w:rsid w:val="20B67721"/>
    <w:rsid w:val="20C458B8"/>
    <w:rsid w:val="20CA8C08"/>
    <w:rsid w:val="20CB2865"/>
    <w:rsid w:val="20CDBEB1"/>
    <w:rsid w:val="20CEE1EC"/>
    <w:rsid w:val="20CFD1E4"/>
    <w:rsid w:val="20D2DF5B"/>
    <w:rsid w:val="20D31BF1"/>
    <w:rsid w:val="20D42C2D"/>
    <w:rsid w:val="20D5F2C7"/>
    <w:rsid w:val="20DBF5C8"/>
    <w:rsid w:val="20E0841D"/>
    <w:rsid w:val="20E08DAA"/>
    <w:rsid w:val="20E47190"/>
    <w:rsid w:val="20E5D001"/>
    <w:rsid w:val="20E6C388"/>
    <w:rsid w:val="20E8C8BC"/>
    <w:rsid w:val="20F118F3"/>
    <w:rsid w:val="20F32C9B"/>
    <w:rsid w:val="20F339FE"/>
    <w:rsid w:val="20F7814F"/>
    <w:rsid w:val="20FBC7EE"/>
    <w:rsid w:val="20FCC098"/>
    <w:rsid w:val="20FDE07B"/>
    <w:rsid w:val="20FE8DC8"/>
    <w:rsid w:val="20FF1900"/>
    <w:rsid w:val="20FFDBC2"/>
    <w:rsid w:val="2102DE5C"/>
    <w:rsid w:val="2109A2EA"/>
    <w:rsid w:val="2115494A"/>
    <w:rsid w:val="21174BB8"/>
    <w:rsid w:val="211795FA"/>
    <w:rsid w:val="2119D350"/>
    <w:rsid w:val="211AB435"/>
    <w:rsid w:val="211C5A60"/>
    <w:rsid w:val="211EB1E7"/>
    <w:rsid w:val="21238F33"/>
    <w:rsid w:val="2129C683"/>
    <w:rsid w:val="212CFB3C"/>
    <w:rsid w:val="21324EF9"/>
    <w:rsid w:val="2132FC63"/>
    <w:rsid w:val="2133A911"/>
    <w:rsid w:val="2133E9C4"/>
    <w:rsid w:val="213AAFBC"/>
    <w:rsid w:val="2145BDDE"/>
    <w:rsid w:val="21468EC2"/>
    <w:rsid w:val="2147E5EF"/>
    <w:rsid w:val="2147F676"/>
    <w:rsid w:val="21483F84"/>
    <w:rsid w:val="214C00F2"/>
    <w:rsid w:val="214C0961"/>
    <w:rsid w:val="214D58FE"/>
    <w:rsid w:val="214E51DE"/>
    <w:rsid w:val="2153C5BA"/>
    <w:rsid w:val="21540ED9"/>
    <w:rsid w:val="2156BD61"/>
    <w:rsid w:val="2161632F"/>
    <w:rsid w:val="2161E7B9"/>
    <w:rsid w:val="21668965"/>
    <w:rsid w:val="216A8FBE"/>
    <w:rsid w:val="216CB402"/>
    <w:rsid w:val="216F1B77"/>
    <w:rsid w:val="2174212F"/>
    <w:rsid w:val="217722C1"/>
    <w:rsid w:val="21790399"/>
    <w:rsid w:val="2179274E"/>
    <w:rsid w:val="217B14E3"/>
    <w:rsid w:val="217E29C7"/>
    <w:rsid w:val="217E6F6B"/>
    <w:rsid w:val="2182D6E6"/>
    <w:rsid w:val="2184B7E0"/>
    <w:rsid w:val="2186F49A"/>
    <w:rsid w:val="21891E8D"/>
    <w:rsid w:val="218A5980"/>
    <w:rsid w:val="2192C85B"/>
    <w:rsid w:val="2192CD69"/>
    <w:rsid w:val="2198E43D"/>
    <w:rsid w:val="219AC46E"/>
    <w:rsid w:val="219B19C3"/>
    <w:rsid w:val="219D247D"/>
    <w:rsid w:val="219D3B09"/>
    <w:rsid w:val="219D9BCE"/>
    <w:rsid w:val="21A8DECB"/>
    <w:rsid w:val="21AAEB82"/>
    <w:rsid w:val="21AF060D"/>
    <w:rsid w:val="21AF6C2E"/>
    <w:rsid w:val="21B6B9B6"/>
    <w:rsid w:val="21B80E0E"/>
    <w:rsid w:val="21BCC027"/>
    <w:rsid w:val="21BEDAEA"/>
    <w:rsid w:val="21C0D0C1"/>
    <w:rsid w:val="21C14D27"/>
    <w:rsid w:val="21C99A39"/>
    <w:rsid w:val="21CAF60E"/>
    <w:rsid w:val="21CB3089"/>
    <w:rsid w:val="21CEF5E0"/>
    <w:rsid w:val="21D697E6"/>
    <w:rsid w:val="21DB42E8"/>
    <w:rsid w:val="21E0F476"/>
    <w:rsid w:val="21E6476C"/>
    <w:rsid w:val="21E9E39D"/>
    <w:rsid w:val="21EB4770"/>
    <w:rsid w:val="21EDCEC3"/>
    <w:rsid w:val="21EF4368"/>
    <w:rsid w:val="21EFD2AA"/>
    <w:rsid w:val="21F11624"/>
    <w:rsid w:val="21F26028"/>
    <w:rsid w:val="21F2D1D4"/>
    <w:rsid w:val="21F84481"/>
    <w:rsid w:val="21FB1153"/>
    <w:rsid w:val="21FDC838"/>
    <w:rsid w:val="2200AAD0"/>
    <w:rsid w:val="2203854F"/>
    <w:rsid w:val="2203CB17"/>
    <w:rsid w:val="220463CB"/>
    <w:rsid w:val="220982F0"/>
    <w:rsid w:val="220A88D6"/>
    <w:rsid w:val="220E0FF6"/>
    <w:rsid w:val="220E71A2"/>
    <w:rsid w:val="2216DC0A"/>
    <w:rsid w:val="221E5FDA"/>
    <w:rsid w:val="22202BD6"/>
    <w:rsid w:val="2226A769"/>
    <w:rsid w:val="22304C10"/>
    <w:rsid w:val="223225DB"/>
    <w:rsid w:val="22333CE0"/>
    <w:rsid w:val="2235EAF9"/>
    <w:rsid w:val="22392850"/>
    <w:rsid w:val="223A448C"/>
    <w:rsid w:val="223CED81"/>
    <w:rsid w:val="223E80C7"/>
    <w:rsid w:val="223F888C"/>
    <w:rsid w:val="223FC906"/>
    <w:rsid w:val="2241D302"/>
    <w:rsid w:val="2242ABA3"/>
    <w:rsid w:val="2244C236"/>
    <w:rsid w:val="224E0639"/>
    <w:rsid w:val="224E8A3C"/>
    <w:rsid w:val="224F08E4"/>
    <w:rsid w:val="225512DD"/>
    <w:rsid w:val="22562E5B"/>
    <w:rsid w:val="22564D84"/>
    <w:rsid w:val="22584A00"/>
    <w:rsid w:val="22594022"/>
    <w:rsid w:val="22599DD2"/>
    <w:rsid w:val="225CA310"/>
    <w:rsid w:val="226CC15A"/>
    <w:rsid w:val="226FCF18"/>
    <w:rsid w:val="2272D37B"/>
    <w:rsid w:val="22749DE0"/>
    <w:rsid w:val="22762E74"/>
    <w:rsid w:val="22763B73"/>
    <w:rsid w:val="227A96B9"/>
    <w:rsid w:val="228137D9"/>
    <w:rsid w:val="22837269"/>
    <w:rsid w:val="228AD52A"/>
    <w:rsid w:val="228E1378"/>
    <w:rsid w:val="229085FA"/>
    <w:rsid w:val="22927DC8"/>
    <w:rsid w:val="22950D5B"/>
    <w:rsid w:val="2296D298"/>
    <w:rsid w:val="2298B3E6"/>
    <w:rsid w:val="2299B625"/>
    <w:rsid w:val="229B3E95"/>
    <w:rsid w:val="229B5674"/>
    <w:rsid w:val="229DC101"/>
    <w:rsid w:val="22A0E044"/>
    <w:rsid w:val="22A387B0"/>
    <w:rsid w:val="22A3B59F"/>
    <w:rsid w:val="22A70001"/>
    <w:rsid w:val="22A800E5"/>
    <w:rsid w:val="22A89961"/>
    <w:rsid w:val="22ACF836"/>
    <w:rsid w:val="22AF157B"/>
    <w:rsid w:val="22AF7274"/>
    <w:rsid w:val="22AF7ECA"/>
    <w:rsid w:val="22B50052"/>
    <w:rsid w:val="22B7B0C4"/>
    <w:rsid w:val="22B8B79D"/>
    <w:rsid w:val="22BBCE73"/>
    <w:rsid w:val="22C2AE24"/>
    <w:rsid w:val="22C5C1D7"/>
    <w:rsid w:val="22CAB374"/>
    <w:rsid w:val="22CBFD43"/>
    <w:rsid w:val="22CCC9CE"/>
    <w:rsid w:val="22CDC041"/>
    <w:rsid w:val="22D14032"/>
    <w:rsid w:val="22D1D036"/>
    <w:rsid w:val="22D40116"/>
    <w:rsid w:val="22D57DC3"/>
    <w:rsid w:val="22D5E910"/>
    <w:rsid w:val="22D7B5BA"/>
    <w:rsid w:val="22D8AFBA"/>
    <w:rsid w:val="22D950E7"/>
    <w:rsid w:val="22D97879"/>
    <w:rsid w:val="22E199B9"/>
    <w:rsid w:val="22E4F4DB"/>
    <w:rsid w:val="22E5CA4A"/>
    <w:rsid w:val="22E9FC93"/>
    <w:rsid w:val="22EB5DCB"/>
    <w:rsid w:val="22F37D39"/>
    <w:rsid w:val="22F85A59"/>
    <w:rsid w:val="22F9CAFE"/>
    <w:rsid w:val="22FA7913"/>
    <w:rsid w:val="22FD2AF4"/>
    <w:rsid w:val="22FEA225"/>
    <w:rsid w:val="2303825C"/>
    <w:rsid w:val="2305C702"/>
    <w:rsid w:val="23064F34"/>
    <w:rsid w:val="23070205"/>
    <w:rsid w:val="23090A72"/>
    <w:rsid w:val="230B560C"/>
    <w:rsid w:val="230D76F3"/>
    <w:rsid w:val="230EBC9B"/>
    <w:rsid w:val="230EEED4"/>
    <w:rsid w:val="230FBD18"/>
    <w:rsid w:val="23111CEB"/>
    <w:rsid w:val="2314CF1C"/>
    <w:rsid w:val="23154B1E"/>
    <w:rsid w:val="2317DCA7"/>
    <w:rsid w:val="2319EBB5"/>
    <w:rsid w:val="23253C98"/>
    <w:rsid w:val="232571CE"/>
    <w:rsid w:val="23278C99"/>
    <w:rsid w:val="232C50F1"/>
    <w:rsid w:val="232E9CE9"/>
    <w:rsid w:val="2330CBEF"/>
    <w:rsid w:val="23390867"/>
    <w:rsid w:val="233EF623"/>
    <w:rsid w:val="2347889F"/>
    <w:rsid w:val="234F855A"/>
    <w:rsid w:val="23517DF6"/>
    <w:rsid w:val="2358073B"/>
    <w:rsid w:val="23661F94"/>
    <w:rsid w:val="23671131"/>
    <w:rsid w:val="2367F644"/>
    <w:rsid w:val="23697852"/>
    <w:rsid w:val="23717282"/>
    <w:rsid w:val="2375BDAE"/>
    <w:rsid w:val="23804F46"/>
    <w:rsid w:val="2381183D"/>
    <w:rsid w:val="2382C93C"/>
    <w:rsid w:val="2386F223"/>
    <w:rsid w:val="238879C0"/>
    <w:rsid w:val="238D0506"/>
    <w:rsid w:val="23927F80"/>
    <w:rsid w:val="239540F4"/>
    <w:rsid w:val="2398FC4D"/>
    <w:rsid w:val="239F785C"/>
    <w:rsid w:val="23AFFF69"/>
    <w:rsid w:val="23B0B6C8"/>
    <w:rsid w:val="23B256AF"/>
    <w:rsid w:val="23B2BC3C"/>
    <w:rsid w:val="23B3165C"/>
    <w:rsid w:val="23B59F79"/>
    <w:rsid w:val="23BC1CBC"/>
    <w:rsid w:val="23C62D18"/>
    <w:rsid w:val="23C75A19"/>
    <w:rsid w:val="23C8869D"/>
    <w:rsid w:val="23C9D283"/>
    <w:rsid w:val="23CA5AF3"/>
    <w:rsid w:val="23CA8811"/>
    <w:rsid w:val="23D00885"/>
    <w:rsid w:val="23DBFA66"/>
    <w:rsid w:val="23E133A7"/>
    <w:rsid w:val="23E6F216"/>
    <w:rsid w:val="23E7CA7F"/>
    <w:rsid w:val="23E9E161"/>
    <w:rsid w:val="23EED957"/>
    <w:rsid w:val="23F156FA"/>
    <w:rsid w:val="23F3C274"/>
    <w:rsid w:val="23FBBDA3"/>
    <w:rsid w:val="23FD6A97"/>
    <w:rsid w:val="23FF1D34"/>
    <w:rsid w:val="240145E2"/>
    <w:rsid w:val="24070BAB"/>
    <w:rsid w:val="240A8A8C"/>
    <w:rsid w:val="2413DCC8"/>
    <w:rsid w:val="24149E0F"/>
    <w:rsid w:val="2419C938"/>
    <w:rsid w:val="241A830B"/>
    <w:rsid w:val="241F1AB3"/>
    <w:rsid w:val="24206CD8"/>
    <w:rsid w:val="2421635B"/>
    <w:rsid w:val="2432D26C"/>
    <w:rsid w:val="2436420F"/>
    <w:rsid w:val="243B668E"/>
    <w:rsid w:val="243FF75C"/>
    <w:rsid w:val="2446C26E"/>
    <w:rsid w:val="244C94E6"/>
    <w:rsid w:val="2450988B"/>
    <w:rsid w:val="2455C1C8"/>
    <w:rsid w:val="24586477"/>
    <w:rsid w:val="245C9519"/>
    <w:rsid w:val="245CA57F"/>
    <w:rsid w:val="245DB1F1"/>
    <w:rsid w:val="2461025A"/>
    <w:rsid w:val="2461D73A"/>
    <w:rsid w:val="246237AA"/>
    <w:rsid w:val="24772A2C"/>
    <w:rsid w:val="247C0FBF"/>
    <w:rsid w:val="24802DE0"/>
    <w:rsid w:val="2486A082"/>
    <w:rsid w:val="24884A07"/>
    <w:rsid w:val="24886AC3"/>
    <w:rsid w:val="2489B6AB"/>
    <w:rsid w:val="248D4BC4"/>
    <w:rsid w:val="2492BDEC"/>
    <w:rsid w:val="2493684E"/>
    <w:rsid w:val="249376E4"/>
    <w:rsid w:val="2494CD88"/>
    <w:rsid w:val="2495FCFB"/>
    <w:rsid w:val="2496A931"/>
    <w:rsid w:val="2496FC56"/>
    <w:rsid w:val="2498065A"/>
    <w:rsid w:val="24A22D54"/>
    <w:rsid w:val="24A47A94"/>
    <w:rsid w:val="24A60F2E"/>
    <w:rsid w:val="24AD88CE"/>
    <w:rsid w:val="24B6AB3C"/>
    <w:rsid w:val="24BA1D96"/>
    <w:rsid w:val="24BBD951"/>
    <w:rsid w:val="24BF31CC"/>
    <w:rsid w:val="24C1DECE"/>
    <w:rsid w:val="24C42AA9"/>
    <w:rsid w:val="24CEE20D"/>
    <w:rsid w:val="24D34982"/>
    <w:rsid w:val="24D7932B"/>
    <w:rsid w:val="24D9CD36"/>
    <w:rsid w:val="24DBC8DC"/>
    <w:rsid w:val="24EA8550"/>
    <w:rsid w:val="24ED243F"/>
    <w:rsid w:val="24EEC019"/>
    <w:rsid w:val="24F2981E"/>
    <w:rsid w:val="24F89758"/>
    <w:rsid w:val="24FB2469"/>
    <w:rsid w:val="24FC9B03"/>
    <w:rsid w:val="24FDC599"/>
    <w:rsid w:val="24FFA7E6"/>
    <w:rsid w:val="2505A767"/>
    <w:rsid w:val="250B6ADE"/>
    <w:rsid w:val="251A2FA1"/>
    <w:rsid w:val="251D4A27"/>
    <w:rsid w:val="25286CA0"/>
    <w:rsid w:val="252B1CE3"/>
    <w:rsid w:val="252F51AA"/>
    <w:rsid w:val="25300A15"/>
    <w:rsid w:val="25330C7E"/>
    <w:rsid w:val="25334E6F"/>
    <w:rsid w:val="25359FF7"/>
    <w:rsid w:val="2539B0F5"/>
    <w:rsid w:val="253CFC0D"/>
    <w:rsid w:val="2540D23F"/>
    <w:rsid w:val="2540DEDD"/>
    <w:rsid w:val="254A0A40"/>
    <w:rsid w:val="254DCF14"/>
    <w:rsid w:val="25516532"/>
    <w:rsid w:val="2553B3E5"/>
    <w:rsid w:val="2553E20D"/>
    <w:rsid w:val="255409F7"/>
    <w:rsid w:val="2555987B"/>
    <w:rsid w:val="255789A5"/>
    <w:rsid w:val="255813A5"/>
    <w:rsid w:val="255C6D4B"/>
    <w:rsid w:val="255FB96F"/>
    <w:rsid w:val="256355AA"/>
    <w:rsid w:val="256C0382"/>
    <w:rsid w:val="25708209"/>
    <w:rsid w:val="257337A0"/>
    <w:rsid w:val="2576A318"/>
    <w:rsid w:val="2576E3C4"/>
    <w:rsid w:val="257BE214"/>
    <w:rsid w:val="258444FC"/>
    <w:rsid w:val="258524EB"/>
    <w:rsid w:val="2585D57B"/>
    <w:rsid w:val="2589F678"/>
    <w:rsid w:val="258CAD9F"/>
    <w:rsid w:val="258E9989"/>
    <w:rsid w:val="2596696A"/>
    <w:rsid w:val="2597A088"/>
    <w:rsid w:val="2597F1EF"/>
    <w:rsid w:val="25982C51"/>
    <w:rsid w:val="25A39262"/>
    <w:rsid w:val="25A4B6C5"/>
    <w:rsid w:val="25A52791"/>
    <w:rsid w:val="25A87134"/>
    <w:rsid w:val="25A8C4B6"/>
    <w:rsid w:val="25A9AF7C"/>
    <w:rsid w:val="25B1CD45"/>
    <w:rsid w:val="25B38510"/>
    <w:rsid w:val="25B6483F"/>
    <w:rsid w:val="25BB66F9"/>
    <w:rsid w:val="25C32BA7"/>
    <w:rsid w:val="25C7722E"/>
    <w:rsid w:val="25CF5B49"/>
    <w:rsid w:val="25D0FAFC"/>
    <w:rsid w:val="25D3BD0C"/>
    <w:rsid w:val="25D3C075"/>
    <w:rsid w:val="25D4EDE2"/>
    <w:rsid w:val="25D67A0D"/>
    <w:rsid w:val="25D6FB0A"/>
    <w:rsid w:val="25DB8ED5"/>
    <w:rsid w:val="25DC708A"/>
    <w:rsid w:val="25DDEB45"/>
    <w:rsid w:val="25E52D72"/>
    <w:rsid w:val="25EACF09"/>
    <w:rsid w:val="25EC0F54"/>
    <w:rsid w:val="25F56454"/>
    <w:rsid w:val="25F86971"/>
    <w:rsid w:val="25F97B3F"/>
    <w:rsid w:val="25FABCEC"/>
    <w:rsid w:val="26046E76"/>
    <w:rsid w:val="260503B6"/>
    <w:rsid w:val="260801E2"/>
    <w:rsid w:val="2609BDAF"/>
    <w:rsid w:val="260F3D6D"/>
    <w:rsid w:val="2611CADC"/>
    <w:rsid w:val="2616BA5B"/>
    <w:rsid w:val="2617795B"/>
    <w:rsid w:val="2620B4E7"/>
    <w:rsid w:val="2622BF1D"/>
    <w:rsid w:val="262660DB"/>
    <w:rsid w:val="2626EA55"/>
    <w:rsid w:val="2627E4E6"/>
    <w:rsid w:val="262A4266"/>
    <w:rsid w:val="2631ADC7"/>
    <w:rsid w:val="2631AE55"/>
    <w:rsid w:val="26341305"/>
    <w:rsid w:val="26382A26"/>
    <w:rsid w:val="263E8DBC"/>
    <w:rsid w:val="263EEC44"/>
    <w:rsid w:val="2642610B"/>
    <w:rsid w:val="26444F38"/>
    <w:rsid w:val="26453CB3"/>
    <w:rsid w:val="2645C220"/>
    <w:rsid w:val="2647A745"/>
    <w:rsid w:val="264A0FA8"/>
    <w:rsid w:val="264A731D"/>
    <w:rsid w:val="264CB25E"/>
    <w:rsid w:val="26535899"/>
    <w:rsid w:val="26556C40"/>
    <w:rsid w:val="2656398C"/>
    <w:rsid w:val="26578549"/>
    <w:rsid w:val="265AACB0"/>
    <w:rsid w:val="265D896A"/>
    <w:rsid w:val="265E0278"/>
    <w:rsid w:val="265F2FBA"/>
    <w:rsid w:val="266483E7"/>
    <w:rsid w:val="266C5936"/>
    <w:rsid w:val="266E6824"/>
    <w:rsid w:val="26707E7D"/>
    <w:rsid w:val="2670E96A"/>
    <w:rsid w:val="26721C15"/>
    <w:rsid w:val="26729FFE"/>
    <w:rsid w:val="26783BD0"/>
    <w:rsid w:val="267B2AC9"/>
    <w:rsid w:val="267C6133"/>
    <w:rsid w:val="267CC344"/>
    <w:rsid w:val="268033E2"/>
    <w:rsid w:val="26862625"/>
    <w:rsid w:val="2689671E"/>
    <w:rsid w:val="2690A367"/>
    <w:rsid w:val="26913608"/>
    <w:rsid w:val="26937FE2"/>
    <w:rsid w:val="26967613"/>
    <w:rsid w:val="2698CCBB"/>
    <w:rsid w:val="269BE36B"/>
    <w:rsid w:val="269BF4FD"/>
    <w:rsid w:val="26A0BE36"/>
    <w:rsid w:val="26A6937E"/>
    <w:rsid w:val="26A74EBE"/>
    <w:rsid w:val="26A9DFA3"/>
    <w:rsid w:val="26AA9255"/>
    <w:rsid w:val="26AB9FCB"/>
    <w:rsid w:val="26AE58C2"/>
    <w:rsid w:val="26B3289C"/>
    <w:rsid w:val="26B36D57"/>
    <w:rsid w:val="26B43E66"/>
    <w:rsid w:val="26B6DB5E"/>
    <w:rsid w:val="26BA1D5D"/>
    <w:rsid w:val="26BB2135"/>
    <w:rsid w:val="26BC2FA8"/>
    <w:rsid w:val="26BC9C5A"/>
    <w:rsid w:val="26C206A9"/>
    <w:rsid w:val="26C56AF3"/>
    <w:rsid w:val="26CA8D3D"/>
    <w:rsid w:val="26CBC167"/>
    <w:rsid w:val="26D5588D"/>
    <w:rsid w:val="26D6216C"/>
    <w:rsid w:val="26DBEE69"/>
    <w:rsid w:val="26DFEF1B"/>
    <w:rsid w:val="26E4B1BA"/>
    <w:rsid w:val="26EE883D"/>
    <w:rsid w:val="26EEB997"/>
    <w:rsid w:val="26EF4D0E"/>
    <w:rsid w:val="26F0D022"/>
    <w:rsid w:val="27008217"/>
    <w:rsid w:val="27020482"/>
    <w:rsid w:val="27033A91"/>
    <w:rsid w:val="27058E2C"/>
    <w:rsid w:val="2706DACE"/>
    <w:rsid w:val="270A6591"/>
    <w:rsid w:val="270C89C9"/>
    <w:rsid w:val="270DE435"/>
    <w:rsid w:val="270E8EBA"/>
    <w:rsid w:val="2710E152"/>
    <w:rsid w:val="2715F074"/>
    <w:rsid w:val="271622B6"/>
    <w:rsid w:val="271BE3A9"/>
    <w:rsid w:val="271C291D"/>
    <w:rsid w:val="27282103"/>
    <w:rsid w:val="272AF9D0"/>
    <w:rsid w:val="272B41C6"/>
    <w:rsid w:val="272BF426"/>
    <w:rsid w:val="2730A26D"/>
    <w:rsid w:val="2731AD54"/>
    <w:rsid w:val="2736CC89"/>
    <w:rsid w:val="2737F198"/>
    <w:rsid w:val="27397D05"/>
    <w:rsid w:val="273A31A3"/>
    <w:rsid w:val="273AE8BA"/>
    <w:rsid w:val="273DD906"/>
    <w:rsid w:val="273E7EB2"/>
    <w:rsid w:val="27401EC7"/>
    <w:rsid w:val="27402366"/>
    <w:rsid w:val="274247AD"/>
    <w:rsid w:val="2744996B"/>
    <w:rsid w:val="2750276C"/>
    <w:rsid w:val="27513537"/>
    <w:rsid w:val="27523E06"/>
    <w:rsid w:val="2753834C"/>
    <w:rsid w:val="275598BD"/>
    <w:rsid w:val="27582F19"/>
    <w:rsid w:val="2758753D"/>
    <w:rsid w:val="275DEFFC"/>
    <w:rsid w:val="275E5B24"/>
    <w:rsid w:val="2764CAE8"/>
    <w:rsid w:val="276584BB"/>
    <w:rsid w:val="276BCC00"/>
    <w:rsid w:val="276ECE22"/>
    <w:rsid w:val="27787370"/>
    <w:rsid w:val="277A9D77"/>
    <w:rsid w:val="277F58FB"/>
    <w:rsid w:val="278399C7"/>
    <w:rsid w:val="2785CA1F"/>
    <w:rsid w:val="27887B5E"/>
    <w:rsid w:val="278B4F14"/>
    <w:rsid w:val="278E36B6"/>
    <w:rsid w:val="27948F0F"/>
    <w:rsid w:val="27970DC4"/>
    <w:rsid w:val="27996690"/>
    <w:rsid w:val="279AB556"/>
    <w:rsid w:val="279B8C5E"/>
    <w:rsid w:val="279D82E3"/>
    <w:rsid w:val="27B4AC9E"/>
    <w:rsid w:val="27B5933D"/>
    <w:rsid w:val="27B68897"/>
    <w:rsid w:val="27BA83A4"/>
    <w:rsid w:val="27BAF4C3"/>
    <w:rsid w:val="27C2E403"/>
    <w:rsid w:val="27C4D4A9"/>
    <w:rsid w:val="27C67243"/>
    <w:rsid w:val="27D241A9"/>
    <w:rsid w:val="27D7FE45"/>
    <w:rsid w:val="27D8D089"/>
    <w:rsid w:val="27D8FBD0"/>
    <w:rsid w:val="27DDCC5F"/>
    <w:rsid w:val="27E43B14"/>
    <w:rsid w:val="27F02E41"/>
    <w:rsid w:val="27F1EAAD"/>
    <w:rsid w:val="27F81E9E"/>
    <w:rsid w:val="2801709C"/>
    <w:rsid w:val="2802098B"/>
    <w:rsid w:val="280319A0"/>
    <w:rsid w:val="2804DDCC"/>
    <w:rsid w:val="28055462"/>
    <w:rsid w:val="28076C24"/>
    <w:rsid w:val="2807901C"/>
    <w:rsid w:val="280CD19C"/>
    <w:rsid w:val="28102703"/>
    <w:rsid w:val="2810794D"/>
    <w:rsid w:val="2811A9E0"/>
    <w:rsid w:val="2812ACA8"/>
    <w:rsid w:val="281410F9"/>
    <w:rsid w:val="28145A69"/>
    <w:rsid w:val="281474E7"/>
    <w:rsid w:val="2814DC34"/>
    <w:rsid w:val="2816B99B"/>
    <w:rsid w:val="28187DB4"/>
    <w:rsid w:val="2819F801"/>
    <w:rsid w:val="281E7D6D"/>
    <w:rsid w:val="283AB118"/>
    <w:rsid w:val="2841784E"/>
    <w:rsid w:val="284250D5"/>
    <w:rsid w:val="2843DD30"/>
    <w:rsid w:val="2846F8F9"/>
    <w:rsid w:val="28485DD8"/>
    <w:rsid w:val="285168AB"/>
    <w:rsid w:val="285365D5"/>
    <w:rsid w:val="2859A7FE"/>
    <w:rsid w:val="285AD352"/>
    <w:rsid w:val="285E2D47"/>
    <w:rsid w:val="286D0B6E"/>
    <w:rsid w:val="28708824"/>
    <w:rsid w:val="28720ACE"/>
    <w:rsid w:val="2876FE35"/>
    <w:rsid w:val="28790256"/>
    <w:rsid w:val="287A4EB9"/>
    <w:rsid w:val="287A5097"/>
    <w:rsid w:val="287CC3E9"/>
    <w:rsid w:val="287D8BDF"/>
    <w:rsid w:val="287E2D9D"/>
    <w:rsid w:val="2882C2FC"/>
    <w:rsid w:val="2885CF86"/>
    <w:rsid w:val="2889B73E"/>
    <w:rsid w:val="2894A21E"/>
    <w:rsid w:val="28996C6B"/>
    <w:rsid w:val="289B5734"/>
    <w:rsid w:val="28A0D923"/>
    <w:rsid w:val="28AA98C4"/>
    <w:rsid w:val="28AC83AB"/>
    <w:rsid w:val="28B6A8A5"/>
    <w:rsid w:val="28B6EB2D"/>
    <w:rsid w:val="28B75729"/>
    <w:rsid w:val="28BE62A8"/>
    <w:rsid w:val="28BF916A"/>
    <w:rsid w:val="28C93BFF"/>
    <w:rsid w:val="28CB62E8"/>
    <w:rsid w:val="28CF92DD"/>
    <w:rsid w:val="28D364F8"/>
    <w:rsid w:val="28D5F29D"/>
    <w:rsid w:val="28D7A75F"/>
    <w:rsid w:val="28DEA60F"/>
    <w:rsid w:val="28DF10FE"/>
    <w:rsid w:val="28DF6EE8"/>
    <w:rsid w:val="28E0002C"/>
    <w:rsid w:val="28E012C4"/>
    <w:rsid w:val="28E1C05B"/>
    <w:rsid w:val="28EABEE9"/>
    <w:rsid w:val="28EEC5CB"/>
    <w:rsid w:val="28EF8216"/>
    <w:rsid w:val="28F0E709"/>
    <w:rsid w:val="28F0EC75"/>
    <w:rsid w:val="28F3478D"/>
    <w:rsid w:val="28F3AAFC"/>
    <w:rsid w:val="28F3E2F0"/>
    <w:rsid w:val="28F97208"/>
    <w:rsid w:val="28FE7CEE"/>
    <w:rsid w:val="28FE9A61"/>
    <w:rsid w:val="28FFD243"/>
    <w:rsid w:val="2902C8BD"/>
    <w:rsid w:val="290395A9"/>
    <w:rsid w:val="290640D5"/>
    <w:rsid w:val="2907D052"/>
    <w:rsid w:val="29087D01"/>
    <w:rsid w:val="2908D79F"/>
    <w:rsid w:val="2909901D"/>
    <w:rsid w:val="290ACFB3"/>
    <w:rsid w:val="290BCDB0"/>
    <w:rsid w:val="291265A1"/>
    <w:rsid w:val="29190BA5"/>
    <w:rsid w:val="291FED72"/>
    <w:rsid w:val="2921C1C1"/>
    <w:rsid w:val="292326A3"/>
    <w:rsid w:val="292A2368"/>
    <w:rsid w:val="292FD6ED"/>
    <w:rsid w:val="2933FB92"/>
    <w:rsid w:val="293777B4"/>
    <w:rsid w:val="2939E7E5"/>
    <w:rsid w:val="293DC7DC"/>
    <w:rsid w:val="293E56B8"/>
    <w:rsid w:val="2941001F"/>
    <w:rsid w:val="2941BFE7"/>
    <w:rsid w:val="2942C5EE"/>
    <w:rsid w:val="2945968A"/>
    <w:rsid w:val="294783E8"/>
    <w:rsid w:val="29486D38"/>
    <w:rsid w:val="2948E1F1"/>
    <w:rsid w:val="294C69FC"/>
    <w:rsid w:val="294EEE18"/>
    <w:rsid w:val="2950DFA6"/>
    <w:rsid w:val="2956D42F"/>
    <w:rsid w:val="295C4BAF"/>
    <w:rsid w:val="296158B5"/>
    <w:rsid w:val="2961C489"/>
    <w:rsid w:val="296319BF"/>
    <w:rsid w:val="2964BC03"/>
    <w:rsid w:val="29691446"/>
    <w:rsid w:val="29692EFA"/>
    <w:rsid w:val="29694539"/>
    <w:rsid w:val="2969A35E"/>
    <w:rsid w:val="296A2861"/>
    <w:rsid w:val="296CE353"/>
    <w:rsid w:val="2973BAD3"/>
    <w:rsid w:val="2976DBC9"/>
    <w:rsid w:val="29778CEC"/>
    <w:rsid w:val="29778DDC"/>
    <w:rsid w:val="297C730A"/>
    <w:rsid w:val="29823CD2"/>
    <w:rsid w:val="2988A6A6"/>
    <w:rsid w:val="298B0C97"/>
    <w:rsid w:val="298BD4EB"/>
    <w:rsid w:val="298D6BFF"/>
    <w:rsid w:val="298F75D4"/>
    <w:rsid w:val="299D296A"/>
    <w:rsid w:val="29A32AAD"/>
    <w:rsid w:val="29A63E05"/>
    <w:rsid w:val="29A65BB4"/>
    <w:rsid w:val="29A993D8"/>
    <w:rsid w:val="29AF0ACE"/>
    <w:rsid w:val="29B0F08C"/>
    <w:rsid w:val="29B8E4C6"/>
    <w:rsid w:val="29BCBD7C"/>
    <w:rsid w:val="29BD2979"/>
    <w:rsid w:val="29C3C098"/>
    <w:rsid w:val="29C938C5"/>
    <w:rsid w:val="29CA9A18"/>
    <w:rsid w:val="29D8DFAC"/>
    <w:rsid w:val="29DC60CD"/>
    <w:rsid w:val="29DE9273"/>
    <w:rsid w:val="29E92E0B"/>
    <w:rsid w:val="29E958BE"/>
    <w:rsid w:val="29EB81ED"/>
    <w:rsid w:val="29ED390D"/>
    <w:rsid w:val="29ED4961"/>
    <w:rsid w:val="29F22AD9"/>
    <w:rsid w:val="29F2A001"/>
    <w:rsid w:val="29F36E5D"/>
    <w:rsid w:val="29F3FF65"/>
    <w:rsid w:val="29F80E96"/>
    <w:rsid w:val="29FAE2D7"/>
    <w:rsid w:val="29FDCEBA"/>
    <w:rsid w:val="2A003AC7"/>
    <w:rsid w:val="2A01D52C"/>
    <w:rsid w:val="2A02319D"/>
    <w:rsid w:val="2A03391C"/>
    <w:rsid w:val="2A057C18"/>
    <w:rsid w:val="2A064B5F"/>
    <w:rsid w:val="2A0DB735"/>
    <w:rsid w:val="2A18794F"/>
    <w:rsid w:val="2A1A6BF9"/>
    <w:rsid w:val="2A1AAA5C"/>
    <w:rsid w:val="2A1D0325"/>
    <w:rsid w:val="2A21CCAC"/>
    <w:rsid w:val="2A24F050"/>
    <w:rsid w:val="2A250B7C"/>
    <w:rsid w:val="2A2AEAE0"/>
    <w:rsid w:val="2A2E98AF"/>
    <w:rsid w:val="2A2ED732"/>
    <w:rsid w:val="2A31E084"/>
    <w:rsid w:val="2A349340"/>
    <w:rsid w:val="2A37C569"/>
    <w:rsid w:val="2A37E38D"/>
    <w:rsid w:val="2A3F9077"/>
    <w:rsid w:val="2A418E68"/>
    <w:rsid w:val="2A42E3F2"/>
    <w:rsid w:val="2A432FFC"/>
    <w:rsid w:val="2A448A70"/>
    <w:rsid w:val="2A4A7C15"/>
    <w:rsid w:val="2A4A8BD3"/>
    <w:rsid w:val="2A4B0096"/>
    <w:rsid w:val="2A5313AC"/>
    <w:rsid w:val="2A54760A"/>
    <w:rsid w:val="2A597E51"/>
    <w:rsid w:val="2A59CE2B"/>
    <w:rsid w:val="2A5A0408"/>
    <w:rsid w:val="2A5EDCAE"/>
    <w:rsid w:val="2A647628"/>
    <w:rsid w:val="2A661D24"/>
    <w:rsid w:val="2A67792E"/>
    <w:rsid w:val="2A678479"/>
    <w:rsid w:val="2A687CC0"/>
    <w:rsid w:val="2A6BC2AC"/>
    <w:rsid w:val="2A7B35FF"/>
    <w:rsid w:val="2A7E0A37"/>
    <w:rsid w:val="2A7F5588"/>
    <w:rsid w:val="2A859FBA"/>
    <w:rsid w:val="2A878E3B"/>
    <w:rsid w:val="2A886DAC"/>
    <w:rsid w:val="2A8A7D75"/>
    <w:rsid w:val="2A8C211D"/>
    <w:rsid w:val="2A8D046E"/>
    <w:rsid w:val="2A8D53EE"/>
    <w:rsid w:val="2A9427DF"/>
    <w:rsid w:val="2A94C71B"/>
    <w:rsid w:val="2A95056C"/>
    <w:rsid w:val="2A956F41"/>
    <w:rsid w:val="2A991741"/>
    <w:rsid w:val="2A999A22"/>
    <w:rsid w:val="2A9CBA3A"/>
    <w:rsid w:val="2AA263CF"/>
    <w:rsid w:val="2AA2B1A4"/>
    <w:rsid w:val="2AA348D3"/>
    <w:rsid w:val="2AA53286"/>
    <w:rsid w:val="2AA7AD16"/>
    <w:rsid w:val="2AAA5B89"/>
    <w:rsid w:val="2AB21E90"/>
    <w:rsid w:val="2AB68AF5"/>
    <w:rsid w:val="2AB85634"/>
    <w:rsid w:val="2AB9BE9E"/>
    <w:rsid w:val="2ABF731D"/>
    <w:rsid w:val="2AC1ADF0"/>
    <w:rsid w:val="2AC248BF"/>
    <w:rsid w:val="2AC25CF0"/>
    <w:rsid w:val="2AC98EDA"/>
    <w:rsid w:val="2ACC46FB"/>
    <w:rsid w:val="2ACCD515"/>
    <w:rsid w:val="2AD2514B"/>
    <w:rsid w:val="2AD60B00"/>
    <w:rsid w:val="2AD8F68E"/>
    <w:rsid w:val="2AD904B8"/>
    <w:rsid w:val="2ADFF53D"/>
    <w:rsid w:val="2AE42DF4"/>
    <w:rsid w:val="2AE69902"/>
    <w:rsid w:val="2AF03580"/>
    <w:rsid w:val="2AF09E77"/>
    <w:rsid w:val="2AF8F95B"/>
    <w:rsid w:val="2AFBCB45"/>
    <w:rsid w:val="2AFDF94E"/>
    <w:rsid w:val="2B018552"/>
    <w:rsid w:val="2B027E48"/>
    <w:rsid w:val="2B088C17"/>
    <w:rsid w:val="2B1B20AC"/>
    <w:rsid w:val="2B1DE011"/>
    <w:rsid w:val="2B28DBB1"/>
    <w:rsid w:val="2B2A8044"/>
    <w:rsid w:val="2B2C1A54"/>
    <w:rsid w:val="2B2C2465"/>
    <w:rsid w:val="2B2E7853"/>
    <w:rsid w:val="2B33E427"/>
    <w:rsid w:val="2B34F8BE"/>
    <w:rsid w:val="2B363340"/>
    <w:rsid w:val="2B367E68"/>
    <w:rsid w:val="2B368F2E"/>
    <w:rsid w:val="2B3F02F7"/>
    <w:rsid w:val="2B3F917E"/>
    <w:rsid w:val="2B437770"/>
    <w:rsid w:val="2B461FCE"/>
    <w:rsid w:val="2B46DD86"/>
    <w:rsid w:val="2B4A50F0"/>
    <w:rsid w:val="2B4BC488"/>
    <w:rsid w:val="2B4DECCB"/>
    <w:rsid w:val="2B4E57D2"/>
    <w:rsid w:val="2B50855B"/>
    <w:rsid w:val="2B59C768"/>
    <w:rsid w:val="2B5DB64C"/>
    <w:rsid w:val="2B6053CA"/>
    <w:rsid w:val="2B613532"/>
    <w:rsid w:val="2B62FD22"/>
    <w:rsid w:val="2B6557D0"/>
    <w:rsid w:val="2B678605"/>
    <w:rsid w:val="2B69E97A"/>
    <w:rsid w:val="2B6A5913"/>
    <w:rsid w:val="2B6D757E"/>
    <w:rsid w:val="2B6E4FF1"/>
    <w:rsid w:val="2B6F4EE2"/>
    <w:rsid w:val="2B72B774"/>
    <w:rsid w:val="2B75B814"/>
    <w:rsid w:val="2B75C23E"/>
    <w:rsid w:val="2B77123E"/>
    <w:rsid w:val="2B7789DB"/>
    <w:rsid w:val="2B7AF095"/>
    <w:rsid w:val="2B7D6557"/>
    <w:rsid w:val="2B81B1B3"/>
    <w:rsid w:val="2B893C4D"/>
    <w:rsid w:val="2B92DF17"/>
    <w:rsid w:val="2B947D44"/>
    <w:rsid w:val="2B9502C0"/>
    <w:rsid w:val="2B9868CA"/>
    <w:rsid w:val="2BA05034"/>
    <w:rsid w:val="2BA84BAC"/>
    <w:rsid w:val="2BAA086D"/>
    <w:rsid w:val="2BAF6990"/>
    <w:rsid w:val="2BB4D4FE"/>
    <w:rsid w:val="2BB619D4"/>
    <w:rsid w:val="2BBAA925"/>
    <w:rsid w:val="2BC0B66D"/>
    <w:rsid w:val="2BCB871A"/>
    <w:rsid w:val="2BCC7EC5"/>
    <w:rsid w:val="2BCF81F6"/>
    <w:rsid w:val="2BD20CAD"/>
    <w:rsid w:val="2BD38589"/>
    <w:rsid w:val="2BD4844B"/>
    <w:rsid w:val="2BD52A0B"/>
    <w:rsid w:val="2BD60768"/>
    <w:rsid w:val="2BD8256C"/>
    <w:rsid w:val="2BDBC875"/>
    <w:rsid w:val="2BDF1250"/>
    <w:rsid w:val="2BE7953D"/>
    <w:rsid w:val="2BEAFB25"/>
    <w:rsid w:val="2BEE400A"/>
    <w:rsid w:val="2BF1D499"/>
    <w:rsid w:val="2BFE3DCA"/>
    <w:rsid w:val="2BFFE037"/>
    <w:rsid w:val="2C0106B8"/>
    <w:rsid w:val="2C062938"/>
    <w:rsid w:val="2C08EA40"/>
    <w:rsid w:val="2C09C47D"/>
    <w:rsid w:val="2C0C2FFB"/>
    <w:rsid w:val="2C1C55B4"/>
    <w:rsid w:val="2C1CE9E1"/>
    <w:rsid w:val="2C2D9086"/>
    <w:rsid w:val="2C315CAE"/>
    <w:rsid w:val="2C317376"/>
    <w:rsid w:val="2C354973"/>
    <w:rsid w:val="2C3642A3"/>
    <w:rsid w:val="2C3CB634"/>
    <w:rsid w:val="2C3DC984"/>
    <w:rsid w:val="2C430F0F"/>
    <w:rsid w:val="2C46FFE2"/>
    <w:rsid w:val="2C47E656"/>
    <w:rsid w:val="2C490F1D"/>
    <w:rsid w:val="2C4BA380"/>
    <w:rsid w:val="2C4E1FCB"/>
    <w:rsid w:val="2C4ED633"/>
    <w:rsid w:val="2C504751"/>
    <w:rsid w:val="2C508B3C"/>
    <w:rsid w:val="2C58D300"/>
    <w:rsid w:val="2C59ACD6"/>
    <w:rsid w:val="2C5DC3DF"/>
    <w:rsid w:val="2C6A3E41"/>
    <w:rsid w:val="2C77FA4A"/>
    <w:rsid w:val="2C81B53E"/>
    <w:rsid w:val="2C83E7FB"/>
    <w:rsid w:val="2C864513"/>
    <w:rsid w:val="2C88FE1E"/>
    <w:rsid w:val="2C8C367A"/>
    <w:rsid w:val="2C8C6A0F"/>
    <w:rsid w:val="2C8EDB83"/>
    <w:rsid w:val="2C99E837"/>
    <w:rsid w:val="2C9AA6BF"/>
    <w:rsid w:val="2CA08B7C"/>
    <w:rsid w:val="2CA162D2"/>
    <w:rsid w:val="2CA22F9F"/>
    <w:rsid w:val="2CA247D0"/>
    <w:rsid w:val="2CA65E11"/>
    <w:rsid w:val="2CA6AD42"/>
    <w:rsid w:val="2CA8B462"/>
    <w:rsid w:val="2CAC60B5"/>
    <w:rsid w:val="2CAC6A08"/>
    <w:rsid w:val="2CAD1C69"/>
    <w:rsid w:val="2CB192E0"/>
    <w:rsid w:val="2CB4F19A"/>
    <w:rsid w:val="2CB5A5BE"/>
    <w:rsid w:val="2CB66CC5"/>
    <w:rsid w:val="2CBA397F"/>
    <w:rsid w:val="2CC198D3"/>
    <w:rsid w:val="2CCC5CE1"/>
    <w:rsid w:val="2CCE46D9"/>
    <w:rsid w:val="2CD06AEF"/>
    <w:rsid w:val="2CD4F66F"/>
    <w:rsid w:val="2CD871F6"/>
    <w:rsid w:val="2CDA6008"/>
    <w:rsid w:val="2CDE3F3C"/>
    <w:rsid w:val="2CE10171"/>
    <w:rsid w:val="2CE57AB0"/>
    <w:rsid w:val="2CEB340B"/>
    <w:rsid w:val="2CED05E4"/>
    <w:rsid w:val="2CEF1BC0"/>
    <w:rsid w:val="2CF7482E"/>
    <w:rsid w:val="2CF99244"/>
    <w:rsid w:val="2CF999CF"/>
    <w:rsid w:val="2D00E9C6"/>
    <w:rsid w:val="2D013984"/>
    <w:rsid w:val="2D04B0B7"/>
    <w:rsid w:val="2D0B99A1"/>
    <w:rsid w:val="2D11BE4D"/>
    <w:rsid w:val="2D17889E"/>
    <w:rsid w:val="2D238200"/>
    <w:rsid w:val="2D2F6C2D"/>
    <w:rsid w:val="2D34F8FF"/>
    <w:rsid w:val="2D3A9513"/>
    <w:rsid w:val="2D3DDC26"/>
    <w:rsid w:val="2D3E610E"/>
    <w:rsid w:val="2D4193B5"/>
    <w:rsid w:val="2D44CC28"/>
    <w:rsid w:val="2D486606"/>
    <w:rsid w:val="2D4B11D8"/>
    <w:rsid w:val="2D4B3FFF"/>
    <w:rsid w:val="2D4D9A13"/>
    <w:rsid w:val="2D5003D2"/>
    <w:rsid w:val="2D513992"/>
    <w:rsid w:val="2D51675C"/>
    <w:rsid w:val="2D55372B"/>
    <w:rsid w:val="2D5F9049"/>
    <w:rsid w:val="2D634A32"/>
    <w:rsid w:val="2D63C21B"/>
    <w:rsid w:val="2D64F282"/>
    <w:rsid w:val="2D663DC7"/>
    <w:rsid w:val="2D676CBE"/>
    <w:rsid w:val="2D694858"/>
    <w:rsid w:val="2D6C918A"/>
    <w:rsid w:val="2D700761"/>
    <w:rsid w:val="2D7A3A2E"/>
    <w:rsid w:val="2D8316DF"/>
    <w:rsid w:val="2D849A0F"/>
    <w:rsid w:val="2D880C2F"/>
    <w:rsid w:val="2D8DC541"/>
    <w:rsid w:val="2D8E26C7"/>
    <w:rsid w:val="2D8E3EE8"/>
    <w:rsid w:val="2D8F9C56"/>
    <w:rsid w:val="2D939E36"/>
    <w:rsid w:val="2D9411C1"/>
    <w:rsid w:val="2D97BFAE"/>
    <w:rsid w:val="2D9804FE"/>
    <w:rsid w:val="2D9A4BA8"/>
    <w:rsid w:val="2D9C22E6"/>
    <w:rsid w:val="2D9D4702"/>
    <w:rsid w:val="2D9ECC7C"/>
    <w:rsid w:val="2DA13435"/>
    <w:rsid w:val="2DA3D1AB"/>
    <w:rsid w:val="2DA50A4D"/>
    <w:rsid w:val="2DA74EB3"/>
    <w:rsid w:val="2DACA1A4"/>
    <w:rsid w:val="2DADD83A"/>
    <w:rsid w:val="2DAE87A7"/>
    <w:rsid w:val="2DB7FAC4"/>
    <w:rsid w:val="2DB886E0"/>
    <w:rsid w:val="2DC13973"/>
    <w:rsid w:val="2DC18B6E"/>
    <w:rsid w:val="2DC9AB3F"/>
    <w:rsid w:val="2DCB45B8"/>
    <w:rsid w:val="2DD1A9F0"/>
    <w:rsid w:val="2DD93324"/>
    <w:rsid w:val="2DDD070D"/>
    <w:rsid w:val="2DDE38AD"/>
    <w:rsid w:val="2DE39B69"/>
    <w:rsid w:val="2DE4B53D"/>
    <w:rsid w:val="2DE4C8C2"/>
    <w:rsid w:val="2DE74BE8"/>
    <w:rsid w:val="2DF0A41C"/>
    <w:rsid w:val="2DF3EB40"/>
    <w:rsid w:val="2DFB692C"/>
    <w:rsid w:val="2DFDC5DC"/>
    <w:rsid w:val="2DFDC889"/>
    <w:rsid w:val="2E021C46"/>
    <w:rsid w:val="2E04AABD"/>
    <w:rsid w:val="2E056EA9"/>
    <w:rsid w:val="2E05FDCA"/>
    <w:rsid w:val="2E08C996"/>
    <w:rsid w:val="2E0E6C18"/>
    <w:rsid w:val="2E107B07"/>
    <w:rsid w:val="2E108371"/>
    <w:rsid w:val="2E165707"/>
    <w:rsid w:val="2E16AA3D"/>
    <w:rsid w:val="2E193C10"/>
    <w:rsid w:val="2E1C41A3"/>
    <w:rsid w:val="2E1F7E8E"/>
    <w:rsid w:val="2E206640"/>
    <w:rsid w:val="2E29A900"/>
    <w:rsid w:val="2E2A86AF"/>
    <w:rsid w:val="2E2B6A07"/>
    <w:rsid w:val="2E2F34C2"/>
    <w:rsid w:val="2E2F425C"/>
    <w:rsid w:val="2E3BB599"/>
    <w:rsid w:val="2E3DE49C"/>
    <w:rsid w:val="2E47E611"/>
    <w:rsid w:val="2E47F661"/>
    <w:rsid w:val="2E486D91"/>
    <w:rsid w:val="2E48E4CB"/>
    <w:rsid w:val="2E4A9F0C"/>
    <w:rsid w:val="2E4B82D2"/>
    <w:rsid w:val="2E4D9CC3"/>
    <w:rsid w:val="2E4EC8D2"/>
    <w:rsid w:val="2E50DF5E"/>
    <w:rsid w:val="2E526A4D"/>
    <w:rsid w:val="2E59C8E5"/>
    <w:rsid w:val="2E5BCAE3"/>
    <w:rsid w:val="2E623D33"/>
    <w:rsid w:val="2E6312D4"/>
    <w:rsid w:val="2E65561B"/>
    <w:rsid w:val="2E65F1B2"/>
    <w:rsid w:val="2E6B7C16"/>
    <w:rsid w:val="2E6D27A5"/>
    <w:rsid w:val="2E6E7F58"/>
    <w:rsid w:val="2E738950"/>
    <w:rsid w:val="2E786398"/>
    <w:rsid w:val="2E7994AD"/>
    <w:rsid w:val="2E7D5B00"/>
    <w:rsid w:val="2E7D8274"/>
    <w:rsid w:val="2E7EBFCF"/>
    <w:rsid w:val="2E82A8FD"/>
    <w:rsid w:val="2E83BBCC"/>
    <w:rsid w:val="2E83C2E4"/>
    <w:rsid w:val="2E85279C"/>
    <w:rsid w:val="2E8726E5"/>
    <w:rsid w:val="2E9C4969"/>
    <w:rsid w:val="2E9D53CE"/>
    <w:rsid w:val="2E9F16CF"/>
    <w:rsid w:val="2E9F1A2D"/>
    <w:rsid w:val="2EA18E0E"/>
    <w:rsid w:val="2EAA2705"/>
    <w:rsid w:val="2EB4D979"/>
    <w:rsid w:val="2EB63C20"/>
    <w:rsid w:val="2EBC4994"/>
    <w:rsid w:val="2EBEE69E"/>
    <w:rsid w:val="2EC480AF"/>
    <w:rsid w:val="2EC5A703"/>
    <w:rsid w:val="2EC68074"/>
    <w:rsid w:val="2EC6DBF1"/>
    <w:rsid w:val="2EC78C9A"/>
    <w:rsid w:val="2ECB9334"/>
    <w:rsid w:val="2ECBB185"/>
    <w:rsid w:val="2ECDDB19"/>
    <w:rsid w:val="2ED14B48"/>
    <w:rsid w:val="2ED1EE68"/>
    <w:rsid w:val="2ED59125"/>
    <w:rsid w:val="2ED7C50E"/>
    <w:rsid w:val="2EDA6AAA"/>
    <w:rsid w:val="2EE22709"/>
    <w:rsid w:val="2EE2AD9C"/>
    <w:rsid w:val="2EE61463"/>
    <w:rsid w:val="2EEBFB93"/>
    <w:rsid w:val="2EECB25D"/>
    <w:rsid w:val="2EF8A375"/>
    <w:rsid w:val="2EFAFF08"/>
    <w:rsid w:val="2F009808"/>
    <w:rsid w:val="2F01D82E"/>
    <w:rsid w:val="2F089817"/>
    <w:rsid w:val="2F0BF0A4"/>
    <w:rsid w:val="2F17C1BB"/>
    <w:rsid w:val="2F1A6D11"/>
    <w:rsid w:val="2F1D0996"/>
    <w:rsid w:val="2F1FE88F"/>
    <w:rsid w:val="2F23A147"/>
    <w:rsid w:val="2F271719"/>
    <w:rsid w:val="2F285EED"/>
    <w:rsid w:val="2F29256B"/>
    <w:rsid w:val="2F3378B8"/>
    <w:rsid w:val="2F3435E3"/>
    <w:rsid w:val="2F3AB38B"/>
    <w:rsid w:val="2F3B2B2A"/>
    <w:rsid w:val="2F3E5D54"/>
    <w:rsid w:val="2F42155A"/>
    <w:rsid w:val="2F540847"/>
    <w:rsid w:val="2F551634"/>
    <w:rsid w:val="2F5936C4"/>
    <w:rsid w:val="2F5A8994"/>
    <w:rsid w:val="2F5A9259"/>
    <w:rsid w:val="2F5BC23C"/>
    <w:rsid w:val="2F5C5CF5"/>
    <w:rsid w:val="2F5C8E74"/>
    <w:rsid w:val="2F5D69BE"/>
    <w:rsid w:val="2F60D752"/>
    <w:rsid w:val="2F6B2CBA"/>
    <w:rsid w:val="2F6F4317"/>
    <w:rsid w:val="2F70BAC9"/>
    <w:rsid w:val="2F745FBF"/>
    <w:rsid w:val="2F7AC5FF"/>
    <w:rsid w:val="2F7D655E"/>
    <w:rsid w:val="2F7F3C4F"/>
    <w:rsid w:val="2F7F5431"/>
    <w:rsid w:val="2F8029AC"/>
    <w:rsid w:val="2F80F24F"/>
    <w:rsid w:val="2F8546E7"/>
    <w:rsid w:val="2F8E1C32"/>
    <w:rsid w:val="2F8FF0BF"/>
    <w:rsid w:val="2F900EC3"/>
    <w:rsid w:val="2F9A75C8"/>
    <w:rsid w:val="2F9C3397"/>
    <w:rsid w:val="2F9D9690"/>
    <w:rsid w:val="2F9E0F60"/>
    <w:rsid w:val="2FA6C789"/>
    <w:rsid w:val="2FB116C3"/>
    <w:rsid w:val="2FB221E2"/>
    <w:rsid w:val="2FB92612"/>
    <w:rsid w:val="2FBABC3F"/>
    <w:rsid w:val="2FBC1B5B"/>
    <w:rsid w:val="2FC0EEB3"/>
    <w:rsid w:val="2FC3E288"/>
    <w:rsid w:val="2FC74ADB"/>
    <w:rsid w:val="2FC9BCB8"/>
    <w:rsid w:val="2FCFFAD6"/>
    <w:rsid w:val="2FD21992"/>
    <w:rsid w:val="2FD403AD"/>
    <w:rsid w:val="2FD64A82"/>
    <w:rsid w:val="2FD7B985"/>
    <w:rsid w:val="2FDA0FD3"/>
    <w:rsid w:val="2FE05048"/>
    <w:rsid w:val="2FF1B112"/>
    <w:rsid w:val="2FF3C33A"/>
    <w:rsid w:val="3002A813"/>
    <w:rsid w:val="3004432B"/>
    <w:rsid w:val="300559AF"/>
    <w:rsid w:val="300A5A44"/>
    <w:rsid w:val="300B6514"/>
    <w:rsid w:val="300D944A"/>
    <w:rsid w:val="30182563"/>
    <w:rsid w:val="3019EE45"/>
    <w:rsid w:val="302307B4"/>
    <w:rsid w:val="302318D7"/>
    <w:rsid w:val="3024ED83"/>
    <w:rsid w:val="302A5333"/>
    <w:rsid w:val="3032F201"/>
    <w:rsid w:val="3034B995"/>
    <w:rsid w:val="30367415"/>
    <w:rsid w:val="3037F7D2"/>
    <w:rsid w:val="303ADFAF"/>
    <w:rsid w:val="303AE3A6"/>
    <w:rsid w:val="303C0534"/>
    <w:rsid w:val="30414CFE"/>
    <w:rsid w:val="30452EDF"/>
    <w:rsid w:val="3045B5AF"/>
    <w:rsid w:val="304E3320"/>
    <w:rsid w:val="305144F0"/>
    <w:rsid w:val="3054A829"/>
    <w:rsid w:val="30553060"/>
    <w:rsid w:val="30572961"/>
    <w:rsid w:val="30575910"/>
    <w:rsid w:val="305C2F2C"/>
    <w:rsid w:val="306757C5"/>
    <w:rsid w:val="306AFC53"/>
    <w:rsid w:val="306F0C70"/>
    <w:rsid w:val="30740D94"/>
    <w:rsid w:val="30741558"/>
    <w:rsid w:val="3078A7C7"/>
    <w:rsid w:val="307DBE61"/>
    <w:rsid w:val="308011FF"/>
    <w:rsid w:val="30824615"/>
    <w:rsid w:val="30867F49"/>
    <w:rsid w:val="3088F2BA"/>
    <w:rsid w:val="308AA2E5"/>
    <w:rsid w:val="308CE211"/>
    <w:rsid w:val="308FD82B"/>
    <w:rsid w:val="3092CD57"/>
    <w:rsid w:val="30950834"/>
    <w:rsid w:val="3099C8BA"/>
    <w:rsid w:val="309B322A"/>
    <w:rsid w:val="309B9F93"/>
    <w:rsid w:val="309BB4A6"/>
    <w:rsid w:val="309E42EA"/>
    <w:rsid w:val="30A34A31"/>
    <w:rsid w:val="30A4824F"/>
    <w:rsid w:val="30A4A602"/>
    <w:rsid w:val="30AFE131"/>
    <w:rsid w:val="30B17AC5"/>
    <w:rsid w:val="30B49419"/>
    <w:rsid w:val="30B7FD82"/>
    <w:rsid w:val="30BA47F3"/>
    <w:rsid w:val="30BA9DC2"/>
    <w:rsid w:val="30BCD0A9"/>
    <w:rsid w:val="30C4F98F"/>
    <w:rsid w:val="30C6EDC2"/>
    <w:rsid w:val="30C7583E"/>
    <w:rsid w:val="30CA26EF"/>
    <w:rsid w:val="30D7D7B0"/>
    <w:rsid w:val="30DB86F5"/>
    <w:rsid w:val="30DBD3D7"/>
    <w:rsid w:val="30DC4982"/>
    <w:rsid w:val="30DE26A0"/>
    <w:rsid w:val="30E1DC53"/>
    <w:rsid w:val="30E6238E"/>
    <w:rsid w:val="30EAB8C2"/>
    <w:rsid w:val="30EBAC9D"/>
    <w:rsid w:val="30EF87A2"/>
    <w:rsid w:val="30F33C62"/>
    <w:rsid w:val="30F81D5E"/>
    <w:rsid w:val="30FD19CD"/>
    <w:rsid w:val="30FFB50B"/>
    <w:rsid w:val="31046344"/>
    <w:rsid w:val="31077F6F"/>
    <w:rsid w:val="310935A2"/>
    <w:rsid w:val="31093C68"/>
    <w:rsid w:val="31136562"/>
    <w:rsid w:val="31147427"/>
    <w:rsid w:val="3115F0BE"/>
    <w:rsid w:val="3117F392"/>
    <w:rsid w:val="311A2438"/>
    <w:rsid w:val="312308B7"/>
    <w:rsid w:val="31237D11"/>
    <w:rsid w:val="3123C90E"/>
    <w:rsid w:val="31243571"/>
    <w:rsid w:val="3131F6F5"/>
    <w:rsid w:val="313497A2"/>
    <w:rsid w:val="3135AFFF"/>
    <w:rsid w:val="3136692A"/>
    <w:rsid w:val="313DF093"/>
    <w:rsid w:val="314127F8"/>
    <w:rsid w:val="314176E3"/>
    <w:rsid w:val="314622DE"/>
    <w:rsid w:val="3147C586"/>
    <w:rsid w:val="3149025C"/>
    <w:rsid w:val="314A3E5E"/>
    <w:rsid w:val="314CE64D"/>
    <w:rsid w:val="314FC5F0"/>
    <w:rsid w:val="3154EA8E"/>
    <w:rsid w:val="315C8AB3"/>
    <w:rsid w:val="315D0318"/>
    <w:rsid w:val="315D56CD"/>
    <w:rsid w:val="315E2510"/>
    <w:rsid w:val="3164EBD8"/>
    <w:rsid w:val="31655194"/>
    <w:rsid w:val="3169E772"/>
    <w:rsid w:val="316A4C97"/>
    <w:rsid w:val="316ABA4C"/>
    <w:rsid w:val="316B52E5"/>
    <w:rsid w:val="316B904A"/>
    <w:rsid w:val="316E5F5F"/>
    <w:rsid w:val="316EEEC2"/>
    <w:rsid w:val="316F2D09"/>
    <w:rsid w:val="31702C8E"/>
    <w:rsid w:val="3172B7EB"/>
    <w:rsid w:val="3172E745"/>
    <w:rsid w:val="317425E3"/>
    <w:rsid w:val="317692B5"/>
    <w:rsid w:val="317E9303"/>
    <w:rsid w:val="31825174"/>
    <w:rsid w:val="318AB7C0"/>
    <w:rsid w:val="318B5044"/>
    <w:rsid w:val="318C60AC"/>
    <w:rsid w:val="319AF1DA"/>
    <w:rsid w:val="319EDB43"/>
    <w:rsid w:val="31A232AC"/>
    <w:rsid w:val="31A24E51"/>
    <w:rsid w:val="31A7CCA8"/>
    <w:rsid w:val="31A8A4F0"/>
    <w:rsid w:val="31A8FFE9"/>
    <w:rsid w:val="31AA1B1F"/>
    <w:rsid w:val="31AF0BB6"/>
    <w:rsid w:val="31B07B7B"/>
    <w:rsid w:val="31B27DBD"/>
    <w:rsid w:val="31B5127B"/>
    <w:rsid w:val="31B6C918"/>
    <w:rsid w:val="31BE65A9"/>
    <w:rsid w:val="31BFE01E"/>
    <w:rsid w:val="31C29E0B"/>
    <w:rsid w:val="31C30BD3"/>
    <w:rsid w:val="31C34AB7"/>
    <w:rsid w:val="31C683E4"/>
    <w:rsid w:val="31C98D09"/>
    <w:rsid w:val="31CAFC29"/>
    <w:rsid w:val="31D181D3"/>
    <w:rsid w:val="31D7553E"/>
    <w:rsid w:val="31D792A0"/>
    <w:rsid w:val="31D8C15C"/>
    <w:rsid w:val="31DFC26E"/>
    <w:rsid w:val="31E07042"/>
    <w:rsid w:val="31E8FD71"/>
    <w:rsid w:val="31EBF504"/>
    <w:rsid w:val="31F734E4"/>
    <w:rsid w:val="31FEB97A"/>
    <w:rsid w:val="31FFCFFC"/>
    <w:rsid w:val="32015A6E"/>
    <w:rsid w:val="3201B5C3"/>
    <w:rsid w:val="3202651E"/>
    <w:rsid w:val="3203375C"/>
    <w:rsid w:val="32055F04"/>
    <w:rsid w:val="3208BF00"/>
    <w:rsid w:val="3209F0D6"/>
    <w:rsid w:val="320CFB67"/>
    <w:rsid w:val="321CF05A"/>
    <w:rsid w:val="321EA727"/>
    <w:rsid w:val="321F47E2"/>
    <w:rsid w:val="3222B6E9"/>
    <w:rsid w:val="3224D9C3"/>
    <w:rsid w:val="3225E4DD"/>
    <w:rsid w:val="3226C63D"/>
    <w:rsid w:val="322A7BD9"/>
    <w:rsid w:val="322F4C4C"/>
    <w:rsid w:val="3230B9AC"/>
    <w:rsid w:val="32374153"/>
    <w:rsid w:val="323D44B1"/>
    <w:rsid w:val="323DED75"/>
    <w:rsid w:val="32476445"/>
    <w:rsid w:val="3247BFB4"/>
    <w:rsid w:val="324CED4C"/>
    <w:rsid w:val="324DDA9B"/>
    <w:rsid w:val="32507F94"/>
    <w:rsid w:val="3252840E"/>
    <w:rsid w:val="325472B5"/>
    <w:rsid w:val="325CE6FB"/>
    <w:rsid w:val="3261CD13"/>
    <w:rsid w:val="3264CEAD"/>
    <w:rsid w:val="326590A9"/>
    <w:rsid w:val="3269975E"/>
    <w:rsid w:val="32737055"/>
    <w:rsid w:val="327C552C"/>
    <w:rsid w:val="327D2BD0"/>
    <w:rsid w:val="32800A14"/>
    <w:rsid w:val="32810C27"/>
    <w:rsid w:val="32818F20"/>
    <w:rsid w:val="32846E5C"/>
    <w:rsid w:val="32855914"/>
    <w:rsid w:val="328A49F7"/>
    <w:rsid w:val="328DB640"/>
    <w:rsid w:val="329206AE"/>
    <w:rsid w:val="3296CA8B"/>
    <w:rsid w:val="32978E0F"/>
    <w:rsid w:val="329AB9FF"/>
    <w:rsid w:val="329CAD37"/>
    <w:rsid w:val="32A04243"/>
    <w:rsid w:val="32A0733D"/>
    <w:rsid w:val="32A0A6B2"/>
    <w:rsid w:val="32A86C7E"/>
    <w:rsid w:val="32AF3662"/>
    <w:rsid w:val="32AFB85C"/>
    <w:rsid w:val="32B1CF29"/>
    <w:rsid w:val="32B1E452"/>
    <w:rsid w:val="32B601BF"/>
    <w:rsid w:val="32B78D1E"/>
    <w:rsid w:val="32B8E428"/>
    <w:rsid w:val="32C03890"/>
    <w:rsid w:val="32C1BD63"/>
    <w:rsid w:val="32C5A137"/>
    <w:rsid w:val="32C608E6"/>
    <w:rsid w:val="32CB45BF"/>
    <w:rsid w:val="32CBC3DD"/>
    <w:rsid w:val="32CBC4FD"/>
    <w:rsid w:val="32CC757B"/>
    <w:rsid w:val="32CFCA79"/>
    <w:rsid w:val="32CFF49C"/>
    <w:rsid w:val="32D5C9F6"/>
    <w:rsid w:val="32D648DA"/>
    <w:rsid w:val="32D7A96C"/>
    <w:rsid w:val="32DA8B6E"/>
    <w:rsid w:val="32DD0F47"/>
    <w:rsid w:val="32E46918"/>
    <w:rsid w:val="32E9E6B1"/>
    <w:rsid w:val="32EA8738"/>
    <w:rsid w:val="32ED74B6"/>
    <w:rsid w:val="32F0A7EB"/>
    <w:rsid w:val="32F13595"/>
    <w:rsid w:val="32F1B1D6"/>
    <w:rsid w:val="32F1CE54"/>
    <w:rsid w:val="32F37B7A"/>
    <w:rsid w:val="32F5CC14"/>
    <w:rsid w:val="32F5CEBB"/>
    <w:rsid w:val="330613A0"/>
    <w:rsid w:val="33080D7F"/>
    <w:rsid w:val="330E82FA"/>
    <w:rsid w:val="33111933"/>
    <w:rsid w:val="33158744"/>
    <w:rsid w:val="3315E561"/>
    <w:rsid w:val="33186FA5"/>
    <w:rsid w:val="331CBD0F"/>
    <w:rsid w:val="33225796"/>
    <w:rsid w:val="3326FFC6"/>
    <w:rsid w:val="3327B771"/>
    <w:rsid w:val="3327C423"/>
    <w:rsid w:val="332BA4DD"/>
    <w:rsid w:val="332C5A0F"/>
    <w:rsid w:val="333ABAE3"/>
    <w:rsid w:val="333D6496"/>
    <w:rsid w:val="333D681D"/>
    <w:rsid w:val="3340411B"/>
    <w:rsid w:val="3342278A"/>
    <w:rsid w:val="3343D56E"/>
    <w:rsid w:val="3344D751"/>
    <w:rsid w:val="33488CA3"/>
    <w:rsid w:val="33499E8B"/>
    <w:rsid w:val="334A124D"/>
    <w:rsid w:val="334B20BD"/>
    <w:rsid w:val="3352D0D0"/>
    <w:rsid w:val="33598A88"/>
    <w:rsid w:val="335AE651"/>
    <w:rsid w:val="335E6007"/>
    <w:rsid w:val="335F85C1"/>
    <w:rsid w:val="3361CC1E"/>
    <w:rsid w:val="3363CD78"/>
    <w:rsid w:val="336609B5"/>
    <w:rsid w:val="33676B3F"/>
    <w:rsid w:val="33697AD3"/>
    <w:rsid w:val="33741E34"/>
    <w:rsid w:val="33798B1E"/>
    <w:rsid w:val="337A337A"/>
    <w:rsid w:val="337B2825"/>
    <w:rsid w:val="337E50E4"/>
    <w:rsid w:val="33847886"/>
    <w:rsid w:val="33858C9C"/>
    <w:rsid w:val="339172F1"/>
    <w:rsid w:val="33918A5B"/>
    <w:rsid w:val="3392EEA0"/>
    <w:rsid w:val="33996FD2"/>
    <w:rsid w:val="33A0039F"/>
    <w:rsid w:val="33A19719"/>
    <w:rsid w:val="33A1F53B"/>
    <w:rsid w:val="33A23A9F"/>
    <w:rsid w:val="33A26655"/>
    <w:rsid w:val="33A30471"/>
    <w:rsid w:val="33A58CA0"/>
    <w:rsid w:val="33A61F4F"/>
    <w:rsid w:val="33A71F8B"/>
    <w:rsid w:val="33AC3739"/>
    <w:rsid w:val="33B1179C"/>
    <w:rsid w:val="33B527E7"/>
    <w:rsid w:val="33B64AA8"/>
    <w:rsid w:val="33B71608"/>
    <w:rsid w:val="33BE8E63"/>
    <w:rsid w:val="33BFC34E"/>
    <w:rsid w:val="33C064B9"/>
    <w:rsid w:val="33C06948"/>
    <w:rsid w:val="33C18C32"/>
    <w:rsid w:val="33C37CB4"/>
    <w:rsid w:val="33C53671"/>
    <w:rsid w:val="33C66C81"/>
    <w:rsid w:val="33C82DFE"/>
    <w:rsid w:val="33C9717A"/>
    <w:rsid w:val="33CA5D5E"/>
    <w:rsid w:val="33D1A965"/>
    <w:rsid w:val="33D3885F"/>
    <w:rsid w:val="33D4D1EE"/>
    <w:rsid w:val="33D6C51B"/>
    <w:rsid w:val="33DA4D58"/>
    <w:rsid w:val="33DE5414"/>
    <w:rsid w:val="33E43184"/>
    <w:rsid w:val="33E54281"/>
    <w:rsid w:val="33E543D7"/>
    <w:rsid w:val="33E74487"/>
    <w:rsid w:val="33EABE73"/>
    <w:rsid w:val="33ECAF60"/>
    <w:rsid w:val="33F595B9"/>
    <w:rsid w:val="33F6AC4C"/>
    <w:rsid w:val="33FAEDE1"/>
    <w:rsid w:val="33FD785F"/>
    <w:rsid w:val="33FDD093"/>
    <w:rsid w:val="3400DB25"/>
    <w:rsid w:val="3400E8CA"/>
    <w:rsid w:val="3401259D"/>
    <w:rsid w:val="3401B7B6"/>
    <w:rsid w:val="34024BFC"/>
    <w:rsid w:val="34049827"/>
    <w:rsid w:val="3405C8C0"/>
    <w:rsid w:val="34089BE5"/>
    <w:rsid w:val="340DCFFC"/>
    <w:rsid w:val="3411E133"/>
    <w:rsid w:val="34144F3B"/>
    <w:rsid w:val="34147921"/>
    <w:rsid w:val="341A9965"/>
    <w:rsid w:val="341AD65B"/>
    <w:rsid w:val="341AE109"/>
    <w:rsid w:val="341B621B"/>
    <w:rsid w:val="34232578"/>
    <w:rsid w:val="34259F01"/>
    <w:rsid w:val="34282399"/>
    <w:rsid w:val="342D5C8E"/>
    <w:rsid w:val="342EECF6"/>
    <w:rsid w:val="342F1615"/>
    <w:rsid w:val="343525E5"/>
    <w:rsid w:val="3435ADB9"/>
    <w:rsid w:val="3439CBC9"/>
    <w:rsid w:val="343B97A2"/>
    <w:rsid w:val="343FDD3A"/>
    <w:rsid w:val="34444B02"/>
    <w:rsid w:val="3446BDFF"/>
    <w:rsid w:val="3447F115"/>
    <w:rsid w:val="345182C7"/>
    <w:rsid w:val="3452D283"/>
    <w:rsid w:val="345583A4"/>
    <w:rsid w:val="34586C93"/>
    <w:rsid w:val="34620FC8"/>
    <w:rsid w:val="34676FEB"/>
    <w:rsid w:val="346B02A6"/>
    <w:rsid w:val="346B5440"/>
    <w:rsid w:val="346C0E88"/>
    <w:rsid w:val="346E70B5"/>
    <w:rsid w:val="346EB02A"/>
    <w:rsid w:val="34702C26"/>
    <w:rsid w:val="34704FC3"/>
    <w:rsid w:val="34760B24"/>
    <w:rsid w:val="347FC943"/>
    <w:rsid w:val="348D1097"/>
    <w:rsid w:val="348FA299"/>
    <w:rsid w:val="348FD66D"/>
    <w:rsid w:val="3490BBE7"/>
    <w:rsid w:val="3493821E"/>
    <w:rsid w:val="34973859"/>
    <w:rsid w:val="349B94CA"/>
    <w:rsid w:val="349D9F1A"/>
    <w:rsid w:val="349E4A79"/>
    <w:rsid w:val="34A5F75A"/>
    <w:rsid w:val="34A6B483"/>
    <w:rsid w:val="34ADF9F9"/>
    <w:rsid w:val="34AE3A83"/>
    <w:rsid w:val="34AE597A"/>
    <w:rsid w:val="34AE86EC"/>
    <w:rsid w:val="34B03DE4"/>
    <w:rsid w:val="34B6A182"/>
    <w:rsid w:val="34B75617"/>
    <w:rsid w:val="34B89BB3"/>
    <w:rsid w:val="34BBF2C9"/>
    <w:rsid w:val="34BC8BFE"/>
    <w:rsid w:val="34BCC756"/>
    <w:rsid w:val="34C01E1A"/>
    <w:rsid w:val="34C0263C"/>
    <w:rsid w:val="34C0ECC3"/>
    <w:rsid w:val="34C4E381"/>
    <w:rsid w:val="34C54D90"/>
    <w:rsid w:val="34C7D6E7"/>
    <w:rsid w:val="34D3A28E"/>
    <w:rsid w:val="34D3B22A"/>
    <w:rsid w:val="34D45570"/>
    <w:rsid w:val="34DC808D"/>
    <w:rsid w:val="34DE0A18"/>
    <w:rsid w:val="34E43747"/>
    <w:rsid w:val="34EFE232"/>
    <w:rsid w:val="34F3EFC7"/>
    <w:rsid w:val="34FAE6A6"/>
    <w:rsid w:val="34FB9748"/>
    <w:rsid w:val="34FDC99E"/>
    <w:rsid w:val="35000A87"/>
    <w:rsid w:val="3500B851"/>
    <w:rsid w:val="3505CDED"/>
    <w:rsid w:val="35070E4E"/>
    <w:rsid w:val="350A63F1"/>
    <w:rsid w:val="350A8135"/>
    <w:rsid w:val="350D2AA0"/>
    <w:rsid w:val="350E9EC7"/>
    <w:rsid w:val="350F5615"/>
    <w:rsid w:val="35191276"/>
    <w:rsid w:val="351B0E04"/>
    <w:rsid w:val="351FB178"/>
    <w:rsid w:val="35293E2F"/>
    <w:rsid w:val="352F577D"/>
    <w:rsid w:val="35303D32"/>
    <w:rsid w:val="3534D417"/>
    <w:rsid w:val="35394C7E"/>
    <w:rsid w:val="3539BDC3"/>
    <w:rsid w:val="3544A7EB"/>
    <w:rsid w:val="35468656"/>
    <w:rsid w:val="3546CC89"/>
    <w:rsid w:val="35471EFC"/>
    <w:rsid w:val="354DFD01"/>
    <w:rsid w:val="354F5CFB"/>
    <w:rsid w:val="355028B7"/>
    <w:rsid w:val="3552B1BF"/>
    <w:rsid w:val="355F3BEA"/>
    <w:rsid w:val="355FB986"/>
    <w:rsid w:val="35606128"/>
    <w:rsid w:val="35637C3C"/>
    <w:rsid w:val="3566E59A"/>
    <w:rsid w:val="3568BB85"/>
    <w:rsid w:val="356F6779"/>
    <w:rsid w:val="3570EA2E"/>
    <w:rsid w:val="3571B1D0"/>
    <w:rsid w:val="357207EE"/>
    <w:rsid w:val="3573EBAD"/>
    <w:rsid w:val="3575D67D"/>
    <w:rsid w:val="3577EB53"/>
    <w:rsid w:val="3578BFD3"/>
    <w:rsid w:val="357A1DF7"/>
    <w:rsid w:val="357D5E15"/>
    <w:rsid w:val="357E9C64"/>
    <w:rsid w:val="35823F91"/>
    <w:rsid w:val="3583CB4E"/>
    <w:rsid w:val="359062AC"/>
    <w:rsid w:val="35950789"/>
    <w:rsid w:val="359D4AEA"/>
    <w:rsid w:val="35AE6E58"/>
    <w:rsid w:val="35B061A4"/>
    <w:rsid w:val="35B0C76D"/>
    <w:rsid w:val="35B6C2B0"/>
    <w:rsid w:val="35B6F872"/>
    <w:rsid w:val="35BC77B7"/>
    <w:rsid w:val="35BC969A"/>
    <w:rsid w:val="35BF2636"/>
    <w:rsid w:val="35C53574"/>
    <w:rsid w:val="35C64203"/>
    <w:rsid w:val="35C733AD"/>
    <w:rsid w:val="35C9C95D"/>
    <w:rsid w:val="35CD2BEC"/>
    <w:rsid w:val="35CFD602"/>
    <w:rsid w:val="35D058E7"/>
    <w:rsid w:val="35D5D786"/>
    <w:rsid w:val="35DA2594"/>
    <w:rsid w:val="35DE4C5C"/>
    <w:rsid w:val="35DE6AD3"/>
    <w:rsid w:val="35DF5023"/>
    <w:rsid w:val="35ED6D5F"/>
    <w:rsid w:val="35F43A68"/>
    <w:rsid w:val="35F5392B"/>
    <w:rsid w:val="35F57839"/>
    <w:rsid w:val="35F5D436"/>
    <w:rsid w:val="35FE9071"/>
    <w:rsid w:val="3602847C"/>
    <w:rsid w:val="3602E3F1"/>
    <w:rsid w:val="3602FCDD"/>
    <w:rsid w:val="36090F1F"/>
    <w:rsid w:val="360CE8A6"/>
    <w:rsid w:val="360F4DB9"/>
    <w:rsid w:val="36101AB1"/>
    <w:rsid w:val="36106F75"/>
    <w:rsid w:val="3613E150"/>
    <w:rsid w:val="3614E3BF"/>
    <w:rsid w:val="3615238C"/>
    <w:rsid w:val="3617F742"/>
    <w:rsid w:val="36191C57"/>
    <w:rsid w:val="361A7AFC"/>
    <w:rsid w:val="361CA93F"/>
    <w:rsid w:val="3622ACC5"/>
    <w:rsid w:val="3622F772"/>
    <w:rsid w:val="36292927"/>
    <w:rsid w:val="3630553D"/>
    <w:rsid w:val="36330273"/>
    <w:rsid w:val="363EA5C1"/>
    <w:rsid w:val="36406CF7"/>
    <w:rsid w:val="3644469F"/>
    <w:rsid w:val="36469676"/>
    <w:rsid w:val="364C996F"/>
    <w:rsid w:val="364CBB48"/>
    <w:rsid w:val="365283BB"/>
    <w:rsid w:val="3657D47A"/>
    <w:rsid w:val="365BBC5D"/>
    <w:rsid w:val="365D3C0C"/>
    <w:rsid w:val="365D68B7"/>
    <w:rsid w:val="3661552E"/>
    <w:rsid w:val="3664077A"/>
    <w:rsid w:val="366BBDCC"/>
    <w:rsid w:val="367138D3"/>
    <w:rsid w:val="36761A20"/>
    <w:rsid w:val="367C06C6"/>
    <w:rsid w:val="367D9F3E"/>
    <w:rsid w:val="368A26BC"/>
    <w:rsid w:val="368C1418"/>
    <w:rsid w:val="36964885"/>
    <w:rsid w:val="3698ED35"/>
    <w:rsid w:val="36A5F3E1"/>
    <w:rsid w:val="36A643D1"/>
    <w:rsid w:val="36A6B53C"/>
    <w:rsid w:val="36A98AE8"/>
    <w:rsid w:val="36AFCBAF"/>
    <w:rsid w:val="36B1378D"/>
    <w:rsid w:val="36B2A7E4"/>
    <w:rsid w:val="36B61B58"/>
    <w:rsid w:val="36BA3DA8"/>
    <w:rsid w:val="36BB2D61"/>
    <w:rsid w:val="36BB94D5"/>
    <w:rsid w:val="36BC1075"/>
    <w:rsid w:val="36C46CD3"/>
    <w:rsid w:val="36C5F064"/>
    <w:rsid w:val="36C71F1B"/>
    <w:rsid w:val="36C7AC17"/>
    <w:rsid w:val="36CC10D5"/>
    <w:rsid w:val="36D0A34F"/>
    <w:rsid w:val="36D24DF6"/>
    <w:rsid w:val="36D29B91"/>
    <w:rsid w:val="36D4492B"/>
    <w:rsid w:val="36D5CC95"/>
    <w:rsid w:val="36D5DCB4"/>
    <w:rsid w:val="36D9C919"/>
    <w:rsid w:val="36DE331E"/>
    <w:rsid w:val="36E34D0E"/>
    <w:rsid w:val="36E34F55"/>
    <w:rsid w:val="36E4BDFF"/>
    <w:rsid w:val="36E719B1"/>
    <w:rsid w:val="36EA85C2"/>
    <w:rsid w:val="36FA6A84"/>
    <w:rsid w:val="37001800"/>
    <w:rsid w:val="37018E34"/>
    <w:rsid w:val="3708D4F1"/>
    <w:rsid w:val="37099968"/>
    <w:rsid w:val="370C7D9C"/>
    <w:rsid w:val="3711225F"/>
    <w:rsid w:val="371C3486"/>
    <w:rsid w:val="371CF932"/>
    <w:rsid w:val="37216778"/>
    <w:rsid w:val="37230DB4"/>
    <w:rsid w:val="37295B2B"/>
    <w:rsid w:val="37295EB8"/>
    <w:rsid w:val="372D468A"/>
    <w:rsid w:val="37310DBC"/>
    <w:rsid w:val="37357CD6"/>
    <w:rsid w:val="3739A6CC"/>
    <w:rsid w:val="373DA279"/>
    <w:rsid w:val="373F8E90"/>
    <w:rsid w:val="3741D157"/>
    <w:rsid w:val="3742CD6B"/>
    <w:rsid w:val="374361AA"/>
    <w:rsid w:val="374A29D0"/>
    <w:rsid w:val="374C6902"/>
    <w:rsid w:val="374D5F73"/>
    <w:rsid w:val="374E69D0"/>
    <w:rsid w:val="37508ADE"/>
    <w:rsid w:val="37522886"/>
    <w:rsid w:val="3756CD6E"/>
    <w:rsid w:val="37572BD4"/>
    <w:rsid w:val="3759EF76"/>
    <w:rsid w:val="375CCABC"/>
    <w:rsid w:val="375CD220"/>
    <w:rsid w:val="3762AE30"/>
    <w:rsid w:val="376406D3"/>
    <w:rsid w:val="37691974"/>
    <w:rsid w:val="376B7091"/>
    <w:rsid w:val="376BAEF8"/>
    <w:rsid w:val="376BBA16"/>
    <w:rsid w:val="376C6C32"/>
    <w:rsid w:val="376CE041"/>
    <w:rsid w:val="376D25B8"/>
    <w:rsid w:val="376F2ED1"/>
    <w:rsid w:val="3772FCFF"/>
    <w:rsid w:val="37751322"/>
    <w:rsid w:val="37756B18"/>
    <w:rsid w:val="3775AAAB"/>
    <w:rsid w:val="37761DF6"/>
    <w:rsid w:val="37766D4B"/>
    <w:rsid w:val="37799F47"/>
    <w:rsid w:val="377DE8FF"/>
    <w:rsid w:val="377E249C"/>
    <w:rsid w:val="3780E84B"/>
    <w:rsid w:val="3782A9A9"/>
    <w:rsid w:val="3782D192"/>
    <w:rsid w:val="378328C8"/>
    <w:rsid w:val="3789B330"/>
    <w:rsid w:val="378DB4A3"/>
    <w:rsid w:val="378E6B24"/>
    <w:rsid w:val="37917562"/>
    <w:rsid w:val="379918B5"/>
    <w:rsid w:val="379E293B"/>
    <w:rsid w:val="37A5C34C"/>
    <w:rsid w:val="37A71104"/>
    <w:rsid w:val="37A9E02F"/>
    <w:rsid w:val="37AC783F"/>
    <w:rsid w:val="37AE9988"/>
    <w:rsid w:val="37B1C873"/>
    <w:rsid w:val="37BA25F9"/>
    <w:rsid w:val="37C2D91B"/>
    <w:rsid w:val="37C5B6CE"/>
    <w:rsid w:val="37C5F462"/>
    <w:rsid w:val="37C61B26"/>
    <w:rsid w:val="37CCB1FB"/>
    <w:rsid w:val="37CF8221"/>
    <w:rsid w:val="37D04E2D"/>
    <w:rsid w:val="37D27680"/>
    <w:rsid w:val="37D4D270"/>
    <w:rsid w:val="37DB67F5"/>
    <w:rsid w:val="37DBDDDB"/>
    <w:rsid w:val="37E276AC"/>
    <w:rsid w:val="37E95CB4"/>
    <w:rsid w:val="37E9D11C"/>
    <w:rsid w:val="37F33F9C"/>
    <w:rsid w:val="37FDCDEC"/>
    <w:rsid w:val="37FF3289"/>
    <w:rsid w:val="37FFA736"/>
    <w:rsid w:val="38029465"/>
    <w:rsid w:val="3809DBA5"/>
    <w:rsid w:val="380AE0A1"/>
    <w:rsid w:val="380B2C19"/>
    <w:rsid w:val="380CF54D"/>
    <w:rsid w:val="38131E5A"/>
    <w:rsid w:val="38145D93"/>
    <w:rsid w:val="381B6B91"/>
    <w:rsid w:val="381E1C0F"/>
    <w:rsid w:val="381F9538"/>
    <w:rsid w:val="3825E5DF"/>
    <w:rsid w:val="38266862"/>
    <w:rsid w:val="3827CB44"/>
    <w:rsid w:val="3829AF56"/>
    <w:rsid w:val="382C1C12"/>
    <w:rsid w:val="38320491"/>
    <w:rsid w:val="38334AC5"/>
    <w:rsid w:val="3835359A"/>
    <w:rsid w:val="3835B61D"/>
    <w:rsid w:val="38377407"/>
    <w:rsid w:val="383779A2"/>
    <w:rsid w:val="38380199"/>
    <w:rsid w:val="383B90EF"/>
    <w:rsid w:val="383C1C24"/>
    <w:rsid w:val="383C8CB0"/>
    <w:rsid w:val="383D4DD3"/>
    <w:rsid w:val="383EB7E4"/>
    <w:rsid w:val="383FE0DF"/>
    <w:rsid w:val="38420101"/>
    <w:rsid w:val="3842A6F7"/>
    <w:rsid w:val="384311F0"/>
    <w:rsid w:val="384A5BF4"/>
    <w:rsid w:val="384CB55F"/>
    <w:rsid w:val="3855BBDA"/>
    <w:rsid w:val="385A59FF"/>
    <w:rsid w:val="38607A38"/>
    <w:rsid w:val="38640C34"/>
    <w:rsid w:val="38665573"/>
    <w:rsid w:val="3867CD20"/>
    <w:rsid w:val="386BF9FA"/>
    <w:rsid w:val="38726F9B"/>
    <w:rsid w:val="3873B3B8"/>
    <w:rsid w:val="38789C9F"/>
    <w:rsid w:val="3880DFF0"/>
    <w:rsid w:val="38842A9F"/>
    <w:rsid w:val="3885B02F"/>
    <w:rsid w:val="3885DB57"/>
    <w:rsid w:val="3888AA3E"/>
    <w:rsid w:val="388DC95D"/>
    <w:rsid w:val="3891FBE1"/>
    <w:rsid w:val="3893F155"/>
    <w:rsid w:val="38945F8C"/>
    <w:rsid w:val="3894A4C8"/>
    <w:rsid w:val="38978644"/>
    <w:rsid w:val="38988C89"/>
    <w:rsid w:val="3899171C"/>
    <w:rsid w:val="389B1F8C"/>
    <w:rsid w:val="389B53E0"/>
    <w:rsid w:val="389BC808"/>
    <w:rsid w:val="389C9AAA"/>
    <w:rsid w:val="389DE09E"/>
    <w:rsid w:val="389F1EC6"/>
    <w:rsid w:val="38A704A1"/>
    <w:rsid w:val="38AAFF75"/>
    <w:rsid w:val="38B01BA6"/>
    <w:rsid w:val="38B09354"/>
    <w:rsid w:val="38B419A3"/>
    <w:rsid w:val="38B85D44"/>
    <w:rsid w:val="38BA8363"/>
    <w:rsid w:val="38BF2199"/>
    <w:rsid w:val="38C04B55"/>
    <w:rsid w:val="38C2D12C"/>
    <w:rsid w:val="38C4805B"/>
    <w:rsid w:val="38C98BBF"/>
    <w:rsid w:val="38CA0B9B"/>
    <w:rsid w:val="38DA3FB5"/>
    <w:rsid w:val="38DCCB46"/>
    <w:rsid w:val="38E203C9"/>
    <w:rsid w:val="38E52004"/>
    <w:rsid w:val="38E5C40D"/>
    <w:rsid w:val="38EABF4C"/>
    <w:rsid w:val="38EB0B0B"/>
    <w:rsid w:val="38F03356"/>
    <w:rsid w:val="38F88BFB"/>
    <w:rsid w:val="38F8F1DA"/>
    <w:rsid w:val="38FBA9DB"/>
    <w:rsid w:val="3902C6EF"/>
    <w:rsid w:val="390388B4"/>
    <w:rsid w:val="3908B7FC"/>
    <w:rsid w:val="3909D95F"/>
    <w:rsid w:val="390A29E4"/>
    <w:rsid w:val="390DBE51"/>
    <w:rsid w:val="3910FE1A"/>
    <w:rsid w:val="39153AB3"/>
    <w:rsid w:val="39157E9D"/>
    <w:rsid w:val="3926715E"/>
    <w:rsid w:val="392CFD23"/>
    <w:rsid w:val="39335B49"/>
    <w:rsid w:val="393A19DD"/>
    <w:rsid w:val="393D165C"/>
    <w:rsid w:val="3940BB96"/>
    <w:rsid w:val="39423217"/>
    <w:rsid w:val="3947BF68"/>
    <w:rsid w:val="394A967B"/>
    <w:rsid w:val="394B0F85"/>
    <w:rsid w:val="394EBB83"/>
    <w:rsid w:val="39550CB0"/>
    <w:rsid w:val="395D7614"/>
    <w:rsid w:val="395DD0F3"/>
    <w:rsid w:val="395EB1F0"/>
    <w:rsid w:val="39623DFE"/>
    <w:rsid w:val="396475CC"/>
    <w:rsid w:val="3964AB74"/>
    <w:rsid w:val="3966263E"/>
    <w:rsid w:val="396D4DF1"/>
    <w:rsid w:val="3975C963"/>
    <w:rsid w:val="39767F54"/>
    <w:rsid w:val="397B2C57"/>
    <w:rsid w:val="397DA3A1"/>
    <w:rsid w:val="397E7D39"/>
    <w:rsid w:val="397FFBAF"/>
    <w:rsid w:val="39859720"/>
    <w:rsid w:val="3986F8D3"/>
    <w:rsid w:val="398BDB1A"/>
    <w:rsid w:val="398D7FC2"/>
    <w:rsid w:val="398DB0E7"/>
    <w:rsid w:val="3990B181"/>
    <w:rsid w:val="3990E096"/>
    <w:rsid w:val="39963275"/>
    <w:rsid w:val="399756F0"/>
    <w:rsid w:val="399793C3"/>
    <w:rsid w:val="399876BE"/>
    <w:rsid w:val="399B9125"/>
    <w:rsid w:val="399E0D65"/>
    <w:rsid w:val="39A02878"/>
    <w:rsid w:val="39A10B7D"/>
    <w:rsid w:val="39A19C68"/>
    <w:rsid w:val="39A2EE6E"/>
    <w:rsid w:val="39A45DAC"/>
    <w:rsid w:val="39A6C9C6"/>
    <w:rsid w:val="39A7E387"/>
    <w:rsid w:val="39A9509F"/>
    <w:rsid w:val="39AA2A86"/>
    <w:rsid w:val="39B05439"/>
    <w:rsid w:val="39B24EFD"/>
    <w:rsid w:val="39B843E0"/>
    <w:rsid w:val="39BB6499"/>
    <w:rsid w:val="39C17D61"/>
    <w:rsid w:val="39C225CC"/>
    <w:rsid w:val="39C4B994"/>
    <w:rsid w:val="39C7C9F1"/>
    <w:rsid w:val="39C8413B"/>
    <w:rsid w:val="39C8ACD7"/>
    <w:rsid w:val="39CE8724"/>
    <w:rsid w:val="39D049C3"/>
    <w:rsid w:val="39D1BB43"/>
    <w:rsid w:val="39D33A41"/>
    <w:rsid w:val="39D768C0"/>
    <w:rsid w:val="39DA0D9F"/>
    <w:rsid w:val="39DDC15F"/>
    <w:rsid w:val="39E13002"/>
    <w:rsid w:val="39E59028"/>
    <w:rsid w:val="39EF6047"/>
    <w:rsid w:val="39F1653F"/>
    <w:rsid w:val="39F26E47"/>
    <w:rsid w:val="39F5E71B"/>
    <w:rsid w:val="39F76598"/>
    <w:rsid w:val="39F77B0F"/>
    <w:rsid w:val="3A00E171"/>
    <w:rsid w:val="3A08E630"/>
    <w:rsid w:val="3A0AEC69"/>
    <w:rsid w:val="3A0EC6DF"/>
    <w:rsid w:val="3A14FF22"/>
    <w:rsid w:val="3A1530E7"/>
    <w:rsid w:val="3A1B1B8D"/>
    <w:rsid w:val="3A1D3C2D"/>
    <w:rsid w:val="3A1DF338"/>
    <w:rsid w:val="3A1E8E75"/>
    <w:rsid w:val="3A20F94A"/>
    <w:rsid w:val="3A27707A"/>
    <w:rsid w:val="3A2771F6"/>
    <w:rsid w:val="3A28774B"/>
    <w:rsid w:val="3A2A1973"/>
    <w:rsid w:val="3A302EC1"/>
    <w:rsid w:val="3A3106DD"/>
    <w:rsid w:val="3A334164"/>
    <w:rsid w:val="3A37C3BD"/>
    <w:rsid w:val="3A38284C"/>
    <w:rsid w:val="3A39516D"/>
    <w:rsid w:val="3A3FE259"/>
    <w:rsid w:val="3A4292BB"/>
    <w:rsid w:val="3A429943"/>
    <w:rsid w:val="3A43D55F"/>
    <w:rsid w:val="3A4F0DFF"/>
    <w:rsid w:val="3A4F21EB"/>
    <w:rsid w:val="3A5140F3"/>
    <w:rsid w:val="3A5BB9EE"/>
    <w:rsid w:val="3A5C1F80"/>
    <w:rsid w:val="3A5ED022"/>
    <w:rsid w:val="3A5EDB3A"/>
    <w:rsid w:val="3A665DEF"/>
    <w:rsid w:val="3A6B151A"/>
    <w:rsid w:val="3A6BD791"/>
    <w:rsid w:val="3A6DF86B"/>
    <w:rsid w:val="3A763CAA"/>
    <w:rsid w:val="3A79C3D9"/>
    <w:rsid w:val="3A7B1998"/>
    <w:rsid w:val="3A7E45E6"/>
    <w:rsid w:val="3A822A09"/>
    <w:rsid w:val="3A889C79"/>
    <w:rsid w:val="3A89B5CD"/>
    <w:rsid w:val="3A933D40"/>
    <w:rsid w:val="3A93FCBB"/>
    <w:rsid w:val="3A954980"/>
    <w:rsid w:val="3A988B75"/>
    <w:rsid w:val="3A9A7770"/>
    <w:rsid w:val="3A9F3ED8"/>
    <w:rsid w:val="3A9FC3DB"/>
    <w:rsid w:val="3AA68047"/>
    <w:rsid w:val="3AA6CE33"/>
    <w:rsid w:val="3AAB5AEE"/>
    <w:rsid w:val="3AAC1534"/>
    <w:rsid w:val="3AADD054"/>
    <w:rsid w:val="3AB0C699"/>
    <w:rsid w:val="3AB280DB"/>
    <w:rsid w:val="3AB39C10"/>
    <w:rsid w:val="3ABEDED4"/>
    <w:rsid w:val="3AC0D48A"/>
    <w:rsid w:val="3ACA4460"/>
    <w:rsid w:val="3ACAB4C0"/>
    <w:rsid w:val="3ACFC90E"/>
    <w:rsid w:val="3AD35A11"/>
    <w:rsid w:val="3AD4AD6D"/>
    <w:rsid w:val="3AD63D0A"/>
    <w:rsid w:val="3AD6D94A"/>
    <w:rsid w:val="3AE07E79"/>
    <w:rsid w:val="3AE49514"/>
    <w:rsid w:val="3AE7B23D"/>
    <w:rsid w:val="3AF02B74"/>
    <w:rsid w:val="3AF13A3E"/>
    <w:rsid w:val="3AF31589"/>
    <w:rsid w:val="3AF3E7A1"/>
    <w:rsid w:val="3AF7BD8E"/>
    <w:rsid w:val="3AFBD101"/>
    <w:rsid w:val="3AFD38EF"/>
    <w:rsid w:val="3B01E42F"/>
    <w:rsid w:val="3B06A4A8"/>
    <w:rsid w:val="3B07B082"/>
    <w:rsid w:val="3B081C4C"/>
    <w:rsid w:val="3B087C89"/>
    <w:rsid w:val="3B09BA66"/>
    <w:rsid w:val="3B0B0A65"/>
    <w:rsid w:val="3B0CA556"/>
    <w:rsid w:val="3B0E16F0"/>
    <w:rsid w:val="3B10A490"/>
    <w:rsid w:val="3B11B49D"/>
    <w:rsid w:val="3B1357DB"/>
    <w:rsid w:val="3B137451"/>
    <w:rsid w:val="3B1894C3"/>
    <w:rsid w:val="3B18C967"/>
    <w:rsid w:val="3B1C9415"/>
    <w:rsid w:val="3B217864"/>
    <w:rsid w:val="3B237030"/>
    <w:rsid w:val="3B264E4B"/>
    <w:rsid w:val="3B279E2A"/>
    <w:rsid w:val="3B2BFE26"/>
    <w:rsid w:val="3B39F43D"/>
    <w:rsid w:val="3B3B08EF"/>
    <w:rsid w:val="3B3FCDB4"/>
    <w:rsid w:val="3B432CC0"/>
    <w:rsid w:val="3B447D53"/>
    <w:rsid w:val="3B4DE08A"/>
    <w:rsid w:val="3B53D252"/>
    <w:rsid w:val="3B5DC1DE"/>
    <w:rsid w:val="3B5ED8BE"/>
    <w:rsid w:val="3B5FE3E4"/>
    <w:rsid w:val="3B611E46"/>
    <w:rsid w:val="3B65D906"/>
    <w:rsid w:val="3B67FB4D"/>
    <w:rsid w:val="3B6C472F"/>
    <w:rsid w:val="3B6E7AD3"/>
    <w:rsid w:val="3B73D749"/>
    <w:rsid w:val="3B7467CC"/>
    <w:rsid w:val="3B79C0B1"/>
    <w:rsid w:val="3B83DB3A"/>
    <w:rsid w:val="3B851401"/>
    <w:rsid w:val="3B8667D0"/>
    <w:rsid w:val="3B87B0FA"/>
    <w:rsid w:val="3B8F470F"/>
    <w:rsid w:val="3B93504B"/>
    <w:rsid w:val="3B99E49C"/>
    <w:rsid w:val="3B9A23F4"/>
    <w:rsid w:val="3B9EF478"/>
    <w:rsid w:val="3BA55ACC"/>
    <w:rsid w:val="3BA7D34E"/>
    <w:rsid w:val="3BAB1CA8"/>
    <w:rsid w:val="3BAD6630"/>
    <w:rsid w:val="3BB1BF0A"/>
    <w:rsid w:val="3BB3CCC1"/>
    <w:rsid w:val="3BBA7C39"/>
    <w:rsid w:val="3BBBB4F9"/>
    <w:rsid w:val="3BBCEDFF"/>
    <w:rsid w:val="3BC9F09D"/>
    <w:rsid w:val="3BCA57EC"/>
    <w:rsid w:val="3BCC92AE"/>
    <w:rsid w:val="3BCE4745"/>
    <w:rsid w:val="3BCE576D"/>
    <w:rsid w:val="3BCF410A"/>
    <w:rsid w:val="3BCFA223"/>
    <w:rsid w:val="3BD59197"/>
    <w:rsid w:val="3BDAFBA1"/>
    <w:rsid w:val="3BDE64F2"/>
    <w:rsid w:val="3BE0204A"/>
    <w:rsid w:val="3BE24EBB"/>
    <w:rsid w:val="3BE64F0D"/>
    <w:rsid w:val="3BE88C2D"/>
    <w:rsid w:val="3BEFEB59"/>
    <w:rsid w:val="3BF06287"/>
    <w:rsid w:val="3BF22076"/>
    <w:rsid w:val="3BF23E04"/>
    <w:rsid w:val="3BF2B034"/>
    <w:rsid w:val="3BF3CB59"/>
    <w:rsid w:val="3BFF8FD6"/>
    <w:rsid w:val="3C029028"/>
    <w:rsid w:val="3C0340AA"/>
    <w:rsid w:val="3C05A226"/>
    <w:rsid w:val="3C0C35C4"/>
    <w:rsid w:val="3C0FFBE1"/>
    <w:rsid w:val="3C150752"/>
    <w:rsid w:val="3C159445"/>
    <w:rsid w:val="3C160E36"/>
    <w:rsid w:val="3C16B9D5"/>
    <w:rsid w:val="3C177AB6"/>
    <w:rsid w:val="3C1A25AF"/>
    <w:rsid w:val="3C1D60AB"/>
    <w:rsid w:val="3C1E9330"/>
    <w:rsid w:val="3C1ECC90"/>
    <w:rsid w:val="3C213BA4"/>
    <w:rsid w:val="3C22BA21"/>
    <w:rsid w:val="3C285DD6"/>
    <w:rsid w:val="3C2C01E0"/>
    <w:rsid w:val="3C2C09B1"/>
    <w:rsid w:val="3C303404"/>
    <w:rsid w:val="3C30FDC7"/>
    <w:rsid w:val="3C33CBA9"/>
    <w:rsid w:val="3C3525CE"/>
    <w:rsid w:val="3C35C600"/>
    <w:rsid w:val="3C36C5DE"/>
    <w:rsid w:val="3C3F9565"/>
    <w:rsid w:val="3C47D399"/>
    <w:rsid w:val="3C4F028D"/>
    <w:rsid w:val="3C508B89"/>
    <w:rsid w:val="3C535156"/>
    <w:rsid w:val="3C5709E0"/>
    <w:rsid w:val="3C59528C"/>
    <w:rsid w:val="3C5B5F83"/>
    <w:rsid w:val="3C5FF423"/>
    <w:rsid w:val="3C5FFCB2"/>
    <w:rsid w:val="3C60DB81"/>
    <w:rsid w:val="3C61AF7C"/>
    <w:rsid w:val="3C6273E3"/>
    <w:rsid w:val="3C661356"/>
    <w:rsid w:val="3C661527"/>
    <w:rsid w:val="3C6958F1"/>
    <w:rsid w:val="3C6A00CF"/>
    <w:rsid w:val="3C6B0FA2"/>
    <w:rsid w:val="3C6D2D68"/>
    <w:rsid w:val="3C717910"/>
    <w:rsid w:val="3C72C788"/>
    <w:rsid w:val="3C73D7EB"/>
    <w:rsid w:val="3C73F8B6"/>
    <w:rsid w:val="3C7B10F0"/>
    <w:rsid w:val="3C7B139F"/>
    <w:rsid w:val="3C7C0353"/>
    <w:rsid w:val="3C82C93E"/>
    <w:rsid w:val="3C84BCF3"/>
    <w:rsid w:val="3C84C25E"/>
    <w:rsid w:val="3C84DDF9"/>
    <w:rsid w:val="3C857A2A"/>
    <w:rsid w:val="3C86383A"/>
    <w:rsid w:val="3C886C5A"/>
    <w:rsid w:val="3C94FF0B"/>
    <w:rsid w:val="3C9BC916"/>
    <w:rsid w:val="3C9EBD6D"/>
    <w:rsid w:val="3CA71DDE"/>
    <w:rsid w:val="3CAA95FF"/>
    <w:rsid w:val="3CAF6FC8"/>
    <w:rsid w:val="3CB3DF2A"/>
    <w:rsid w:val="3CB53D3D"/>
    <w:rsid w:val="3CB78B7C"/>
    <w:rsid w:val="3CB98614"/>
    <w:rsid w:val="3CBC2973"/>
    <w:rsid w:val="3CBD38DF"/>
    <w:rsid w:val="3CBF9699"/>
    <w:rsid w:val="3CC15C9E"/>
    <w:rsid w:val="3CC8AF7E"/>
    <w:rsid w:val="3CC9FEA9"/>
    <w:rsid w:val="3CCA629F"/>
    <w:rsid w:val="3CCAAE88"/>
    <w:rsid w:val="3CCC64DD"/>
    <w:rsid w:val="3CD0A3AF"/>
    <w:rsid w:val="3CD17368"/>
    <w:rsid w:val="3CD2E479"/>
    <w:rsid w:val="3CD7220C"/>
    <w:rsid w:val="3CDCC80E"/>
    <w:rsid w:val="3CDDF6A6"/>
    <w:rsid w:val="3CE19893"/>
    <w:rsid w:val="3CE9CC2D"/>
    <w:rsid w:val="3CEB3BEF"/>
    <w:rsid w:val="3CEB881B"/>
    <w:rsid w:val="3CEEE0FC"/>
    <w:rsid w:val="3CF0B081"/>
    <w:rsid w:val="3CF242A2"/>
    <w:rsid w:val="3CF31564"/>
    <w:rsid w:val="3CFB7492"/>
    <w:rsid w:val="3CFCE11C"/>
    <w:rsid w:val="3CFD14E7"/>
    <w:rsid w:val="3D004E64"/>
    <w:rsid w:val="3D01D94E"/>
    <w:rsid w:val="3D0410BA"/>
    <w:rsid w:val="3D1082E7"/>
    <w:rsid w:val="3D12B18D"/>
    <w:rsid w:val="3D12BF20"/>
    <w:rsid w:val="3D15A49E"/>
    <w:rsid w:val="3D1C5EDD"/>
    <w:rsid w:val="3D1DDAC0"/>
    <w:rsid w:val="3D1EC557"/>
    <w:rsid w:val="3D2103D7"/>
    <w:rsid w:val="3D215E2D"/>
    <w:rsid w:val="3D22F2E1"/>
    <w:rsid w:val="3D234763"/>
    <w:rsid w:val="3D2613CC"/>
    <w:rsid w:val="3D27CBCA"/>
    <w:rsid w:val="3D27DACB"/>
    <w:rsid w:val="3D2A9658"/>
    <w:rsid w:val="3D2B3798"/>
    <w:rsid w:val="3D2D3BC1"/>
    <w:rsid w:val="3D2D4BDC"/>
    <w:rsid w:val="3D2D93C7"/>
    <w:rsid w:val="3D2E2168"/>
    <w:rsid w:val="3D3504A3"/>
    <w:rsid w:val="3D35A40F"/>
    <w:rsid w:val="3D3C24DC"/>
    <w:rsid w:val="3D40BC84"/>
    <w:rsid w:val="3D4640E4"/>
    <w:rsid w:val="3D47581A"/>
    <w:rsid w:val="3D4EDBC7"/>
    <w:rsid w:val="3D5378CE"/>
    <w:rsid w:val="3D53D356"/>
    <w:rsid w:val="3D6114AA"/>
    <w:rsid w:val="3D637AC1"/>
    <w:rsid w:val="3D65F159"/>
    <w:rsid w:val="3D7A1CF4"/>
    <w:rsid w:val="3D7B5ECC"/>
    <w:rsid w:val="3D855283"/>
    <w:rsid w:val="3D871368"/>
    <w:rsid w:val="3D88305F"/>
    <w:rsid w:val="3D88A549"/>
    <w:rsid w:val="3D897DC7"/>
    <w:rsid w:val="3D8D386E"/>
    <w:rsid w:val="3D8FC31C"/>
    <w:rsid w:val="3D96EA4A"/>
    <w:rsid w:val="3D9E2076"/>
    <w:rsid w:val="3D9EE7E8"/>
    <w:rsid w:val="3DA1E24B"/>
    <w:rsid w:val="3DA457FA"/>
    <w:rsid w:val="3DA5C72F"/>
    <w:rsid w:val="3DA71170"/>
    <w:rsid w:val="3DA8EB15"/>
    <w:rsid w:val="3DADFF39"/>
    <w:rsid w:val="3DAEEB19"/>
    <w:rsid w:val="3DAFABBB"/>
    <w:rsid w:val="3DB3BD46"/>
    <w:rsid w:val="3DB94F5F"/>
    <w:rsid w:val="3DBB70A6"/>
    <w:rsid w:val="3DBD4699"/>
    <w:rsid w:val="3DBD62E6"/>
    <w:rsid w:val="3DBED3C2"/>
    <w:rsid w:val="3DC2C667"/>
    <w:rsid w:val="3DC2ED0A"/>
    <w:rsid w:val="3DC41691"/>
    <w:rsid w:val="3DC4FE64"/>
    <w:rsid w:val="3DC73062"/>
    <w:rsid w:val="3DC940F8"/>
    <w:rsid w:val="3DCA380A"/>
    <w:rsid w:val="3DCAD2B6"/>
    <w:rsid w:val="3DCC1886"/>
    <w:rsid w:val="3DCD7D1E"/>
    <w:rsid w:val="3DD34614"/>
    <w:rsid w:val="3DD6DB61"/>
    <w:rsid w:val="3DD74FA7"/>
    <w:rsid w:val="3DD7E719"/>
    <w:rsid w:val="3DDAFAEC"/>
    <w:rsid w:val="3DDCB372"/>
    <w:rsid w:val="3DE10B71"/>
    <w:rsid w:val="3DE45033"/>
    <w:rsid w:val="3DEC9F5D"/>
    <w:rsid w:val="3DF497FD"/>
    <w:rsid w:val="3DF7191B"/>
    <w:rsid w:val="3DF75CFA"/>
    <w:rsid w:val="3DFDD2A0"/>
    <w:rsid w:val="3DFEFB5E"/>
    <w:rsid w:val="3E00BDC4"/>
    <w:rsid w:val="3E101F29"/>
    <w:rsid w:val="3E144A4F"/>
    <w:rsid w:val="3E161C8D"/>
    <w:rsid w:val="3E19AAE1"/>
    <w:rsid w:val="3E1A710A"/>
    <w:rsid w:val="3E1A96E2"/>
    <w:rsid w:val="3E1CACA1"/>
    <w:rsid w:val="3E1CE4C1"/>
    <w:rsid w:val="3E20752F"/>
    <w:rsid w:val="3E242F97"/>
    <w:rsid w:val="3E294874"/>
    <w:rsid w:val="3E2E8C89"/>
    <w:rsid w:val="3E3186CE"/>
    <w:rsid w:val="3E31EF9C"/>
    <w:rsid w:val="3E368221"/>
    <w:rsid w:val="3E3AB983"/>
    <w:rsid w:val="3E3C7579"/>
    <w:rsid w:val="3E45F74F"/>
    <w:rsid w:val="3E4671CB"/>
    <w:rsid w:val="3E48450C"/>
    <w:rsid w:val="3E4A73EF"/>
    <w:rsid w:val="3E4CBA44"/>
    <w:rsid w:val="3E541CDF"/>
    <w:rsid w:val="3E558F76"/>
    <w:rsid w:val="3E5A18BC"/>
    <w:rsid w:val="3E5E94C1"/>
    <w:rsid w:val="3E6245BB"/>
    <w:rsid w:val="3E625FCE"/>
    <w:rsid w:val="3E64DD97"/>
    <w:rsid w:val="3E67DBC8"/>
    <w:rsid w:val="3E689119"/>
    <w:rsid w:val="3E6A5DD5"/>
    <w:rsid w:val="3E6B5E35"/>
    <w:rsid w:val="3E6BFA27"/>
    <w:rsid w:val="3E6D0114"/>
    <w:rsid w:val="3E6E94E0"/>
    <w:rsid w:val="3E6EFA50"/>
    <w:rsid w:val="3E72F50A"/>
    <w:rsid w:val="3E770394"/>
    <w:rsid w:val="3E7B1351"/>
    <w:rsid w:val="3E7D10C8"/>
    <w:rsid w:val="3E7E3836"/>
    <w:rsid w:val="3E821CE3"/>
    <w:rsid w:val="3E85B132"/>
    <w:rsid w:val="3E8CDF8B"/>
    <w:rsid w:val="3E91BDA6"/>
    <w:rsid w:val="3E96F31B"/>
    <w:rsid w:val="3E9888E3"/>
    <w:rsid w:val="3E9C17D5"/>
    <w:rsid w:val="3E9DB9D8"/>
    <w:rsid w:val="3EA22B96"/>
    <w:rsid w:val="3EA2F8D3"/>
    <w:rsid w:val="3EA6FC9C"/>
    <w:rsid w:val="3EAC24EE"/>
    <w:rsid w:val="3EB0A02D"/>
    <w:rsid w:val="3EB2FEEE"/>
    <w:rsid w:val="3EB44E6B"/>
    <w:rsid w:val="3EB4A42C"/>
    <w:rsid w:val="3EB99904"/>
    <w:rsid w:val="3EB9F902"/>
    <w:rsid w:val="3EBAE569"/>
    <w:rsid w:val="3EC118BC"/>
    <w:rsid w:val="3EC20D4C"/>
    <w:rsid w:val="3EC53B36"/>
    <w:rsid w:val="3ECAD498"/>
    <w:rsid w:val="3ED4002F"/>
    <w:rsid w:val="3ED6E361"/>
    <w:rsid w:val="3EDA2A98"/>
    <w:rsid w:val="3EE03737"/>
    <w:rsid w:val="3EE10671"/>
    <w:rsid w:val="3EE10EEF"/>
    <w:rsid w:val="3EE11B2A"/>
    <w:rsid w:val="3EE474B6"/>
    <w:rsid w:val="3EE5D774"/>
    <w:rsid w:val="3EE8C5FE"/>
    <w:rsid w:val="3EEBDDAF"/>
    <w:rsid w:val="3EF35F7A"/>
    <w:rsid w:val="3EF3C89D"/>
    <w:rsid w:val="3F00C987"/>
    <w:rsid w:val="3F022F21"/>
    <w:rsid w:val="3F0C6B05"/>
    <w:rsid w:val="3F0D3E37"/>
    <w:rsid w:val="3F0D646F"/>
    <w:rsid w:val="3F0F45A6"/>
    <w:rsid w:val="3F115DDF"/>
    <w:rsid w:val="3F163557"/>
    <w:rsid w:val="3F1D8A05"/>
    <w:rsid w:val="3F1E4591"/>
    <w:rsid w:val="3F1FFE84"/>
    <w:rsid w:val="3F20E38B"/>
    <w:rsid w:val="3F25D8C4"/>
    <w:rsid w:val="3F276DBE"/>
    <w:rsid w:val="3F2B4005"/>
    <w:rsid w:val="3F30B93D"/>
    <w:rsid w:val="3F339E18"/>
    <w:rsid w:val="3F35E17B"/>
    <w:rsid w:val="3F3628B7"/>
    <w:rsid w:val="3F37C094"/>
    <w:rsid w:val="3F3C526A"/>
    <w:rsid w:val="3F3CCD15"/>
    <w:rsid w:val="3F40584C"/>
    <w:rsid w:val="3F437266"/>
    <w:rsid w:val="3F45975A"/>
    <w:rsid w:val="3F49BC49"/>
    <w:rsid w:val="3F4A2923"/>
    <w:rsid w:val="3F4B27CC"/>
    <w:rsid w:val="3F4E73A2"/>
    <w:rsid w:val="3F5569FF"/>
    <w:rsid w:val="3F55CE67"/>
    <w:rsid w:val="3F56B04F"/>
    <w:rsid w:val="3F5792DB"/>
    <w:rsid w:val="3F583297"/>
    <w:rsid w:val="3F58D053"/>
    <w:rsid w:val="3F5A8C4D"/>
    <w:rsid w:val="3F5B107A"/>
    <w:rsid w:val="3F5E3BB2"/>
    <w:rsid w:val="3F5E61E5"/>
    <w:rsid w:val="3F607FDC"/>
    <w:rsid w:val="3F634A7F"/>
    <w:rsid w:val="3F6BF82B"/>
    <w:rsid w:val="3F70B454"/>
    <w:rsid w:val="3F7A4627"/>
    <w:rsid w:val="3F7B78FC"/>
    <w:rsid w:val="3F7B98B6"/>
    <w:rsid w:val="3F84EFB9"/>
    <w:rsid w:val="3F8ACBC8"/>
    <w:rsid w:val="3F8D15BD"/>
    <w:rsid w:val="3F959C8F"/>
    <w:rsid w:val="3F962FE2"/>
    <w:rsid w:val="3F98AC4C"/>
    <w:rsid w:val="3F98DFE7"/>
    <w:rsid w:val="3F9AC236"/>
    <w:rsid w:val="3F9D36D9"/>
    <w:rsid w:val="3F9D98A1"/>
    <w:rsid w:val="3FA98A21"/>
    <w:rsid w:val="3FAB06F6"/>
    <w:rsid w:val="3FAB81AF"/>
    <w:rsid w:val="3FB07430"/>
    <w:rsid w:val="3FB331C7"/>
    <w:rsid w:val="3FB87763"/>
    <w:rsid w:val="3FC9CC36"/>
    <w:rsid w:val="3FCAD1A5"/>
    <w:rsid w:val="3FD359F5"/>
    <w:rsid w:val="3FDAF5EA"/>
    <w:rsid w:val="3FDBAAC2"/>
    <w:rsid w:val="3FDCD045"/>
    <w:rsid w:val="3FDDFAF7"/>
    <w:rsid w:val="3FDF365E"/>
    <w:rsid w:val="3FDF3BBD"/>
    <w:rsid w:val="3FE0049F"/>
    <w:rsid w:val="3FE7B325"/>
    <w:rsid w:val="3FF88D87"/>
    <w:rsid w:val="3FF8CD5B"/>
    <w:rsid w:val="3FF96575"/>
    <w:rsid w:val="3FFCEA40"/>
    <w:rsid w:val="4002C8F7"/>
    <w:rsid w:val="40050D2A"/>
    <w:rsid w:val="400963B1"/>
    <w:rsid w:val="400B4C6C"/>
    <w:rsid w:val="4012353E"/>
    <w:rsid w:val="40136767"/>
    <w:rsid w:val="4020279A"/>
    <w:rsid w:val="40202E84"/>
    <w:rsid w:val="4022E7F2"/>
    <w:rsid w:val="4022EC4F"/>
    <w:rsid w:val="40289B00"/>
    <w:rsid w:val="40299DF4"/>
    <w:rsid w:val="4037C758"/>
    <w:rsid w:val="403E1757"/>
    <w:rsid w:val="403EA089"/>
    <w:rsid w:val="403FF1F9"/>
    <w:rsid w:val="4041C068"/>
    <w:rsid w:val="40449B20"/>
    <w:rsid w:val="404DDC0E"/>
    <w:rsid w:val="404DF472"/>
    <w:rsid w:val="4054C26B"/>
    <w:rsid w:val="4055CE11"/>
    <w:rsid w:val="4056BA8B"/>
    <w:rsid w:val="4057C23D"/>
    <w:rsid w:val="405B6E83"/>
    <w:rsid w:val="405C7B29"/>
    <w:rsid w:val="405E087D"/>
    <w:rsid w:val="405ED600"/>
    <w:rsid w:val="405F2332"/>
    <w:rsid w:val="4065DB13"/>
    <w:rsid w:val="40699019"/>
    <w:rsid w:val="406ACCFC"/>
    <w:rsid w:val="406B1851"/>
    <w:rsid w:val="407672DA"/>
    <w:rsid w:val="407DE40E"/>
    <w:rsid w:val="407ED415"/>
    <w:rsid w:val="40806E66"/>
    <w:rsid w:val="40880D3A"/>
    <w:rsid w:val="4088AB6F"/>
    <w:rsid w:val="40893CAD"/>
    <w:rsid w:val="4089C05C"/>
    <w:rsid w:val="408D6485"/>
    <w:rsid w:val="4090B4A7"/>
    <w:rsid w:val="40911F53"/>
    <w:rsid w:val="4091B152"/>
    <w:rsid w:val="40950189"/>
    <w:rsid w:val="409796A8"/>
    <w:rsid w:val="409D6CE0"/>
    <w:rsid w:val="40A577B6"/>
    <w:rsid w:val="40A6B444"/>
    <w:rsid w:val="40A820E7"/>
    <w:rsid w:val="40A89020"/>
    <w:rsid w:val="40AC01F1"/>
    <w:rsid w:val="40AC45D0"/>
    <w:rsid w:val="40AC93E2"/>
    <w:rsid w:val="40ACEC63"/>
    <w:rsid w:val="40AD583B"/>
    <w:rsid w:val="40AF6411"/>
    <w:rsid w:val="40B1A885"/>
    <w:rsid w:val="40B3EBD4"/>
    <w:rsid w:val="40B4D8E4"/>
    <w:rsid w:val="40B6F7E1"/>
    <w:rsid w:val="40B9FD2D"/>
    <w:rsid w:val="40BBF0A8"/>
    <w:rsid w:val="40C0A0D1"/>
    <w:rsid w:val="40C10F4D"/>
    <w:rsid w:val="40C5EE8F"/>
    <w:rsid w:val="40C83FEE"/>
    <w:rsid w:val="40CA6FDB"/>
    <w:rsid w:val="40CD7325"/>
    <w:rsid w:val="40D2D865"/>
    <w:rsid w:val="40D2FA9F"/>
    <w:rsid w:val="40D63184"/>
    <w:rsid w:val="40D9ADB0"/>
    <w:rsid w:val="40DCF534"/>
    <w:rsid w:val="40E07BC5"/>
    <w:rsid w:val="40E52776"/>
    <w:rsid w:val="40E7A12C"/>
    <w:rsid w:val="40EC25C4"/>
    <w:rsid w:val="40EC5A0D"/>
    <w:rsid w:val="40F11E5B"/>
    <w:rsid w:val="40F2C55C"/>
    <w:rsid w:val="40F5A41A"/>
    <w:rsid w:val="40F9E94B"/>
    <w:rsid w:val="40FEB335"/>
    <w:rsid w:val="4101F4AC"/>
    <w:rsid w:val="41024640"/>
    <w:rsid w:val="41038A83"/>
    <w:rsid w:val="41088F43"/>
    <w:rsid w:val="4108FA29"/>
    <w:rsid w:val="41126B44"/>
    <w:rsid w:val="4116664C"/>
    <w:rsid w:val="411B5AA1"/>
    <w:rsid w:val="411EEB9A"/>
    <w:rsid w:val="4129F3CD"/>
    <w:rsid w:val="412C7B49"/>
    <w:rsid w:val="412F8A25"/>
    <w:rsid w:val="4135E0FF"/>
    <w:rsid w:val="4135F322"/>
    <w:rsid w:val="413B8E89"/>
    <w:rsid w:val="413E504F"/>
    <w:rsid w:val="4144E472"/>
    <w:rsid w:val="41570916"/>
    <w:rsid w:val="415B684C"/>
    <w:rsid w:val="415F81B3"/>
    <w:rsid w:val="41625493"/>
    <w:rsid w:val="41629A18"/>
    <w:rsid w:val="41661F91"/>
    <w:rsid w:val="4167240C"/>
    <w:rsid w:val="416A9FC7"/>
    <w:rsid w:val="416E228A"/>
    <w:rsid w:val="416E752D"/>
    <w:rsid w:val="41752D93"/>
    <w:rsid w:val="417D6105"/>
    <w:rsid w:val="41851553"/>
    <w:rsid w:val="41870A5E"/>
    <w:rsid w:val="418856EC"/>
    <w:rsid w:val="4189B00C"/>
    <w:rsid w:val="418DF18D"/>
    <w:rsid w:val="41939160"/>
    <w:rsid w:val="4193CC19"/>
    <w:rsid w:val="419AAE28"/>
    <w:rsid w:val="419FDD37"/>
    <w:rsid w:val="41A2210D"/>
    <w:rsid w:val="41A35CED"/>
    <w:rsid w:val="41A385D4"/>
    <w:rsid w:val="41A5DDEE"/>
    <w:rsid w:val="41A74593"/>
    <w:rsid w:val="41AEDC8F"/>
    <w:rsid w:val="41B4C1AA"/>
    <w:rsid w:val="41B62E69"/>
    <w:rsid w:val="41BA76B8"/>
    <w:rsid w:val="41BD0145"/>
    <w:rsid w:val="41C25657"/>
    <w:rsid w:val="41C27227"/>
    <w:rsid w:val="41C2A5D2"/>
    <w:rsid w:val="41C39853"/>
    <w:rsid w:val="41C59494"/>
    <w:rsid w:val="41C61E25"/>
    <w:rsid w:val="41C7B74F"/>
    <w:rsid w:val="41C8BD81"/>
    <w:rsid w:val="41CD6BDE"/>
    <w:rsid w:val="41D9A184"/>
    <w:rsid w:val="41DAC650"/>
    <w:rsid w:val="41DBD089"/>
    <w:rsid w:val="41DFCEAA"/>
    <w:rsid w:val="41E05AC8"/>
    <w:rsid w:val="41E17F23"/>
    <w:rsid w:val="41E8B3AD"/>
    <w:rsid w:val="41EB09FE"/>
    <w:rsid w:val="41EFAC82"/>
    <w:rsid w:val="41F107B0"/>
    <w:rsid w:val="41F220F2"/>
    <w:rsid w:val="41F23AF7"/>
    <w:rsid w:val="41FA0094"/>
    <w:rsid w:val="41FB2F66"/>
    <w:rsid w:val="41FCA6C4"/>
    <w:rsid w:val="4202DB46"/>
    <w:rsid w:val="42080B8E"/>
    <w:rsid w:val="420C1661"/>
    <w:rsid w:val="420DF833"/>
    <w:rsid w:val="420F81AB"/>
    <w:rsid w:val="4211F777"/>
    <w:rsid w:val="42124280"/>
    <w:rsid w:val="42149042"/>
    <w:rsid w:val="42167AE0"/>
    <w:rsid w:val="4216F777"/>
    <w:rsid w:val="421FAE69"/>
    <w:rsid w:val="422654A4"/>
    <w:rsid w:val="42279E1D"/>
    <w:rsid w:val="42585CD4"/>
    <w:rsid w:val="4259B84E"/>
    <w:rsid w:val="425CEA27"/>
    <w:rsid w:val="425F9BB9"/>
    <w:rsid w:val="426A59E4"/>
    <w:rsid w:val="427362E2"/>
    <w:rsid w:val="42773B9C"/>
    <w:rsid w:val="42810A4F"/>
    <w:rsid w:val="428179BA"/>
    <w:rsid w:val="42838114"/>
    <w:rsid w:val="4283C755"/>
    <w:rsid w:val="428636DB"/>
    <w:rsid w:val="4287A7A5"/>
    <w:rsid w:val="428AB4FF"/>
    <w:rsid w:val="428BCBFC"/>
    <w:rsid w:val="428E396E"/>
    <w:rsid w:val="4296866B"/>
    <w:rsid w:val="4298010B"/>
    <w:rsid w:val="4298E07F"/>
    <w:rsid w:val="429BB99D"/>
    <w:rsid w:val="429F9A11"/>
    <w:rsid w:val="42A0B0FD"/>
    <w:rsid w:val="42A3980E"/>
    <w:rsid w:val="42A7E8A9"/>
    <w:rsid w:val="42AA8951"/>
    <w:rsid w:val="42AD5C5B"/>
    <w:rsid w:val="42B49C32"/>
    <w:rsid w:val="42B5C31F"/>
    <w:rsid w:val="42B6A237"/>
    <w:rsid w:val="42B6DC90"/>
    <w:rsid w:val="42C01BD2"/>
    <w:rsid w:val="42C08D81"/>
    <w:rsid w:val="42C6438E"/>
    <w:rsid w:val="42C7077F"/>
    <w:rsid w:val="42C801B7"/>
    <w:rsid w:val="42C9A039"/>
    <w:rsid w:val="42D747D4"/>
    <w:rsid w:val="42D93334"/>
    <w:rsid w:val="42DA4D4D"/>
    <w:rsid w:val="42DA5E4D"/>
    <w:rsid w:val="42DEE376"/>
    <w:rsid w:val="42DF09FE"/>
    <w:rsid w:val="42E22888"/>
    <w:rsid w:val="42E6D8DF"/>
    <w:rsid w:val="42ED9B6A"/>
    <w:rsid w:val="42F5F9E1"/>
    <w:rsid w:val="42F8602D"/>
    <w:rsid w:val="42F95CDC"/>
    <w:rsid w:val="42FAF173"/>
    <w:rsid w:val="42FB37E9"/>
    <w:rsid w:val="42FC145B"/>
    <w:rsid w:val="42FDDC13"/>
    <w:rsid w:val="4305C2E9"/>
    <w:rsid w:val="4308052A"/>
    <w:rsid w:val="430844F3"/>
    <w:rsid w:val="430E994C"/>
    <w:rsid w:val="4312B5CB"/>
    <w:rsid w:val="4319CAE2"/>
    <w:rsid w:val="431CBAAE"/>
    <w:rsid w:val="431DCA59"/>
    <w:rsid w:val="432134F4"/>
    <w:rsid w:val="43219661"/>
    <w:rsid w:val="432362D6"/>
    <w:rsid w:val="43243E26"/>
    <w:rsid w:val="43248AC3"/>
    <w:rsid w:val="4324DD22"/>
    <w:rsid w:val="4325136B"/>
    <w:rsid w:val="4328A20C"/>
    <w:rsid w:val="432AF65A"/>
    <w:rsid w:val="4339F238"/>
    <w:rsid w:val="433A0440"/>
    <w:rsid w:val="433BD024"/>
    <w:rsid w:val="43401BE2"/>
    <w:rsid w:val="4342BE3E"/>
    <w:rsid w:val="43440D8C"/>
    <w:rsid w:val="4347A6BF"/>
    <w:rsid w:val="434C3427"/>
    <w:rsid w:val="434D5057"/>
    <w:rsid w:val="434DF3B9"/>
    <w:rsid w:val="434EE72B"/>
    <w:rsid w:val="435312A0"/>
    <w:rsid w:val="43531361"/>
    <w:rsid w:val="435AEF6F"/>
    <w:rsid w:val="435BC904"/>
    <w:rsid w:val="435EDDA7"/>
    <w:rsid w:val="4360BAC0"/>
    <w:rsid w:val="436C825F"/>
    <w:rsid w:val="436F350E"/>
    <w:rsid w:val="43744141"/>
    <w:rsid w:val="4375C538"/>
    <w:rsid w:val="437773E4"/>
    <w:rsid w:val="437C1F6F"/>
    <w:rsid w:val="438131A9"/>
    <w:rsid w:val="43886AA2"/>
    <w:rsid w:val="43932229"/>
    <w:rsid w:val="4393F997"/>
    <w:rsid w:val="4395D9F7"/>
    <w:rsid w:val="4398D651"/>
    <w:rsid w:val="439A8E31"/>
    <w:rsid w:val="439AFA7A"/>
    <w:rsid w:val="439EB297"/>
    <w:rsid w:val="43A08A52"/>
    <w:rsid w:val="43A17C7D"/>
    <w:rsid w:val="43AB08BF"/>
    <w:rsid w:val="43ACB92B"/>
    <w:rsid w:val="43B05670"/>
    <w:rsid w:val="43B5E9D0"/>
    <w:rsid w:val="43B5FB14"/>
    <w:rsid w:val="43B7C67D"/>
    <w:rsid w:val="43B9FA70"/>
    <w:rsid w:val="43BB3633"/>
    <w:rsid w:val="43BCDABE"/>
    <w:rsid w:val="43BE52F3"/>
    <w:rsid w:val="43C62C44"/>
    <w:rsid w:val="43C8DB74"/>
    <w:rsid w:val="43D3D95A"/>
    <w:rsid w:val="43D57A0F"/>
    <w:rsid w:val="43D6E090"/>
    <w:rsid w:val="43DD26FD"/>
    <w:rsid w:val="43DFA62A"/>
    <w:rsid w:val="43E047CF"/>
    <w:rsid w:val="43E3883A"/>
    <w:rsid w:val="43E39552"/>
    <w:rsid w:val="43E7F838"/>
    <w:rsid w:val="43E96066"/>
    <w:rsid w:val="43E9A675"/>
    <w:rsid w:val="43EB228C"/>
    <w:rsid w:val="43EDC647"/>
    <w:rsid w:val="43EE52C1"/>
    <w:rsid w:val="43EE7CE7"/>
    <w:rsid w:val="43F0C859"/>
    <w:rsid w:val="43F95E3D"/>
    <w:rsid w:val="43FCFF41"/>
    <w:rsid w:val="44011F6E"/>
    <w:rsid w:val="44040A49"/>
    <w:rsid w:val="4405E6AB"/>
    <w:rsid w:val="44060E48"/>
    <w:rsid w:val="4411067E"/>
    <w:rsid w:val="44125630"/>
    <w:rsid w:val="441260AB"/>
    <w:rsid w:val="44138B3E"/>
    <w:rsid w:val="441F3B24"/>
    <w:rsid w:val="441F3B46"/>
    <w:rsid w:val="44200DDB"/>
    <w:rsid w:val="4421636D"/>
    <w:rsid w:val="44231F58"/>
    <w:rsid w:val="44236403"/>
    <w:rsid w:val="44274DBD"/>
    <w:rsid w:val="44281BD3"/>
    <w:rsid w:val="44295804"/>
    <w:rsid w:val="442BD795"/>
    <w:rsid w:val="44322087"/>
    <w:rsid w:val="443A44CA"/>
    <w:rsid w:val="443D859F"/>
    <w:rsid w:val="443DCFFC"/>
    <w:rsid w:val="443FEE4B"/>
    <w:rsid w:val="44428C51"/>
    <w:rsid w:val="4442C23C"/>
    <w:rsid w:val="444BB659"/>
    <w:rsid w:val="444E9F06"/>
    <w:rsid w:val="44500323"/>
    <w:rsid w:val="4450EA24"/>
    <w:rsid w:val="4453DD13"/>
    <w:rsid w:val="445B8975"/>
    <w:rsid w:val="445E2123"/>
    <w:rsid w:val="44645D96"/>
    <w:rsid w:val="4465C320"/>
    <w:rsid w:val="44664A42"/>
    <w:rsid w:val="44674F68"/>
    <w:rsid w:val="4469AB2B"/>
    <w:rsid w:val="446A1096"/>
    <w:rsid w:val="446AA08F"/>
    <w:rsid w:val="446BF9B9"/>
    <w:rsid w:val="446DFE8B"/>
    <w:rsid w:val="446ED31D"/>
    <w:rsid w:val="446EF1F5"/>
    <w:rsid w:val="446F336F"/>
    <w:rsid w:val="44703483"/>
    <w:rsid w:val="44703C70"/>
    <w:rsid w:val="44709921"/>
    <w:rsid w:val="44711C73"/>
    <w:rsid w:val="447A41AC"/>
    <w:rsid w:val="447C6DA4"/>
    <w:rsid w:val="44802441"/>
    <w:rsid w:val="4483AD9D"/>
    <w:rsid w:val="4485FD29"/>
    <w:rsid w:val="448D0D3D"/>
    <w:rsid w:val="448E8FE6"/>
    <w:rsid w:val="4492DEFF"/>
    <w:rsid w:val="4498F834"/>
    <w:rsid w:val="44A090BE"/>
    <w:rsid w:val="44A4F165"/>
    <w:rsid w:val="44AD601D"/>
    <w:rsid w:val="44AE2C41"/>
    <w:rsid w:val="44AE8FE4"/>
    <w:rsid w:val="44B1011F"/>
    <w:rsid w:val="44B57884"/>
    <w:rsid w:val="44BC99B9"/>
    <w:rsid w:val="44BE1CE7"/>
    <w:rsid w:val="44C6ED85"/>
    <w:rsid w:val="44C81FDE"/>
    <w:rsid w:val="44CAE1F0"/>
    <w:rsid w:val="44CC6EC8"/>
    <w:rsid w:val="44D2E6F7"/>
    <w:rsid w:val="44D8D13B"/>
    <w:rsid w:val="44DDCF6F"/>
    <w:rsid w:val="44E55C02"/>
    <w:rsid w:val="44E8C4E0"/>
    <w:rsid w:val="44EA358C"/>
    <w:rsid w:val="44EC2081"/>
    <w:rsid w:val="44ED6642"/>
    <w:rsid w:val="44F251B0"/>
    <w:rsid w:val="44F3B5CA"/>
    <w:rsid w:val="44F700BE"/>
    <w:rsid w:val="44F92C42"/>
    <w:rsid w:val="44FA8BE9"/>
    <w:rsid w:val="44FAC960"/>
    <w:rsid w:val="45053FD1"/>
    <w:rsid w:val="4505DC95"/>
    <w:rsid w:val="450BD38F"/>
    <w:rsid w:val="450BF9B8"/>
    <w:rsid w:val="4516591E"/>
    <w:rsid w:val="4519DCDE"/>
    <w:rsid w:val="4519EB7C"/>
    <w:rsid w:val="451BFF87"/>
    <w:rsid w:val="452154CE"/>
    <w:rsid w:val="452769C6"/>
    <w:rsid w:val="45278568"/>
    <w:rsid w:val="4528B271"/>
    <w:rsid w:val="452CDC99"/>
    <w:rsid w:val="452EFDCD"/>
    <w:rsid w:val="45323890"/>
    <w:rsid w:val="4538C76E"/>
    <w:rsid w:val="453CF2F3"/>
    <w:rsid w:val="4545317F"/>
    <w:rsid w:val="454EC376"/>
    <w:rsid w:val="45544544"/>
    <w:rsid w:val="4558F4B4"/>
    <w:rsid w:val="455985E1"/>
    <w:rsid w:val="4561FB1B"/>
    <w:rsid w:val="45662375"/>
    <w:rsid w:val="45676EAA"/>
    <w:rsid w:val="45677FCD"/>
    <w:rsid w:val="456B68C6"/>
    <w:rsid w:val="456EE03C"/>
    <w:rsid w:val="457279D7"/>
    <w:rsid w:val="45728DB6"/>
    <w:rsid w:val="4572ECE4"/>
    <w:rsid w:val="4573698E"/>
    <w:rsid w:val="4577AB92"/>
    <w:rsid w:val="4578FD64"/>
    <w:rsid w:val="457B09F3"/>
    <w:rsid w:val="45801600"/>
    <w:rsid w:val="45831723"/>
    <w:rsid w:val="45846973"/>
    <w:rsid w:val="4585A3BF"/>
    <w:rsid w:val="45864DE7"/>
    <w:rsid w:val="458A6473"/>
    <w:rsid w:val="458B8FEF"/>
    <w:rsid w:val="4595336B"/>
    <w:rsid w:val="459E6CE2"/>
    <w:rsid w:val="459FB46A"/>
    <w:rsid w:val="45A3ED5D"/>
    <w:rsid w:val="45AA23B2"/>
    <w:rsid w:val="45B44883"/>
    <w:rsid w:val="45B7B4F7"/>
    <w:rsid w:val="45B811CD"/>
    <w:rsid w:val="45B88954"/>
    <w:rsid w:val="45BCEC8F"/>
    <w:rsid w:val="45BD963F"/>
    <w:rsid w:val="45BDE8BE"/>
    <w:rsid w:val="45BF2E4B"/>
    <w:rsid w:val="45C06E7F"/>
    <w:rsid w:val="45C6C222"/>
    <w:rsid w:val="45C92025"/>
    <w:rsid w:val="45CE5D5D"/>
    <w:rsid w:val="45D65DDE"/>
    <w:rsid w:val="45D881A8"/>
    <w:rsid w:val="45E0E99F"/>
    <w:rsid w:val="45E59C39"/>
    <w:rsid w:val="45EB5526"/>
    <w:rsid w:val="45EEC253"/>
    <w:rsid w:val="45F2349A"/>
    <w:rsid w:val="45F42B3A"/>
    <w:rsid w:val="45F476B4"/>
    <w:rsid w:val="45F50391"/>
    <w:rsid w:val="45F7AA5A"/>
    <w:rsid w:val="45FCC658"/>
    <w:rsid w:val="45FD91CC"/>
    <w:rsid w:val="45FECE59"/>
    <w:rsid w:val="4608D147"/>
    <w:rsid w:val="460AF826"/>
    <w:rsid w:val="4612808F"/>
    <w:rsid w:val="4613E278"/>
    <w:rsid w:val="46177205"/>
    <w:rsid w:val="4617AB40"/>
    <w:rsid w:val="4617DEED"/>
    <w:rsid w:val="461C50AF"/>
    <w:rsid w:val="46202C9F"/>
    <w:rsid w:val="46204A9C"/>
    <w:rsid w:val="46291816"/>
    <w:rsid w:val="462FBE05"/>
    <w:rsid w:val="463176BD"/>
    <w:rsid w:val="4631B06D"/>
    <w:rsid w:val="4632B1D2"/>
    <w:rsid w:val="4632D326"/>
    <w:rsid w:val="4633261E"/>
    <w:rsid w:val="46356EC2"/>
    <w:rsid w:val="4636A14E"/>
    <w:rsid w:val="463934FC"/>
    <w:rsid w:val="4640D67F"/>
    <w:rsid w:val="46437FE2"/>
    <w:rsid w:val="4644558A"/>
    <w:rsid w:val="46465D0B"/>
    <w:rsid w:val="4646EFD8"/>
    <w:rsid w:val="464A221E"/>
    <w:rsid w:val="464C3AB1"/>
    <w:rsid w:val="464D4C51"/>
    <w:rsid w:val="464E31A6"/>
    <w:rsid w:val="46531E10"/>
    <w:rsid w:val="4656D10F"/>
    <w:rsid w:val="4656E806"/>
    <w:rsid w:val="4658CF77"/>
    <w:rsid w:val="4659B75D"/>
    <w:rsid w:val="465D3CC8"/>
    <w:rsid w:val="46667BD2"/>
    <w:rsid w:val="4668623F"/>
    <w:rsid w:val="466AE20C"/>
    <w:rsid w:val="466D2857"/>
    <w:rsid w:val="466E5712"/>
    <w:rsid w:val="4674368C"/>
    <w:rsid w:val="46751F49"/>
    <w:rsid w:val="46771558"/>
    <w:rsid w:val="4679A289"/>
    <w:rsid w:val="467C69D3"/>
    <w:rsid w:val="467E0C16"/>
    <w:rsid w:val="467E31DD"/>
    <w:rsid w:val="46819B9A"/>
    <w:rsid w:val="4682F42D"/>
    <w:rsid w:val="4688EFA9"/>
    <w:rsid w:val="468994D8"/>
    <w:rsid w:val="468A25D6"/>
    <w:rsid w:val="468A8AC3"/>
    <w:rsid w:val="468FD2A4"/>
    <w:rsid w:val="469033F8"/>
    <w:rsid w:val="469BE3E2"/>
    <w:rsid w:val="46A40BF3"/>
    <w:rsid w:val="46A55381"/>
    <w:rsid w:val="46A66639"/>
    <w:rsid w:val="46A69DB3"/>
    <w:rsid w:val="46A8A52A"/>
    <w:rsid w:val="46A9A59D"/>
    <w:rsid w:val="46A9FD03"/>
    <w:rsid w:val="46B5945C"/>
    <w:rsid w:val="46B99192"/>
    <w:rsid w:val="46BFB981"/>
    <w:rsid w:val="46C21DFB"/>
    <w:rsid w:val="46C5C7DF"/>
    <w:rsid w:val="46C77836"/>
    <w:rsid w:val="46C8CCED"/>
    <w:rsid w:val="46CA89D2"/>
    <w:rsid w:val="46CC129A"/>
    <w:rsid w:val="46D2C0EA"/>
    <w:rsid w:val="46D84F8D"/>
    <w:rsid w:val="46DA1996"/>
    <w:rsid w:val="46DD0DE7"/>
    <w:rsid w:val="46DDADC5"/>
    <w:rsid w:val="46DDE346"/>
    <w:rsid w:val="46E12707"/>
    <w:rsid w:val="46E176A1"/>
    <w:rsid w:val="46E9BEA9"/>
    <w:rsid w:val="46EAECE5"/>
    <w:rsid w:val="46F21459"/>
    <w:rsid w:val="46F56369"/>
    <w:rsid w:val="46FA2FDC"/>
    <w:rsid w:val="46FCFE7E"/>
    <w:rsid w:val="46FE08FD"/>
    <w:rsid w:val="46FF1306"/>
    <w:rsid w:val="470451CF"/>
    <w:rsid w:val="4704C58F"/>
    <w:rsid w:val="4708A49A"/>
    <w:rsid w:val="470B3DC8"/>
    <w:rsid w:val="470D3A62"/>
    <w:rsid w:val="470FF0FC"/>
    <w:rsid w:val="4710ED83"/>
    <w:rsid w:val="47126040"/>
    <w:rsid w:val="47155D1F"/>
    <w:rsid w:val="471751CF"/>
    <w:rsid w:val="471C0BA1"/>
    <w:rsid w:val="471C39CA"/>
    <w:rsid w:val="471F776A"/>
    <w:rsid w:val="471FCF5B"/>
    <w:rsid w:val="47226124"/>
    <w:rsid w:val="472361E1"/>
    <w:rsid w:val="472CF548"/>
    <w:rsid w:val="47321620"/>
    <w:rsid w:val="47333FFC"/>
    <w:rsid w:val="4743010A"/>
    <w:rsid w:val="4745F5C3"/>
    <w:rsid w:val="474615CC"/>
    <w:rsid w:val="47480200"/>
    <w:rsid w:val="474EBDC9"/>
    <w:rsid w:val="474F2DCC"/>
    <w:rsid w:val="4752CF9E"/>
    <w:rsid w:val="475667BB"/>
    <w:rsid w:val="475AA8E9"/>
    <w:rsid w:val="475FCF98"/>
    <w:rsid w:val="4761B0F3"/>
    <w:rsid w:val="47627C58"/>
    <w:rsid w:val="4762E2DE"/>
    <w:rsid w:val="47631882"/>
    <w:rsid w:val="4764B3FC"/>
    <w:rsid w:val="476826AC"/>
    <w:rsid w:val="4768ED05"/>
    <w:rsid w:val="4769A252"/>
    <w:rsid w:val="476A33E4"/>
    <w:rsid w:val="47715891"/>
    <w:rsid w:val="4780A2BA"/>
    <w:rsid w:val="47837E5A"/>
    <w:rsid w:val="47856AFD"/>
    <w:rsid w:val="4787F57F"/>
    <w:rsid w:val="4795935E"/>
    <w:rsid w:val="479E8C9F"/>
    <w:rsid w:val="47A7A91B"/>
    <w:rsid w:val="47A9C0A7"/>
    <w:rsid w:val="47AD02F9"/>
    <w:rsid w:val="47ADC275"/>
    <w:rsid w:val="47ADEC8F"/>
    <w:rsid w:val="47AEC6EB"/>
    <w:rsid w:val="47AFF776"/>
    <w:rsid w:val="47B6B4ED"/>
    <w:rsid w:val="47B79935"/>
    <w:rsid w:val="47B912EF"/>
    <w:rsid w:val="47C2D54A"/>
    <w:rsid w:val="47C66404"/>
    <w:rsid w:val="47C8C20C"/>
    <w:rsid w:val="47CA0400"/>
    <w:rsid w:val="47CA087B"/>
    <w:rsid w:val="47CBFF81"/>
    <w:rsid w:val="47CD0770"/>
    <w:rsid w:val="47D47B00"/>
    <w:rsid w:val="47D826C3"/>
    <w:rsid w:val="47D9AFC7"/>
    <w:rsid w:val="47DAAC28"/>
    <w:rsid w:val="47DBC94C"/>
    <w:rsid w:val="47DBD6DF"/>
    <w:rsid w:val="47E16F46"/>
    <w:rsid w:val="47E7883D"/>
    <w:rsid w:val="47E7A6D5"/>
    <w:rsid w:val="47EA4677"/>
    <w:rsid w:val="47EC7FBD"/>
    <w:rsid w:val="47F04D46"/>
    <w:rsid w:val="47F853FD"/>
    <w:rsid w:val="47F86C94"/>
    <w:rsid w:val="47F8D5A9"/>
    <w:rsid w:val="47F93571"/>
    <w:rsid w:val="480041CB"/>
    <w:rsid w:val="4801E5E4"/>
    <w:rsid w:val="48036FA4"/>
    <w:rsid w:val="4803BA64"/>
    <w:rsid w:val="4805A311"/>
    <w:rsid w:val="4805E19E"/>
    <w:rsid w:val="480DA5D1"/>
    <w:rsid w:val="4811A00D"/>
    <w:rsid w:val="481380DA"/>
    <w:rsid w:val="48139AC5"/>
    <w:rsid w:val="48184944"/>
    <w:rsid w:val="481CE312"/>
    <w:rsid w:val="481ED2A3"/>
    <w:rsid w:val="481F7E40"/>
    <w:rsid w:val="4821511F"/>
    <w:rsid w:val="4823B8B2"/>
    <w:rsid w:val="4826738C"/>
    <w:rsid w:val="482AEA08"/>
    <w:rsid w:val="4832E14E"/>
    <w:rsid w:val="4833DC1A"/>
    <w:rsid w:val="48349BEF"/>
    <w:rsid w:val="4836EF9C"/>
    <w:rsid w:val="483A1448"/>
    <w:rsid w:val="483EE9AE"/>
    <w:rsid w:val="483F1DFE"/>
    <w:rsid w:val="4844C88B"/>
    <w:rsid w:val="48450BC6"/>
    <w:rsid w:val="48458566"/>
    <w:rsid w:val="4846C4E1"/>
    <w:rsid w:val="484D0AE5"/>
    <w:rsid w:val="484E6BBE"/>
    <w:rsid w:val="484EFABC"/>
    <w:rsid w:val="485184CC"/>
    <w:rsid w:val="485AEB89"/>
    <w:rsid w:val="485B0B72"/>
    <w:rsid w:val="485D31BF"/>
    <w:rsid w:val="4860856A"/>
    <w:rsid w:val="4865020D"/>
    <w:rsid w:val="486579D2"/>
    <w:rsid w:val="4865F064"/>
    <w:rsid w:val="48692BB9"/>
    <w:rsid w:val="486A899A"/>
    <w:rsid w:val="486B0028"/>
    <w:rsid w:val="486C90FA"/>
    <w:rsid w:val="486E5498"/>
    <w:rsid w:val="48711216"/>
    <w:rsid w:val="4873B742"/>
    <w:rsid w:val="4873E811"/>
    <w:rsid w:val="48795882"/>
    <w:rsid w:val="487B5943"/>
    <w:rsid w:val="487CA372"/>
    <w:rsid w:val="488788E8"/>
    <w:rsid w:val="48878B94"/>
    <w:rsid w:val="488F6E93"/>
    <w:rsid w:val="488FB20B"/>
    <w:rsid w:val="4894B584"/>
    <w:rsid w:val="48958A59"/>
    <w:rsid w:val="489B2715"/>
    <w:rsid w:val="489C9FC3"/>
    <w:rsid w:val="489E5790"/>
    <w:rsid w:val="48A09DF2"/>
    <w:rsid w:val="48A0ACF6"/>
    <w:rsid w:val="48A1FE5C"/>
    <w:rsid w:val="48AC2FA3"/>
    <w:rsid w:val="48AEC382"/>
    <w:rsid w:val="48B0768C"/>
    <w:rsid w:val="48B0CAF2"/>
    <w:rsid w:val="48B4783C"/>
    <w:rsid w:val="48BB2C05"/>
    <w:rsid w:val="48BCA290"/>
    <w:rsid w:val="48BD43E5"/>
    <w:rsid w:val="48C5CB3F"/>
    <w:rsid w:val="48C68AC8"/>
    <w:rsid w:val="48C6A816"/>
    <w:rsid w:val="48C8312D"/>
    <w:rsid w:val="48C9FE5E"/>
    <w:rsid w:val="48CCCB09"/>
    <w:rsid w:val="48D27FE6"/>
    <w:rsid w:val="48DBFA75"/>
    <w:rsid w:val="48E1DC4F"/>
    <w:rsid w:val="48E2B405"/>
    <w:rsid w:val="48E334DF"/>
    <w:rsid w:val="48E6296F"/>
    <w:rsid w:val="48E7A90F"/>
    <w:rsid w:val="48EB1878"/>
    <w:rsid w:val="48EF9C09"/>
    <w:rsid w:val="48EFF3BC"/>
    <w:rsid w:val="48F3EBF1"/>
    <w:rsid w:val="48F7D63C"/>
    <w:rsid w:val="48F7FA50"/>
    <w:rsid w:val="48F9B9C0"/>
    <w:rsid w:val="48FA73D6"/>
    <w:rsid w:val="48FDA7E2"/>
    <w:rsid w:val="48FFF4CA"/>
    <w:rsid w:val="490330E2"/>
    <w:rsid w:val="4913CB1D"/>
    <w:rsid w:val="4919A2EC"/>
    <w:rsid w:val="491EF20B"/>
    <w:rsid w:val="492432FA"/>
    <w:rsid w:val="492B2DF7"/>
    <w:rsid w:val="492F6D3E"/>
    <w:rsid w:val="4930C65B"/>
    <w:rsid w:val="493970A9"/>
    <w:rsid w:val="493CA90C"/>
    <w:rsid w:val="493DEB6F"/>
    <w:rsid w:val="493EAF5A"/>
    <w:rsid w:val="49405680"/>
    <w:rsid w:val="49420CB2"/>
    <w:rsid w:val="49456A8A"/>
    <w:rsid w:val="494DF149"/>
    <w:rsid w:val="49515AD7"/>
    <w:rsid w:val="4954B27A"/>
    <w:rsid w:val="49577257"/>
    <w:rsid w:val="495B4824"/>
    <w:rsid w:val="495BF5D2"/>
    <w:rsid w:val="495C9521"/>
    <w:rsid w:val="496075E1"/>
    <w:rsid w:val="496471EF"/>
    <w:rsid w:val="496C5D6E"/>
    <w:rsid w:val="49705970"/>
    <w:rsid w:val="4971BB4C"/>
    <w:rsid w:val="4972987B"/>
    <w:rsid w:val="4974DF99"/>
    <w:rsid w:val="4975DE72"/>
    <w:rsid w:val="497B8131"/>
    <w:rsid w:val="4984022D"/>
    <w:rsid w:val="4986773F"/>
    <w:rsid w:val="49906335"/>
    <w:rsid w:val="499CF1FF"/>
    <w:rsid w:val="499FF467"/>
    <w:rsid w:val="49A1BC56"/>
    <w:rsid w:val="49A24DCA"/>
    <w:rsid w:val="49A2E980"/>
    <w:rsid w:val="49A43218"/>
    <w:rsid w:val="49A753A9"/>
    <w:rsid w:val="49A81DAB"/>
    <w:rsid w:val="49AB5B6E"/>
    <w:rsid w:val="49AF1681"/>
    <w:rsid w:val="49B05075"/>
    <w:rsid w:val="49B19EBB"/>
    <w:rsid w:val="49B39D6A"/>
    <w:rsid w:val="49B5601C"/>
    <w:rsid w:val="49B65960"/>
    <w:rsid w:val="49B96D40"/>
    <w:rsid w:val="49C05B64"/>
    <w:rsid w:val="49C2AA53"/>
    <w:rsid w:val="49C5C69F"/>
    <w:rsid w:val="49C73242"/>
    <w:rsid w:val="49CA733A"/>
    <w:rsid w:val="49D3ED64"/>
    <w:rsid w:val="49D43BA3"/>
    <w:rsid w:val="49D62359"/>
    <w:rsid w:val="49DAE391"/>
    <w:rsid w:val="49DC4BFB"/>
    <w:rsid w:val="49DFD21B"/>
    <w:rsid w:val="49E1731C"/>
    <w:rsid w:val="49E47BB8"/>
    <w:rsid w:val="49E4C807"/>
    <w:rsid w:val="49E50793"/>
    <w:rsid w:val="49E66B52"/>
    <w:rsid w:val="49E9D47A"/>
    <w:rsid w:val="49EC03BE"/>
    <w:rsid w:val="49ECDB9F"/>
    <w:rsid w:val="49EF4235"/>
    <w:rsid w:val="49F3C960"/>
    <w:rsid w:val="49F5A466"/>
    <w:rsid w:val="49F65571"/>
    <w:rsid w:val="49F6606C"/>
    <w:rsid w:val="49F70843"/>
    <w:rsid w:val="49F847BA"/>
    <w:rsid w:val="49FF7E85"/>
    <w:rsid w:val="4A074521"/>
    <w:rsid w:val="4A0A5260"/>
    <w:rsid w:val="4A0B7469"/>
    <w:rsid w:val="4A116F34"/>
    <w:rsid w:val="4A16E210"/>
    <w:rsid w:val="4A174436"/>
    <w:rsid w:val="4A180608"/>
    <w:rsid w:val="4A183E9C"/>
    <w:rsid w:val="4A1AA4A6"/>
    <w:rsid w:val="4A250502"/>
    <w:rsid w:val="4A280B3F"/>
    <w:rsid w:val="4A285247"/>
    <w:rsid w:val="4A2BBD4A"/>
    <w:rsid w:val="4A2C9DA2"/>
    <w:rsid w:val="4A2D4E1A"/>
    <w:rsid w:val="4A2E4DAC"/>
    <w:rsid w:val="4A35F791"/>
    <w:rsid w:val="4A3752E8"/>
    <w:rsid w:val="4A3AF4AA"/>
    <w:rsid w:val="4A3B62C1"/>
    <w:rsid w:val="4A3CC96C"/>
    <w:rsid w:val="4A3CD36A"/>
    <w:rsid w:val="4A41A093"/>
    <w:rsid w:val="4A4AEEB4"/>
    <w:rsid w:val="4A4EA8A0"/>
    <w:rsid w:val="4A50C1FB"/>
    <w:rsid w:val="4A53DF17"/>
    <w:rsid w:val="4A55B99F"/>
    <w:rsid w:val="4A56AABA"/>
    <w:rsid w:val="4A597E2D"/>
    <w:rsid w:val="4A5C8A32"/>
    <w:rsid w:val="4A5CAE4C"/>
    <w:rsid w:val="4A5CCBD4"/>
    <w:rsid w:val="4A5D1663"/>
    <w:rsid w:val="4A5EEF08"/>
    <w:rsid w:val="4A66EE01"/>
    <w:rsid w:val="4A67C99C"/>
    <w:rsid w:val="4A6CED16"/>
    <w:rsid w:val="4A6FA4D2"/>
    <w:rsid w:val="4A7A3928"/>
    <w:rsid w:val="4A7BB671"/>
    <w:rsid w:val="4A7C5ADE"/>
    <w:rsid w:val="4A80913E"/>
    <w:rsid w:val="4A809D4E"/>
    <w:rsid w:val="4A870DF3"/>
    <w:rsid w:val="4A8B0E16"/>
    <w:rsid w:val="4A8B563B"/>
    <w:rsid w:val="4A8CAD1C"/>
    <w:rsid w:val="4A8CE069"/>
    <w:rsid w:val="4A8DAD1F"/>
    <w:rsid w:val="4A8FA171"/>
    <w:rsid w:val="4A93394C"/>
    <w:rsid w:val="4A96EFF1"/>
    <w:rsid w:val="4A97F8AB"/>
    <w:rsid w:val="4A9A4AAA"/>
    <w:rsid w:val="4A9AB70F"/>
    <w:rsid w:val="4A9CAC7B"/>
    <w:rsid w:val="4AA7F7E8"/>
    <w:rsid w:val="4AAC17D1"/>
    <w:rsid w:val="4AB05B53"/>
    <w:rsid w:val="4AB426E1"/>
    <w:rsid w:val="4AB67491"/>
    <w:rsid w:val="4AB68499"/>
    <w:rsid w:val="4AB70698"/>
    <w:rsid w:val="4AB77CB9"/>
    <w:rsid w:val="4ABCF8FA"/>
    <w:rsid w:val="4ABDEB2B"/>
    <w:rsid w:val="4ABE0319"/>
    <w:rsid w:val="4ABFA49D"/>
    <w:rsid w:val="4AC1F083"/>
    <w:rsid w:val="4AC3C728"/>
    <w:rsid w:val="4ACD1FBB"/>
    <w:rsid w:val="4AD0FFDE"/>
    <w:rsid w:val="4AD1EB49"/>
    <w:rsid w:val="4AD2D7D3"/>
    <w:rsid w:val="4AD3C833"/>
    <w:rsid w:val="4AD6AE89"/>
    <w:rsid w:val="4AD72773"/>
    <w:rsid w:val="4ADB1B62"/>
    <w:rsid w:val="4AE0E00A"/>
    <w:rsid w:val="4AE595A7"/>
    <w:rsid w:val="4AEDB293"/>
    <w:rsid w:val="4AEFDEEE"/>
    <w:rsid w:val="4AF06A0B"/>
    <w:rsid w:val="4B06BF1F"/>
    <w:rsid w:val="4B14850B"/>
    <w:rsid w:val="4B1FD80A"/>
    <w:rsid w:val="4B2CFA71"/>
    <w:rsid w:val="4B2E53E5"/>
    <w:rsid w:val="4B2F2354"/>
    <w:rsid w:val="4B302C11"/>
    <w:rsid w:val="4B306C42"/>
    <w:rsid w:val="4B31180C"/>
    <w:rsid w:val="4B454D2F"/>
    <w:rsid w:val="4B48F3E9"/>
    <w:rsid w:val="4B4A5799"/>
    <w:rsid w:val="4B4F10A6"/>
    <w:rsid w:val="4B667E8C"/>
    <w:rsid w:val="4B6962D9"/>
    <w:rsid w:val="4B6A4EC4"/>
    <w:rsid w:val="4B6C6794"/>
    <w:rsid w:val="4B6D0C3B"/>
    <w:rsid w:val="4B6DBB78"/>
    <w:rsid w:val="4B6F56CE"/>
    <w:rsid w:val="4B78E335"/>
    <w:rsid w:val="4B802013"/>
    <w:rsid w:val="4B82F300"/>
    <w:rsid w:val="4B84E811"/>
    <w:rsid w:val="4B863416"/>
    <w:rsid w:val="4B8AF5A4"/>
    <w:rsid w:val="4B8EAE1A"/>
    <w:rsid w:val="4B914367"/>
    <w:rsid w:val="4B961509"/>
    <w:rsid w:val="4B9D6564"/>
    <w:rsid w:val="4B9DD5DE"/>
    <w:rsid w:val="4BA4236D"/>
    <w:rsid w:val="4BB1AEB7"/>
    <w:rsid w:val="4BB243D1"/>
    <w:rsid w:val="4BB36D89"/>
    <w:rsid w:val="4BB56D1F"/>
    <w:rsid w:val="4BBC3208"/>
    <w:rsid w:val="4BCBED8B"/>
    <w:rsid w:val="4BD2899A"/>
    <w:rsid w:val="4BD6E349"/>
    <w:rsid w:val="4BDD4BEC"/>
    <w:rsid w:val="4BDF9E3E"/>
    <w:rsid w:val="4BE54CEE"/>
    <w:rsid w:val="4BE6F733"/>
    <w:rsid w:val="4BE78052"/>
    <w:rsid w:val="4BEB6A52"/>
    <w:rsid w:val="4BED01FA"/>
    <w:rsid w:val="4BEDC74F"/>
    <w:rsid w:val="4BF30D67"/>
    <w:rsid w:val="4BF33D5D"/>
    <w:rsid w:val="4BF531DE"/>
    <w:rsid w:val="4BFB5BAA"/>
    <w:rsid w:val="4BFB67F5"/>
    <w:rsid w:val="4BFE0A44"/>
    <w:rsid w:val="4BFE3536"/>
    <w:rsid w:val="4BFE3C23"/>
    <w:rsid w:val="4BFEF117"/>
    <w:rsid w:val="4BFF2641"/>
    <w:rsid w:val="4C04160B"/>
    <w:rsid w:val="4C0630AC"/>
    <w:rsid w:val="4C077567"/>
    <w:rsid w:val="4C07AC87"/>
    <w:rsid w:val="4C0CC8AC"/>
    <w:rsid w:val="4C0CF8EA"/>
    <w:rsid w:val="4C0F4906"/>
    <w:rsid w:val="4C10F900"/>
    <w:rsid w:val="4C165886"/>
    <w:rsid w:val="4C174AF5"/>
    <w:rsid w:val="4C1D2B06"/>
    <w:rsid w:val="4C215A2D"/>
    <w:rsid w:val="4C2215E8"/>
    <w:rsid w:val="4C22DFB7"/>
    <w:rsid w:val="4C2E4617"/>
    <w:rsid w:val="4C2F23C2"/>
    <w:rsid w:val="4C3284EA"/>
    <w:rsid w:val="4C39ED6E"/>
    <w:rsid w:val="4C3B279D"/>
    <w:rsid w:val="4C3C788D"/>
    <w:rsid w:val="4C3E3927"/>
    <w:rsid w:val="4C40E0CC"/>
    <w:rsid w:val="4C453DDA"/>
    <w:rsid w:val="4C4F2F18"/>
    <w:rsid w:val="4C509A7E"/>
    <w:rsid w:val="4C556D6C"/>
    <w:rsid w:val="4C56DE78"/>
    <w:rsid w:val="4C5DA73E"/>
    <w:rsid w:val="4C5E8500"/>
    <w:rsid w:val="4C6209D9"/>
    <w:rsid w:val="4C62DA8B"/>
    <w:rsid w:val="4C633179"/>
    <w:rsid w:val="4C648B42"/>
    <w:rsid w:val="4C6E56A6"/>
    <w:rsid w:val="4C70BB5E"/>
    <w:rsid w:val="4C749AE8"/>
    <w:rsid w:val="4C758456"/>
    <w:rsid w:val="4C75EC98"/>
    <w:rsid w:val="4C76DD11"/>
    <w:rsid w:val="4C77184B"/>
    <w:rsid w:val="4C7B1FFE"/>
    <w:rsid w:val="4C7B8348"/>
    <w:rsid w:val="4C7CA534"/>
    <w:rsid w:val="4C7D24BC"/>
    <w:rsid w:val="4C7EF3D3"/>
    <w:rsid w:val="4C830942"/>
    <w:rsid w:val="4C8569E1"/>
    <w:rsid w:val="4C85EE47"/>
    <w:rsid w:val="4C88390E"/>
    <w:rsid w:val="4C896538"/>
    <w:rsid w:val="4C8DD704"/>
    <w:rsid w:val="4C9BBDF1"/>
    <w:rsid w:val="4C9CDB7F"/>
    <w:rsid w:val="4CA386D6"/>
    <w:rsid w:val="4CA69A13"/>
    <w:rsid w:val="4CA81DED"/>
    <w:rsid w:val="4CA9513F"/>
    <w:rsid w:val="4CAA51FE"/>
    <w:rsid w:val="4CAC5AED"/>
    <w:rsid w:val="4CAD83CA"/>
    <w:rsid w:val="4CB0F310"/>
    <w:rsid w:val="4CBDEADD"/>
    <w:rsid w:val="4CBF0FE1"/>
    <w:rsid w:val="4CC1EBDB"/>
    <w:rsid w:val="4CC657A2"/>
    <w:rsid w:val="4CCAE8F8"/>
    <w:rsid w:val="4CCF5062"/>
    <w:rsid w:val="4CD2CB6B"/>
    <w:rsid w:val="4CD32936"/>
    <w:rsid w:val="4CD6AD04"/>
    <w:rsid w:val="4CDE5F76"/>
    <w:rsid w:val="4CE3B314"/>
    <w:rsid w:val="4CE71BC9"/>
    <w:rsid w:val="4CEC5D24"/>
    <w:rsid w:val="4CF423CA"/>
    <w:rsid w:val="4CFF66B9"/>
    <w:rsid w:val="4D00AAC7"/>
    <w:rsid w:val="4D02133E"/>
    <w:rsid w:val="4D02B4CA"/>
    <w:rsid w:val="4D02E0A3"/>
    <w:rsid w:val="4D02EC9E"/>
    <w:rsid w:val="4D07BFDC"/>
    <w:rsid w:val="4D10C483"/>
    <w:rsid w:val="4D196D73"/>
    <w:rsid w:val="4D1D5AF8"/>
    <w:rsid w:val="4D2266C8"/>
    <w:rsid w:val="4D231E1C"/>
    <w:rsid w:val="4D24A45A"/>
    <w:rsid w:val="4D26C044"/>
    <w:rsid w:val="4D2C681C"/>
    <w:rsid w:val="4D2D8BE7"/>
    <w:rsid w:val="4D3065A8"/>
    <w:rsid w:val="4D39AF4A"/>
    <w:rsid w:val="4D3EC80F"/>
    <w:rsid w:val="4D3F9BDF"/>
    <w:rsid w:val="4D46DBAB"/>
    <w:rsid w:val="4D485C2D"/>
    <w:rsid w:val="4D4886E8"/>
    <w:rsid w:val="4D57D74C"/>
    <w:rsid w:val="4D5F5A24"/>
    <w:rsid w:val="4D6124A9"/>
    <w:rsid w:val="4D614387"/>
    <w:rsid w:val="4D63FF6B"/>
    <w:rsid w:val="4D6BE1A7"/>
    <w:rsid w:val="4D6F4D96"/>
    <w:rsid w:val="4D6FAB95"/>
    <w:rsid w:val="4D723578"/>
    <w:rsid w:val="4D745768"/>
    <w:rsid w:val="4D785F7D"/>
    <w:rsid w:val="4D79122D"/>
    <w:rsid w:val="4D7BCFD4"/>
    <w:rsid w:val="4D7DB4AC"/>
    <w:rsid w:val="4D8139C2"/>
    <w:rsid w:val="4D88468C"/>
    <w:rsid w:val="4D8ACE4B"/>
    <w:rsid w:val="4D8C6083"/>
    <w:rsid w:val="4D8F84DA"/>
    <w:rsid w:val="4D936CD3"/>
    <w:rsid w:val="4D951051"/>
    <w:rsid w:val="4D971781"/>
    <w:rsid w:val="4DA290DA"/>
    <w:rsid w:val="4DA29A27"/>
    <w:rsid w:val="4DA930E0"/>
    <w:rsid w:val="4DAA0F39"/>
    <w:rsid w:val="4DABA585"/>
    <w:rsid w:val="4DB20A1B"/>
    <w:rsid w:val="4DB7849D"/>
    <w:rsid w:val="4DBCDA52"/>
    <w:rsid w:val="4DBD5A57"/>
    <w:rsid w:val="4DBDA9DD"/>
    <w:rsid w:val="4DC5724E"/>
    <w:rsid w:val="4DC5DE73"/>
    <w:rsid w:val="4DC861F5"/>
    <w:rsid w:val="4DC8CA76"/>
    <w:rsid w:val="4DCCEB95"/>
    <w:rsid w:val="4DCDD3A0"/>
    <w:rsid w:val="4DCEB858"/>
    <w:rsid w:val="4DD2328D"/>
    <w:rsid w:val="4DD44EEB"/>
    <w:rsid w:val="4DD6D4CC"/>
    <w:rsid w:val="4DD8BCA5"/>
    <w:rsid w:val="4DE8CB43"/>
    <w:rsid w:val="4DEACC14"/>
    <w:rsid w:val="4DF4A0A4"/>
    <w:rsid w:val="4DF61140"/>
    <w:rsid w:val="4DF71CFB"/>
    <w:rsid w:val="4DF953E4"/>
    <w:rsid w:val="4DFBED82"/>
    <w:rsid w:val="4DFEEFD0"/>
    <w:rsid w:val="4E003FB9"/>
    <w:rsid w:val="4E010E55"/>
    <w:rsid w:val="4E01FFC9"/>
    <w:rsid w:val="4E02290E"/>
    <w:rsid w:val="4E04BCD0"/>
    <w:rsid w:val="4E10C468"/>
    <w:rsid w:val="4E116D0F"/>
    <w:rsid w:val="4E13F4D6"/>
    <w:rsid w:val="4E180F7B"/>
    <w:rsid w:val="4E22EAD7"/>
    <w:rsid w:val="4E2B6F72"/>
    <w:rsid w:val="4E2DA1CD"/>
    <w:rsid w:val="4E315C47"/>
    <w:rsid w:val="4E34D82D"/>
    <w:rsid w:val="4E392C66"/>
    <w:rsid w:val="4E3AF74B"/>
    <w:rsid w:val="4E3E88C5"/>
    <w:rsid w:val="4E437C14"/>
    <w:rsid w:val="4E44D49B"/>
    <w:rsid w:val="4E4DD566"/>
    <w:rsid w:val="4E523E43"/>
    <w:rsid w:val="4E54528C"/>
    <w:rsid w:val="4E550D08"/>
    <w:rsid w:val="4E56D6C4"/>
    <w:rsid w:val="4E57E20E"/>
    <w:rsid w:val="4E590A1F"/>
    <w:rsid w:val="4E5A7F15"/>
    <w:rsid w:val="4E5F9577"/>
    <w:rsid w:val="4E5FFB52"/>
    <w:rsid w:val="4E65202B"/>
    <w:rsid w:val="4E656807"/>
    <w:rsid w:val="4E6B82AD"/>
    <w:rsid w:val="4E6CC81B"/>
    <w:rsid w:val="4E77622A"/>
    <w:rsid w:val="4E784A2A"/>
    <w:rsid w:val="4E78A336"/>
    <w:rsid w:val="4E7B48D4"/>
    <w:rsid w:val="4E83B2DC"/>
    <w:rsid w:val="4E8FCF2F"/>
    <w:rsid w:val="4E914136"/>
    <w:rsid w:val="4E9E3640"/>
    <w:rsid w:val="4E9EDDE6"/>
    <w:rsid w:val="4EA250B3"/>
    <w:rsid w:val="4EA2CEA3"/>
    <w:rsid w:val="4EA3AFA0"/>
    <w:rsid w:val="4EA57B28"/>
    <w:rsid w:val="4EAB81D4"/>
    <w:rsid w:val="4EAF33F1"/>
    <w:rsid w:val="4EB69507"/>
    <w:rsid w:val="4EB89127"/>
    <w:rsid w:val="4EB912E5"/>
    <w:rsid w:val="4EBCACE5"/>
    <w:rsid w:val="4EBF53E9"/>
    <w:rsid w:val="4EBF6365"/>
    <w:rsid w:val="4EC3C730"/>
    <w:rsid w:val="4ECDEF70"/>
    <w:rsid w:val="4ED0DDD4"/>
    <w:rsid w:val="4ED442D2"/>
    <w:rsid w:val="4ED6F30C"/>
    <w:rsid w:val="4EDF56B1"/>
    <w:rsid w:val="4EDFA2E0"/>
    <w:rsid w:val="4EE0E33F"/>
    <w:rsid w:val="4EEC0CB0"/>
    <w:rsid w:val="4EEDB37F"/>
    <w:rsid w:val="4EEDCC5E"/>
    <w:rsid w:val="4EEE4276"/>
    <w:rsid w:val="4EFA9D45"/>
    <w:rsid w:val="4EFBCDE9"/>
    <w:rsid w:val="4EFCE37A"/>
    <w:rsid w:val="4F015FB7"/>
    <w:rsid w:val="4F01A696"/>
    <w:rsid w:val="4F095D33"/>
    <w:rsid w:val="4F0D8147"/>
    <w:rsid w:val="4F112847"/>
    <w:rsid w:val="4F1E4E12"/>
    <w:rsid w:val="4F27A8B6"/>
    <w:rsid w:val="4F2E5B57"/>
    <w:rsid w:val="4F310993"/>
    <w:rsid w:val="4F31333B"/>
    <w:rsid w:val="4F334738"/>
    <w:rsid w:val="4F3A6C82"/>
    <w:rsid w:val="4F3D6421"/>
    <w:rsid w:val="4F3E0668"/>
    <w:rsid w:val="4F4079F4"/>
    <w:rsid w:val="4F413BEF"/>
    <w:rsid w:val="4F418F78"/>
    <w:rsid w:val="4F4210D6"/>
    <w:rsid w:val="4F47A685"/>
    <w:rsid w:val="4F483964"/>
    <w:rsid w:val="4F5609F7"/>
    <w:rsid w:val="4F5E9EDE"/>
    <w:rsid w:val="4F627C8C"/>
    <w:rsid w:val="4F6294BD"/>
    <w:rsid w:val="4F652E4B"/>
    <w:rsid w:val="4F67FCAB"/>
    <w:rsid w:val="4F6852E5"/>
    <w:rsid w:val="4F687836"/>
    <w:rsid w:val="4F6A027B"/>
    <w:rsid w:val="4F6B94A5"/>
    <w:rsid w:val="4F6E2917"/>
    <w:rsid w:val="4F7243BD"/>
    <w:rsid w:val="4F726E90"/>
    <w:rsid w:val="4F7A574B"/>
    <w:rsid w:val="4F826AAC"/>
    <w:rsid w:val="4F831CBB"/>
    <w:rsid w:val="4F835411"/>
    <w:rsid w:val="4F83F03B"/>
    <w:rsid w:val="4F85AF33"/>
    <w:rsid w:val="4F89E90A"/>
    <w:rsid w:val="4F8A863B"/>
    <w:rsid w:val="4F8B2EEB"/>
    <w:rsid w:val="4F8F47C7"/>
    <w:rsid w:val="4F90571F"/>
    <w:rsid w:val="4F929AFA"/>
    <w:rsid w:val="4F952C4D"/>
    <w:rsid w:val="4FA0AF1B"/>
    <w:rsid w:val="4FA8896A"/>
    <w:rsid w:val="4FAD94D8"/>
    <w:rsid w:val="4FB6390C"/>
    <w:rsid w:val="4FBA479D"/>
    <w:rsid w:val="4FBE4654"/>
    <w:rsid w:val="4FC02083"/>
    <w:rsid w:val="4FC5F064"/>
    <w:rsid w:val="4FC7793A"/>
    <w:rsid w:val="4FC7A993"/>
    <w:rsid w:val="4FC8B443"/>
    <w:rsid w:val="4FCAEF8C"/>
    <w:rsid w:val="4FD0F812"/>
    <w:rsid w:val="4FD1FCA1"/>
    <w:rsid w:val="4FD80AD8"/>
    <w:rsid w:val="4FD937FE"/>
    <w:rsid w:val="4FDD2255"/>
    <w:rsid w:val="4FE3478A"/>
    <w:rsid w:val="4FE40820"/>
    <w:rsid w:val="4FE4E56F"/>
    <w:rsid w:val="4FE58DC7"/>
    <w:rsid w:val="4FEA213F"/>
    <w:rsid w:val="4FED30EF"/>
    <w:rsid w:val="4FEE169C"/>
    <w:rsid w:val="4FF1F8E0"/>
    <w:rsid w:val="4FF459A7"/>
    <w:rsid w:val="4FF7B9EA"/>
    <w:rsid w:val="4FFDF57B"/>
    <w:rsid w:val="4FFFAECF"/>
    <w:rsid w:val="4FFFE296"/>
    <w:rsid w:val="5006486E"/>
    <w:rsid w:val="5007D052"/>
    <w:rsid w:val="500B54AB"/>
    <w:rsid w:val="500DDB95"/>
    <w:rsid w:val="500E2FFB"/>
    <w:rsid w:val="501074DB"/>
    <w:rsid w:val="50114325"/>
    <w:rsid w:val="50125E01"/>
    <w:rsid w:val="5014F23D"/>
    <w:rsid w:val="5018D693"/>
    <w:rsid w:val="50193DBE"/>
    <w:rsid w:val="501EC0B4"/>
    <w:rsid w:val="50224EAE"/>
    <w:rsid w:val="502BB7B3"/>
    <w:rsid w:val="502CA0AE"/>
    <w:rsid w:val="502D1EE0"/>
    <w:rsid w:val="502D912C"/>
    <w:rsid w:val="502E7EFB"/>
    <w:rsid w:val="50301485"/>
    <w:rsid w:val="50304A28"/>
    <w:rsid w:val="5030B87B"/>
    <w:rsid w:val="503C09EE"/>
    <w:rsid w:val="5041AD46"/>
    <w:rsid w:val="5049CE4D"/>
    <w:rsid w:val="504B8B21"/>
    <w:rsid w:val="50518B72"/>
    <w:rsid w:val="50521A79"/>
    <w:rsid w:val="5054E0F2"/>
    <w:rsid w:val="50566221"/>
    <w:rsid w:val="50589022"/>
    <w:rsid w:val="505BE7C6"/>
    <w:rsid w:val="5065276A"/>
    <w:rsid w:val="506C1619"/>
    <w:rsid w:val="5077BEA8"/>
    <w:rsid w:val="507B4E1B"/>
    <w:rsid w:val="507E8B3B"/>
    <w:rsid w:val="5082E466"/>
    <w:rsid w:val="5083A284"/>
    <w:rsid w:val="5085D635"/>
    <w:rsid w:val="508898FB"/>
    <w:rsid w:val="50895243"/>
    <w:rsid w:val="508A3B5C"/>
    <w:rsid w:val="508AD35C"/>
    <w:rsid w:val="508B7677"/>
    <w:rsid w:val="5093D6DD"/>
    <w:rsid w:val="509C84EF"/>
    <w:rsid w:val="509D1B1C"/>
    <w:rsid w:val="50A2CD61"/>
    <w:rsid w:val="50A4F7F8"/>
    <w:rsid w:val="50A8FF6A"/>
    <w:rsid w:val="50AA66CE"/>
    <w:rsid w:val="50AB12C9"/>
    <w:rsid w:val="50AB34C1"/>
    <w:rsid w:val="50ABFA0E"/>
    <w:rsid w:val="50B5D912"/>
    <w:rsid w:val="50B65141"/>
    <w:rsid w:val="50BE578A"/>
    <w:rsid w:val="50C0DA96"/>
    <w:rsid w:val="50C18C5E"/>
    <w:rsid w:val="50C213B2"/>
    <w:rsid w:val="50C31826"/>
    <w:rsid w:val="50CBC48D"/>
    <w:rsid w:val="50D35364"/>
    <w:rsid w:val="50D3F858"/>
    <w:rsid w:val="50D4493E"/>
    <w:rsid w:val="50E5F4DA"/>
    <w:rsid w:val="50E65E49"/>
    <w:rsid w:val="50E815B6"/>
    <w:rsid w:val="50E8EF27"/>
    <w:rsid w:val="50E99BE6"/>
    <w:rsid w:val="50EB27B9"/>
    <w:rsid w:val="50ED648F"/>
    <w:rsid w:val="50EFD67B"/>
    <w:rsid w:val="50FC46EC"/>
    <w:rsid w:val="50FD469C"/>
    <w:rsid w:val="5102B1B6"/>
    <w:rsid w:val="51046038"/>
    <w:rsid w:val="510CFB07"/>
    <w:rsid w:val="51128C47"/>
    <w:rsid w:val="51151EDE"/>
    <w:rsid w:val="5115DDFD"/>
    <w:rsid w:val="511A1F5B"/>
    <w:rsid w:val="511D8164"/>
    <w:rsid w:val="511ECD0E"/>
    <w:rsid w:val="51216464"/>
    <w:rsid w:val="5124196D"/>
    <w:rsid w:val="51246786"/>
    <w:rsid w:val="512954FF"/>
    <w:rsid w:val="512EECCA"/>
    <w:rsid w:val="5131F5D1"/>
    <w:rsid w:val="51324479"/>
    <w:rsid w:val="513555D1"/>
    <w:rsid w:val="51365627"/>
    <w:rsid w:val="513A156F"/>
    <w:rsid w:val="513E3BA7"/>
    <w:rsid w:val="513F5C64"/>
    <w:rsid w:val="51413196"/>
    <w:rsid w:val="5141348B"/>
    <w:rsid w:val="5142715A"/>
    <w:rsid w:val="51460D85"/>
    <w:rsid w:val="51466F8C"/>
    <w:rsid w:val="51469988"/>
    <w:rsid w:val="51498EE0"/>
    <w:rsid w:val="5152E57A"/>
    <w:rsid w:val="51569F2F"/>
    <w:rsid w:val="515E8362"/>
    <w:rsid w:val="516025DD"/>
    <w:rsid w:val="5166469F"/>
    <w:rsid w:val="5166DEC6"/>
    <w:rsid w:val="5167AC31"/>
    <w:rsid w:val="5167AD0B"/>
    <w:rsid w:val="51690AAA"/>
    <w:rsid w:val="516AE98D"/>
    <w:rsid w:val="516F0AC5"/>
    <w:rsid w:val="51719D60"/>
    <w:rsid w:val="51734C25"/>
    <w:rsid w:val="5173EAFE"/>
    <w:rsid w:val="51749D24"/>
    <w:rsid w:val="5176D53B"/>
    <w:rsid w:val="517821CB"/>
    <w:rsid w:val="517B94B5"/>
    <w:rsid w:val="517CF052"/>
    <w:rsid w:val="517D6F97"/>
    <w:rsid w:val="51831D94"/>
    <w:rsid w:val="5184788B"/>
    <w:rsid w:val="51872586"/>
    <w:rsid w:val="51874DD2"/>
    <w:rsid w:val="5187B1E4"/>
    <w:rsid w:val="518AF832"/>
    <w:rsid w:val="518C0B8F"/>
    <w:rsid w:val="51904323"/>
    <w:rsid w:val="51947F34"/>
    <w:rsid w:val="51956688"/>
    <w:rsid w:val="519582EA"/>
    <w:rsid w:val="519911B3"/>
    <w:rsid w:val="519A8F54"/>
    <w:rsid w:val="519C3176"/>
    <w:rsid w:val="51A41104"/>
    <w:rsid w:val="51A45E3D"/>
    <w:rsid w:val="51A4D456"/>
    <w:rsid w:val="51A55D89"/>
    <w:rsid w:val="51AAE868"/>
    <w:rsid w:val="51B5217D"/>
    <w:rsid w:val="51B6FD9C"/>
    <w:rsid w:val="51B9A068"/>
    <w:rsid w:val="51BE2321"/>
    <w:rsid w:val="51C65FDB"/>
    <w:rsid w:val="51C924E3"/>
    <w:rsid w:val="51CE9A7C"/>
    <w:rsid w:val="51D199B6"/>
    <w:rsid w:val="51D4DAB1"/>
    <w:rsid w:val="51DA3BE9"/>
    <w:rsid w:val="51DD1409"/>
    <w:rsid w:val="51DFD2B0"/>
    <w:rsid w:val="51E50F99"/>
    <w:rsid w:val="51E52E37"/>
    <w:rsid w:val="51E9E21E"/>
    <w:rsid w:val="51EC040A"/>
    <w:rsid w:val="51ED1C5A"/>
    <w:rsid w:val="51ED9C79"/>
    <w:rsid w:val="51EDC3CC"/>
    <w:rsid w:val="51EE5AA1"/>
    <w:rsid w:val="51F116E4"/>
    <w:rsid w:val="51F716BB"/>
    <w:rsid w:val="51F7C170"/>
    <w:rsid w:val="51F7FB09"/>
    <w:rsid w:val="51F8ECB1"/>
    <w:rsid w:val="51FC1B64"/>
    <w:rsid w:val="51FD35B2"/>
    <w:rsid w:val="520A250E"/>
    <w:rsid w:val="520C8F13"/>
    <w:rsid w:val="520FCA64"/>
    <w:rsid w:val="52110B24"/>
    <w:rsid w:val="52185D39"/>
    <w:rsid w:val="521B79E1"/>
    <w:rsid w:val="521C790F"/>
    <w:rsid w:val="521F11C7"/>
    <w:rsid w:val="522E4108"/>
    <w:rsid w:val="523026F1"/>
    <w:rsid w:val="52331C2C"/>
    <w:rsid w:val="523634C9"/>
    <w:rsid w:val="523698AF"/>
    <w:rsid w:val="5238DC79"/>
    <w:rsid w:val="523A3F5D"/>
    <w:rsid w:val="523E1BD6"/>
    <w:rsid w:val="5240D68F"/>
    <w:rsid w:val="52454683"/>
    <w:rsid w:val="5245AEC9"/>
    <w:rsid w:val="524DAA00"/>
    <w:rsid w:val="5252F7D3"/>
    <w:rsid w:val="5255B4C3"/>
    <w:rsid w:val="5256EA9E"/>
    <w:rsid w:val="525AC11E"/>
    <w:rsid w:val="525B677D"/>
    <w:rsid w:val="525D4027"/>
    <w:rsid w:val="525ED5D2"/>
    <w:rsid w:val="52602EC0"/>
    <w:rsid w:val="52645D2F"/>
    <w:rsid w:val="5268127B"/>
    <w:rsid w:val="526C213E"/>
    <w:rsid w:val="526D2EA8"/>
    <w:rsid w:val="526D2F8A"/>
    <w:rsid w:val="526D577A"/>
    <w:rsid w:val="5272F24E"/>
    <w:rsid w:val="5274DC0D"/>
    <w:rsid w:val="52764841"/>
    <w:rsid w:val="5277DEA1"/>
    <w:rsid w:val="5278AAEB"/>
    <w:rsid w:val="527A21B3"/>
    <w:rsid w:val="527B01FA"/>
    <w:rsid w:val="528081E9"/>
    <w:rsid w:val="5281D181"/>
    <w:rsid w:val="528AA628"/>
    <w:rsid w:val="528D92E7"/>
    <w:rsid w:val="5290B51C"/>
    <w:rsid w:val="5290BD8A"/>
    <w:rsid w:val="52932C54"/>
    <w:rsid w:val="52960926"/>
    <w:rsid w:val="5298580F"/>
    <w:rsid w:val="52996FD0"/>
    <w:rsid w:val="529A8975"/>
    <w:rsid w:val="529AA09D"/>
    <w:rsid w:val="529EEC52"/>
    <w:rsid w:val="529F3550"/>
    <w:rsid w:val="529FE906"/>
    <w:rsid w:val="52A209BD"/>
    <w:rsid w:val="52A4D79D"/>
    <w:rsid w:val="52A62DDC"/>
    <w:rsid w:val="52AA9C19"/>
    <w:rsid w:val="52AAAF41"/>
    <w:rsid w:val="52AADE2B"/>
    <w:rsid w:val="52AB6C41"/>
    <w:rsid w:val="52ABCE73"/>
    <w:rsid w:val="52AD2A59"/>
    <w:rsid w:val="52AF1810"/>
    <w:rsid w:val="52B065A8"/>
    <w:rsid w:val="52B491BA"/>
    <w:rsid w:val="52B98B51"/>
    <w:rsid w:val="52BB0E34"/>
    <w:rsid w:val="52C625B0"/>
    <w:rsid w:val="52CC5482"/>
    <w:rsid w:val="52CE3A3E"/>
    <w:rsid w:val="52CEF158"/>
    <w:rsid w:val="52D2676D"/>
    <w:rsid w:val="52D517F8"/>
    <w:rsid w:val="52DC3D70"/>
    <w:rsid w:val="52DD534C"/>
    <w:rsid w:val="52DECE15"/>
    <w:rsid w:val="52E1A613"/>
    <w:rsid w:val="52E9687A"/>
    <w:rsid w:val="52F09164"/>
    <w:rsid w:val="52F0A092"/>
    <w:rsid w:val="52F14BDE"/>
    <w:rsid w:val="52F22C11"/>
    <w:rsid w:val="52F98571"/>
    <w:rsid w:val="52FA1A2D"/>
    <w:rsid w:val="52FA9960"/>
    <w:rsid w:val="52FCDF07"/>
    <w:rsid w:val="53026416"/>
    <w:rsid w:val="5302DC32"/>
    <w:rsid w:val="53085E59"/>
    <w:rsid w:val="53086EA0"/>
    <w:rsid w:val="530A97A9"/>
    <w:rsid w:val="5310C464"/>
    <w:rsid w:val="5310D81B"/>
    <w:rsid w:val="5311335C"/>
    <w:rsid w:val="53168636"/>
    <w:rsid w:val="53177CF4"/>
    <w:rsid w:val="531A668B"/>
    <w:rsid w:val="531C1562"/>
    <w:rsid w:val="531D1383"/>
    <w:rsid w:val="531E02A7"/>
    <w:rsid w:val="531F1E62"/>
    <w:rsid w:val="53206657"/>
    <w:rsid w:val="532119B7"/>
    <w:rsid w:val="532908E3"/>
    <w:rsid w:val="532AB089"/>
    <w:rsid w:val="532C59FB"/>
    <w:rsid w:val="532DB643"/>
    <w:rsid w:val="53329150"/>
    <w:rsid w:val="5335323B"/>
    <w:rsid w:val="5339937F"/>
    <w:rsid w:val="533C3308"/>
    <w:rsid w:val="533F0157"/>
    <w:rsid w:val="5341F068"/>
    <w:rsid w:val="5344A9A2"/>
    <w:rsid w:val="534B37C8"/>
    <w:rsid w:val="5353A56D"/>
    <w:rsid w:val="5355275B"/>
    <w:rsid w:val="53567DD3"/>
    <w:rsid w:val="536049B9"/>
    <w:rsid w:val="53604FAC"/>
    <w:rsid w:val="5362B21F"/>
    <w:rsid w:val="53637CB2"/>
    <w:rsid w:val="536544A1"/>
    <w:rsid w:val="5367962A"/>
    <w:rsid w:val="53695D3D"/>
    <w:rsid w:val="536B89D8"/>
    <w:rsid w:val="5378B185"/>
    <w:rsid w:val="537A9CAC"/>
    <w:rsid w:val="537DBD43"/>
    <w:rsid w:val="5380ED23"/>
    <w:rsid w:val="53878C5C"/>
    <w:rsid w:val="538CB105"/>
    <w:rsid w:val="538DCD73"/>
    <w:rsid w:val="539059AC"/>
    <w:rsid w:val="5395E9BC"/>
    <w:rsid w:val="53966810"/>
    <w:rsid w:val="539772A3"/>
    <w:rsid w:val="539BB2CE"/>
    <w:rsid w:val="539F0327"/>
    <w:rsid w:val="53A90CCA"/>
    <w:rsid w:val="53AAA1F1"/>
    <w:rsid w:val="53ABB3DA"/>
    <w:rsid w:val="53AE8042"/>
    <w:rsid w:val="53B20953"/>
    <w:rsid w:val="53B65B47"/>
    <w:rsid w:val="53B96EAC"/>
    <w:rsid w:val="53B9AD2F"/>
    <w:rsid w:val="53BAC178"/>
    <w:rsid w:val="53C40CAD"/>
    <w:rsid w:val="53C5037F"/>
    <w:rsid w:val="53C61344"/>
    <w:rsid w:val="53C775BA"/>
    <w:rsid w:val="53C7FFC1"/>
    <w:rsid w:val="53CC728C"/>
    <w:rsid w:val="53D050D0"/>
    <w:rsid w:val="53D0B211"/>
    <w:rsid w:val="53D0BE77"/>
    <w:rsid w:val="53D86C40"/>
    <w:rsid w:val="53DA7BC7"/>
    <w:rsid w:val="53DD8147"/>
    <w:rsid w:val="53DFF112"/>
    <w:rsid w:val="53E44EBC"/>
    <w:rsid w:val="53E46120"/>
    <w:rsid w:val="53EF1E6D"/>
    <w:rsid w:val="53F15994"/>
    <w:rsid w:val="53F44BFD"/>
    <w:rsid w:val="53F51B7D"/>
    <w:rsid w:val="53F5F20B"/>
    <w:rsid w:val="53F6A0CC"/>
    <w:rsid w:val="53F6B108"/>
    <w:rsid w:val="53F7C50E"/>
    <w:rsid w:val="53F8AB06"/>
    <w:rsid w:val="53FB8F23"/>
    <w:rsid w:val="53FF798F"/>
    <w:rsid w:val="5407BDD5"/>
    <w:rsid w:val="5407C794"/>
    <w:rsid w:val="5408BED0"/>
    <w:rsid w:val="540EFFEA"/>
    <w:rsid w:val="54100080"/>
    <w:rsid w:val="541E5CFF"/>
    <w:rsid w:val="54247E90"/>
    <w:rsid w:val="542D60C6"/>
    <w:rsid w:val="5430ACAB"/>
    <w:rsid w:val="54324348"/>
    <w:rsid w:val="5436325A"/>
    <w:rsid w:val="5436B832"/>
    <w:rsid w:val="543A7C26"/>
    <w:rsid w:val="543B60BB"/>
    <w:rsid w:val="543C78C2"/>
    <w:rsid w:val="543EAA5A"/>
    <w:rsid w:val="54428479"/>
    <w:rsid w:val="54431AFC"/>
    <w:rsid w:val="5443CF1F"/>
    <w:rsid w:val="54469225"/>
    <w:rsid w:val="5448433D"/>
    <w:rsid w:val="5448B5A7"/>
    <w:rsid w:val="544BF805"/>
    <w:rsid w:val="544D8896"/>
    <w:rsid w:val="544E6E5A"/>
    <w:rsid w:val="544FD2FF"/>
    <w:rsid w:val="54511109"/>
    <w:rsid w:val="54544B24"/>
    <w:rsid w:val="54596A73"/>
    <w:rsid w:val="545AB342"/>
    <w:rsid w:val="545AF236"/>
    <w:rsid w:val="545DBF37"/>
    <w:rsid w:val="545EB83A"/>
    <w:rsid w:val="545F0439"/>
    <w:rsid w:val="5461FD3C"/>
    <w:rsid w:val="54669FCF"/>
    <w:rsid w:val="54670E73"/>
    <w:rsid w:val="546736CB"/>
    <w:rsid w:val="5467B5AD"/>
    <w:rsid w:val="5469080F"/>
    <w:rsid w:val="5471EF1D"/>
    <w:rsid w:val="5472B2F9"/>
    <w:rsid w:val="5473F13E"/>
    <w:rsid w:val="5474E188"/>
    <w:rsid w:val="547722CE"/>
    <w:rsid w:val="54781C10"/>
    <w:rsid w:val="5478E44C"/>
    <w:rsid w:val="547A9E8A"/>
    <w:rsid w:val="547CD323"/>
    <w:rsid w:val="547EB418"/>
    <w:rsid w:val="547FAE0E"/>
    <w:rsid w:val="54842492"/>
    <w:rsid w:val="548C5406"/>
    <w:rsid w:val="5490D2FB"/>
    <w:rsid w:val="5496CC45"/>
    <w:rsid w:val="54972BB4"/>
    <w:rsid w:val="5499372E"/>
    <w:rsid w:val="54997DE0"/>
    <w:rsid w:val="549B779D"/>
    <w:rsid w:val="54A5055C"/>
    <w:rsid w:val="54B192DE"/>
    <w:rsid w:val="54B2D0ED"/>
    <w:rsid w:val="54B8A6C5"/>
    <w:rsid w:val="54BFC80F"/>
    <w:rsid w:val="54C2CF84"/>
    <w:rsid w:val="54C78B24"/>
    <w:rsid w:val="54CB09E7"/>
    <w:rsid w:val="54D17FDB"/>
    <w:rsid w:val="54D42E14"/>
    <w:rsid w:val="54D4B273"/>
    <w:rsid w:val="54D98DEA"/>
    <w:rsid w:val="54DC12ED"/>
    <w:rsid w:val="54E170F4"/>
    <w:rsid w:val="54E359CA"/>
    <w:rsid w:val="54E4DC33"/>
    <w:rsid w:val="54E6AFE8"/>
    <w:rsid w:val="54EC528E"/>
    <w:rsid w:val="54EE7812"/>
    <w:rsid w:val="54F045E5"/>
    <w:rsid w:val="54F29148"/>
    <w:rsid w:val="54F3DC71"/>
    <w:rsid w:val="54FA6562"/>
    <w:rsid w:val="5500363A"/>
    <w:rsid w:val="5500CD06"/>
    <w:rsid w:val="550684A6"/>
    <w:rsid w:val="55071068"/>
    <w:rsid w:val="55097873"/>
    <w:rsid w:val="550AE4D7"/>
    <w:rsid w:val="55124EC2"/>
    <w:rsid w:val="5515364F"/>
    <w:rsid w:val="5515E2DC"/>
    <w:rsid w:val="55171C84"/>
    <w:rsid w:val="551A3F95"/>
    <w:rsid w:val="551A6B4A"/>
    <w:rsid w:val="551B8907"/>
    <w:rsid w:val="552A290E"/>
    <w:rsid w:val="552B0A77"/>
    <w:rsid w:val="553257A3"/>
    <w:rsid w:val="5534A06E"/>
    <w:rsid w:val="55372482"/>
    <w:rsid w:val="5539CE38"/>
    <w:rsid w:val="553B4F02"/>
    <w:rsid w:val="553B9888"/>
    <w:rsid w:val="553C3232"/>
    <w:rsid w:val="553C4061"/>
    <w:rsid w:val="553CCE0A"/>
    <w:rsid w:val="553E8167"/>
    <w:rsid w:val="5540FAC8"/>
    <w:rsid w:val="5542B3A9"/>
    <w:rsid w:val="554BEE87"/>
    <w:rsid w:val="554D1505"/>
    <w:rsid w:val="55505915"/>
    <w:rsid w:val="555DEDAA"/>
    <w:rsid w:val="555EA6BD"/>
    <w:rsid w:val="55621E32"/>
    <w:rsid w:val="55631F23"/>
    <w:rsid w:val="5564E1E4"/>
    <w:rsid w:val="5569540F"/>
    <w:rsid w:val="556BEC2B"/>
    <w:rsid w:val="556C92A0"/>
    <w:rsid w:val="556E51BF"/>
    <w:rsid w:val="556FC8C3"/>
    <w:rsid w:val="5575A821"/>
    <w:rsid w:val="5575BC16"/>
    <w:rsid w:val="5576AE23"/>
    <w:rsid w:val="55777AE1"/>
    <w:rsid w:val="5578FCE7"/>
    <w:rsid w:val="557CE3A6"/>
    <w:rsid w:val="5581979A"/>
    <w:rsid w:val="5585E286"/>
    <w:rsid w:val="5586BECE"/>
    <w:rsid w:val="55880E5D"/>
    <w:rsid w:val="55883063"/>
    <w:rsid w:val="55898AE0"/>
    <w:rsid w:val="5590F132"/>
    <w:rsid w:val="5595A2B0"/>
    <w:rsid w:val="55997C72"/>
    <w:rsid w:val="55999475"/>
    <w:rsid w:val="559A5E0A"/>
    <w:rsid w:val="559ECFBE"/>
    <w:rsid w:val="55A0A9BD"/>
    <w:rsid w:val="55A2FD09"/>
    <w:rsid w:val="55A393BE"/>
    <w:rsid w:val="55A5068F"/>
    <w:rsid w:val="55A50740"/>
    <w:rsid w:val="55A7DB9F"/>
    <w:rsid w:val="55A858AE"/>
    <w:rsid w:val="55A9B0D6"/>
    <w:rsid w:val="55A9D6B5"/>
    <w:rsid w:val="55AF179B"/>
    <w:rsid w:val="55B13AFE"/>
    <w:rsid w:val="55B17CDA"/>
    <w:rsid w:val="55B1A24F"/>
    <w:rsid w:val="55B24585"/>
    <w:rsid w:val="55B4B1CB"/>
    <w:rsid w:val="55B96976"/>
    <w:rsid w:val="55BEE364"/>
    <w:rsid w:val="55C131AC"/>
    <w:rsid w:val="55C66E96"/>
    <w:rsid w:val="55C9C966"/>
    <w:rsid w:val="55D16207"/>
    <w:rsid w:val="55D34AF1"/>
    <w:rsid w:val="55DBB4E9"/>
    <w:rsid w:val="55DF78D7"/>
    <w:rsid w:val="55DFFB9B"/>
    <w:rsid w:val="55E067D8"/>
    <w:rsid w:val="55ED8903"/>
    <w:rsid w:val="55EE8404"/>
    <w:rsid w:val="55F0F47C"/>
    <w:rsid w:val="55F3B1E7"/>
    <w:rsid w:val="55F4034D"/>
    <w:rsid w:val="55F59778"/>
    <w:rsid w:val="55FA1CD6"/>
    <w:rsid w:val="56026F6A"/>
    <w:rsid w:val="56047CFE"/>
    <w:rsid w:val="5606E88B"/>
    <w:rsid w:val="560BC43B"/>
    <w:rsid w:val="560D3F30"/>
    <w:rsid w:val="5610E746"/>
    <w:rsid w:val="5612E06A"/>
    <w:rsid w:val="561BDB7E"/>
    <w:rsid w:val="561CC3EF"/>
    <w:rsid w:val="5621C218"/>
    <w:rsid w:val="56237FC6"/>
    <w:rsid w:val="56260B3C"/>
    <w:rsid w:val="562A02F6"/>
    <w:rsid w:val="56319635"/>
    <w:rsid w:val="563287BB"/>
    <w:rsid w:val="56331AB0"/>
    <w:rsid w:val="563360D5"/>
    <w:rsid w:val="5638C9FB"/>
    <w:rsid w:val="56396CBD"/>
    <w:rsid w:val="5639D3C6"/>
    <w:rsid w:val="563B0776"/>
    <w:rsid w:val="563B7548"/>
    <w:rsid w:val="5643B66A"/>
    <w:rsid w:val="5646D072"/>
    <w:rsid w:val="564C0583"/>
    <w:rsid w:val="564DB815"/>
    <w:rsid w:val="564E153D"/>
    <w:rsid w:val="5661A937"/>
    <w:rsid w:val="5661FC17"/>
    <w:rsid w:val="5662FECF"/>
    <w:rsid w:val="5663330B"/>
    <w:rsid w:val="566CA82F"/>
    <w:rsid w:val="566E88A8"/>
    <w:rsid w:val="56727A7E"/>
    <w:rsid w:val="567420DC"/>
    <w:rsid w:val="5675F249"/>
    <w:rsid w:val="5675F789"/>
    <w:rsid w:val="567BC27E"/>
    <w:rsid w:val="567D03BF"/>
    <w:rsid w:val="56827EE3"/>
    <w:rsid w:val="56833D4E"/>
    <w:rsid w:val="5683B70E"/>
    <w:rsid w:val="5684B49E"/>
    <w:rsid w:val="569212C1"/>
    <w:rsid w:val="56A0F402"/>
    <w:rsid w:val="56A114AD"/>
    <w:rsid w:val="56A49B1E"/>
    <w:rsid w:val="56A7213B"/>
    <w:rsid w:val="56A9007E"/>
    <w:rsid w:val="56B01C6A"/>
    <w:rsid w:val="56B37A46"/>
    <w:rsid w:val="56B398AA"/>
    <w:rsid w:val="56B843DF"/>
    <w:rsid w:val="56B9F58E"/>
    <w:rsid w:val="56BF20FD"/>
    <w:rsid w:val="56C241D2"/>
    <w:rsid w:val="56C6CFD4"/>
    <w:rsid w:val="56C8D162"/>
    <w:rsid w:val="56D0D798"/>
    <w:rsid w:val="56D0ECA2"/>
    <w:rsid w:val="56D686D9"/>
    <w:rsid w:val="56DBCF1E"/>
    <w:rsid w:val="56DD3EA5"/>
    <w:rsid w:val="56DD6CEE"/>
    <w:rsid w:val="56EE6204"/>
    <w:rsid w:val="56EE966A"/>
    <w:rsid w:val="56EF52C7"/>
    <w:rsid w:val="56F0AF3F"/>
    <w:rsid w:val="56F186D1"/>
    <w:rsid w:val="56F31EAE"/>
    <w:rsid w:val="56F3E3BA"/>
    <w:rsid w:val="56F7D5DB"/>
    <w:rsid w:val="56FB2A6D"/>
    <w:rsid w:val="56FBD544"/>
    <w:rsid w:val="56FDA595"/>
    <w:rsid w:val="57010BA9"/>
    <w:rsid w:val="57020FAD"/>
    <w:rsid w:val="570224B2"/>
    <w:rsid w:val="57036BAE"/>
    <w:rsid w:val="5704BCC8"/>
    <w:rsid w:val="570AB1A9"/>
    <w:rsid w:val="5710CE12"/>
    <w:rsid w:val="57123CA1"/>
    <w:rsid w:val="5718D4E1"/>
    <w:rsid w:val="57194777"/>
    <w:rsid w:val="571A46EE"/>
    <w:rsid w:val="57213128"/>
    <w:rsid w:val="57215F74"/>
    <w:rsid w:val="57238524"/>
    <w:rsid w:val="572F9E8E"/>
    <w:rsid w:val="5730ACB7"/>
    <w:rsid w:val="57311BDF"/>
    <w:rsid w:val="5731F118"/>
    <w:rsid w:val="57321382"/>
    <w:rsid w:val="57350C46"/>
    <w:rsid w:val="57380F75"/>
    <w:rsid w:val="57383467"/>
    <w:rsid w:val="573DAA0D"/>
    <w:rsid w:val="573E84D9"/>
    <w:rsid w:val="573F7D50"/>
    <w:rsid w:val="57401D62"/>
    <w:rsid w:val="574903F1"/>
    <w:rsid w:val="57493FE2"/>
    <w:rsid w:val="574D1FC7"/>
    <w:rsid w:val="574D3C9E"/>
    <w:rsid w:val="5755D6D5"/>
    <w:rsid w:val="575C060A"/>
    <w:rsid w:val="5765E895"/>
    <w:rsid w:val="5767738A"/>
    <w:rsid w:val="576E2B75"/>
    <w:rsid w:val="5770B1C2"/>
    <w:rsid w:val="5770F828"/>
    <w:rsid w:val="57752015"/>
    <w:rsid w:val="5776C352"/>
    <w:rsid w:val="5777A0BD"/>
    <w:rsid w:val="577B86F8"/>
    <w:rsid w:val="577D9DB9"/>
    <w:rsid w:val="57804355"/>
    <w:rsid w:val="5780AACF"/>
    <w:rsid w:val="57854791"/>
    <w:rsid w:val="578589AC"/>
    <w:rsid w:val="5785F84A"/>
    <w:rsid w:val="578676C4"/>
    <w:rsid w:val="57868E39"/>
    <w:rsid w:val="57875D08"/>
    <w:rsid w:val="578D0973"/>
    <w:rsid w:val="578DCBE4"/>
    <w:rsid w:val="5792C737"/>
    <w:rsid w:val="579CF6F8"/>
    <w:rsid w:val="579F188A"/>
    <w:rsid w:val="57A43819"/>
    <w:rsid w:val="57A50E13"/>
    <w:rsid w:val="57A573D0"/>
    <w:rsid w:val="57A7BF3C"/>
    <w:rsid w:val="57A9574B"/>
    <w:rsid w:val="57AE1FC4"/>
    <w:rsid w:val="57B6FB15"/>
    <w:rsid w:val="57BA8448"/>
    <w:rsid w:val="57C35747"/>
    <w:rsid w:val="57C3E0C0"/>
    <w:rsid w:val="57CA2EB1"/>
    <w:rsid w:val="57DB58EB"/>
    <w:rsid w:val="57DCE280"/>
    <w:rsid w:val="57E2DDA0"/>
    <w:rsid w:val="57E4675F"/>
    <w:rsid w:val="57EA4C15"/>
    <w:rsid w:val="57EA93A6"/>
    <w:rsid w:val="57EF10D7"/>
    <w:rsid w:val="57EF1962"/>
    <w:rsid w:val="57F2861D"/>
    <w:rsid w:val="57FAF0F3"/>
    <w:rsid w:val="580426E7"/>
    <w:rsid w:val="580CBA5B"/>
    <w:rsid w:val="580D6F0B"/>
    <w:rsid w:val="580E78F2"/>
    <w:rsid w:val="580EE217"/>
    <w:rsid w:val="580FA7CE"/>
    <w:rsid w:val="58125C2F"/>
    <w:rsid w:val="58164757"/>
    <w:rsid w:val="5818A6D6"/>
    <w:rsid w:val="581B1408"/>
    <w:rsid w:val="581F563E"/>
    <w:rsid w:val="58244AFB"/>
    <w:rsid w:val="582804FB"/>
    <w:rsid w:val="582BDBAB"/>
    <w:rsid w:val="582CD6B3"/>
    <w:rsid w:val="582F8D69"/>
    <w:rsid w:val="5835A11F"/>
    <w:rsid w:val="583970DB"/>
    <w:rsid w:val="5839F063"/>
    <w:rsid w:val="583A2B32"/>
    <w:rsid w:val="58498BE4"/>
    <w:rsid w:val="584A400A"/>
    <w:rsid w:val="584B6C58"/>
    <w:rsid w:val="5854EF0D"/>
    <w:rsid w:val="585ABA58"/>
    <w:rsid w:val="58683B48"/>
    <w:rsid w:val="586DADC0"/>
    <w:rsid w:val="58742B8B"/>
    <w:rsid w:val="5874FE15"/>
    <w:rsid w:val="58779D29"/>
    <w:rsid w:val="587A5433"/>
    <w:rsid w:val="587D1D2D"/>
    <w:rsid w:val="58851AEA"/>
    <w:rsid w:val="5886B1C6"/>
    <w:rsid w:val="5889EAE7"/>
    <w:rsid w:val="588A960F"/>
    <w:rsid w:val="58969FCD"/>
    <w:rsid w:val="58976AC6"/>
    <w:rsid w:val="589C958E"/>
    <w:rsid w:val="58A11318"/>
    <w:rsid w:val="58A3F9B7"/>
    <w:rsid w:val="58AB57DF"/>
    <w:rsid w:val="58ACE702"/>
    <w:rsid w:val="58AD730F"/>
    <w:rsid w:val="58AE341E"/>
    <w:rsid w:val="58AFD209"/>
    <w:rsid w:val="58BC1755"/>
    <w:rsid w:val="58C89E76"/>
    <w:rsid w:val="58CA947C"/>
    <w:rsid w:val="58CB9D11"/>
    <w:rsid w:val="58CFF60A"/>
    <w:rsid w:val="58DA4A39"/>
    <w:rsid w:val="58DD604B"/>
    <w:rsid w:val="58DF77A7"/>
    <w:rsid w:val="58E2AAC6"/>
    <w:rsid w:val="58E728CC"/>
    <w:rsid w:val="58ED3FDC"/>
    <w:rsid w:val="58EFBE4B"/>
    <w:rsid w:val="58F5FD57"/>
    <w:rsid w:val="58F880AA"/>
    <w:rsid w:val="58FA2548"/>
    <w:rsid w:val="58FB2418"/>
    <w:rsid w:val="5905C79C"/>
    <w:rsid w:val="59095C1D"/>
    <w:rsid w:val="590ED4C7"/>
    <w:rsid w:val="590EEC13"/>
    <w:rsid w:val="5912BA11"/>
    <w:rsid w:val="591357AC"/>
    <w:rsid w:val="59196272"/>
    <w:rsid w:val="591C3D5B"/>
    <w:rsid w:val="591FCBEE"/>
    <w:rsid w:val="592DCBC7"/>
    <w:rsid w:val="592DFED9"/>
    <w:rsid w:val="592E7748"/>
    <w:rsid w:val="593AB068"/>
    <w:rsid w:val="593E196C"/>
    <w:rsid w:val="593F5353"/>
    <w:rsid w:val="5940C1DC"/>
    <w:rsid w:val="594129E8"/>
    <w:rsid w:val="594EC2C9"/>
    <w:rsid w:val="594F83C9"/>
    <w:rsid w:val="595715E4"/>
    <w:rsid w:val="59572214"/>
    <w:rsid w:val="595F8E2E"/>
    <w:rsid w:val="59658F6A"/>
    <w:rsid w:val="596DC205"/>
    <w:rsid w:val="59746D66"/>
    <w:rsid w:val="597FD7DA"/>
    <w:rsid w:val="598B1A0C"/>
    <w:rsid w:val="599603A8"/>
    <w:rsid w:val="5999B373"/>
    <w:rsid w:val="599C57E6"/>
    <w:rsid w:val="599D0966"/>
    <w:rsid w:val="599D46C7"/>
    <w:rsid w:val="599EFF41"/>
    <w:rsid w:val="59A6609C"/>
    <w:rsid w:val="59ABC794"/>
    <w:rsid w:val="59B25A3A"/>
    <w:rsid w:val="59B62CB1"/>
    <w:rsid w:val="59B75A17"/>
    <w:rsid w:val="59B9CEF8"/>
    <w:rsid w:val="59BA12C6"/>
    <w:rsid w:val="59BBD478"/>
    <w:rsid w:val="59C231C9"/>
    <w:rsid w:val="59C28931"/>
    <w:rsid w:val="59C35367"/>
    <w:rsid w:val="59C77E9F"/>
    <w:rsid w:val="59CE7144"/>
    <w:rsid w:val="59CEF0FD"/>
    <w:rsid w:val="59D1460C"/>
    <w:rsid w:val="59D703A8"/>
    <w:rsid w:val="59D87B21"/>
    <w:rsid w:val="59D9C369"/>
    <w:rsid w:val="59DA31E3"/>
    <w:rsid w:val="59DBB820"/>
    <w:rsid w:val="59E04373"/>
    <w:rsid w:val="59E0D9C5"/>
    <w:rsid w:val="59E2FDCA"/>
    <w:rsid w:val="59E5CD8A"/>
    <w:rsid w:val="59E643D4"/>
    <w:rsid w:val="59E678A2"/>
    <w:rsid w:val="59E81104"/>
    <w:rsid w:val="59EA038D"/>
    <w:rsid w:val="59EF5FE0"/>
    <w:rsid w:val="59F4EA5F"/>
    <w:rsid w:val="59F81981"/>
    <w:rsid w:val="59F8D765"/>
    <w:rsid w:val="59FBF4E3"/>
    <w:rsid w:val="5A01613C"/>
    <w:rsid w:val="5A01EB81"/>
    <w:rsid w:val="5A07C1DD"/>
    <w:rsid w:val="5A0949F7"/>
    <w:rsid w:val="5A09D977"/>
    <w:rsid w:val="5A0B1DD4"/>
    <w:rsid w:val="5A0C6D2E"/>
    <w:rsid w:val="5A162E0C"/>
    <w:rsid w:val="5A17D9A7"/>
    <w:rsid w:val="5A189D6F"/>
    <w:rsid w:val="5A1C4471"/>
    <w:rsid w:val="5A285DBA"/>
    <w:rsid w:val="5A289938"/>
    <w:rsid w:val="5A28E9B4"/>
    <w:rsid w:val="5A29812F"/>
    <w:rsid w:val="5A2B45E5"/>
    <w:rsid w:val="5A2E1A37"/>
    <w:rsid w:val="5A3317F1"/>
    <w:rsid w:val="5A39B50D"/>
    <w:rsid w:val="5A39CC2B"/>
    <w:rsid w:val="5A3AB19C"/>
    <w:rsid w:val="5A3DA805"/>
    <w:rsid w:val="5A3FF9B3"/>
    <w:rsid w:val="5A452737"/>
    <w:rsid w:val="5A466ED5"/>
    <w:rsid w:val="5A47504E"/>
    <w:rsid w:val="5A4D54B5"/>
    <w:rsid w:val="5A543D98"/>
    <w:rsid w:val="5A552CB9"/>
    <w:rsid w:val="5A5E3FCC"/>
    <w:rsid w:val="5A60F327"/>
    <w:rsid w:val="5A681CB9"/>
    <w:rsid w:val="5A692566"/>
    <w:rsid w:val="5A6CF53C"/>
    <w:rsid w:val="5A76BBA8"/>
    <w:rsid w:val="5A77EF9F"/>
    <w:rsid w:val="5A79BABB"/>
    <w:rsid w:val="5A79CB1B"/>
    <w:rsid w:val="5A7ADBE7"/>
    <w:rsid w:val="5A88D4E5"/>
    <w:rsid w:val="5A88EC6D"/>
    <w:rsid w:val="5A8AA0CE"/>
    <w:rsid w:val="5A8BDE8D"/>
    <w:rsid w:val="5A8E8E35"/>
    <w:rsid w:val="5A90FE64"/>
    <w:rsid w:val="5A9231B4"/>
    <w:rsid w:val="5A928AE3"/>
    <w:rsid w:val="5A999BA8"/>
    <w:rsid w:val="5A9EE1C4"/>
    <w:rsid w:val="5AA63221"/>
    <w:rsid w:val="5AA6C052"/>
    <w:rsid w:val="5AAB9A91"/>
    <w:rsid w:val="5AAC03F2"/>
    <w:rsid w:val="5AB9062B"/>
    <w:rsid w:val="5ABAAF56"/>
    <w:rsid w:val="5ABBDB42"/>
    <w:rsid w:val="5AC15C47"/>
    <w:rsid w:val="5AC28DEB"/>
    <w:rsid w:val="5ACA057A"/>
    <w:rsid w:val="5AD14EC0"/>
    <w:rsid w:val="5AD4F338"/>
    <w:rsid w:val="5AD835A7"/>
    <w:rsid w:val="5ADA30C9"/>
    <w:rsid w:val="5ADA3B10"/>
    <w:rsid w:val="5AE11C98"/>
    <w:rsid w:val="5AE576C6"/>
    <w:rsid w:val="5AF0DDFD"/>
    <w:rsid w:val="5AF13A0B"/>
    <w:rsid w:val="5AFCA89C"/>
    <w:rsid w:val="5B018AA9"/>
    <w:rsid w:val="5B01B289"/>
    <w:rsid w:val="5B0201DD"/>
    <w:rsid w:val="5B042B23"/>
    <w:rsid w:val="5B0879EC"/>
    <w:rsid w:val="5B09CE0C"/>
    <w:rsid w:val="5B0A4B81"/>
    <w:rsid w:val="5B0C127B"/>
    <w:rsid w:val="5B111F2B"/>
    <w:rsid w:val="5B125ECE"/>
    <w:rsid w:val="5B169CBE"/>
    <w:rsid w:val="5B17BC60"/>
    <w:rsid w:val="5B1BEA84"/>
    <w:rsid w:val="5B222429"/>
    <w:rsid w:val="5B28B8C9"/>
    <w:rsid w:val="5B2CCB59"/>
    <w:rsid w:val="5B2E7B20"/>
    <w:rsid w:val="5B2F2DAC"/>
    <w:rsid w:val="5B34B163"/>
    <w:rsid w:val="5B35003D"/>
    <w:rsid w:val="5B41939A"/>
    <w:rsid w:val="5B4251CC"/>
    <w:rsid w:val="5B42E5D5"/>
    <w:rsid w:val="5B431D64"/>
    <w:rsid w:val="5B43A0CD"/>
    <w:rsid w:val="5B4484EA"/>
    <w:rsid w:val="5B4908C4"/>
    <w:rsid w:val="5B4E8E55"/>
    <w:rsid w:val="5B504E47"/>
    <w:rsid w:val="5B5DFD30"/>
    <w:rsid w:val="5B5ED8AA"/>
    <w:rsid w:val="5B61750A"/>
    <w:rsid w:val="5B6D3E62"/>
    <w:rsid w:val="5B6D4A8E"/>
    <w:rsid w:val="5B764407"/>
    <w:rsid w:val="5B769D35"/>
    <w:rsid w:val="5B782DA0"/>
    <w:rsid w:val="5B7A6FF1"/>
    <w:rsid w:val="5B7BDF6E"/>
    <w:rsid w:val="5B81509E"/>
    <w:rsid w:val="5B827106"/>
    <w:rsid w:val="5B845E51"/>
    <w:rsid w:val="5B8CFB7A"/>
    <w:rsid w:val="5B8D9333"/>
    <w:rsid w:val="5B8F8E20"/>
    <w:rsid w:val="5B92986F"/>
    <w:rsid w:val="5B948406"/>
    <w:rsid w:val="5B9C47C8"/>
    <w:rsid w:val="5BA479D1"/>
    <w:rsid w:val="5BAB3680"/>
    <w:rsid w:val="5BABD8EA"/>
    <w:rsid w:val="5BAE6516"/>
    <w:rsid w:val="5BB005E3"/>
    <w:rsid w:val="5BB03CF6"/>
    <w:rsid w:val="5BB8DDBB"/>
    <w:rsid w:val="5BB9F397"/>
    <w:rsid w:val="5BBA3DCD"/>
    <w:rsid w:val="5BBC8DC0"/>
    <w:rsid w:val="5BBE4FB1"/>
    <w:rsid w:val="5BBE8A13"/>
    <w:rsid w:val="5BC077FE"/>
    <w:rsid w:val="5BC0C611"/>
    <w:rsid w:val="5BC6CC45"/>
    <w:rsid w:val="5BC9C6A3"/>
    <w:rsid w:val="5BD078A3"/>
    <w:rsid w:val="5BD53C0A"/>
    <w:rsid w:val="5BD947DF"/>
    <w:rsid w:val="5BE03F1B"/>
    <w:rsid w:val="5BE0D634"/>
    <w:rsid w:val="5BE315F7"/>
    <w:rsid w:val="5BE31A5D"/>
    <w:rsid w:val="5BE706C1"/>
    <w:rsid w:val="5BE88E64"/>
    <w:rsid w:val="5BE974BC"/>
    <w:rsid w:val="5BF2A039"/>
    <w:rsid w:val="5BF3A7D1"/>
    <w:rsid w:val="5BF84D30"/>
    <w:rsid w:val="5BFAFBAF"/>
    <w:rsid w:val="5BFD27FB"/>
    <w:rsid w:val="5C03F35B"/>
    <w:rsid w:val="5C0BF8E5"/>
    <w:rsid w:val="5C12528A"/>
    <w:rsid w:val="5C13F72B"/>
    <w:rsid w:val="5C15315D"/>
    <w:rsid w:val="5C1556BB"/>
    <w:rsid w:val="5C175981"/>
    <w:rsid w:val="5C1CA05A"/>
    <w:rsid w:val="5C1E76EE"/>
    <w:rsid w:val="5C210CBF"/>
    <w:rsid w:val="5C21BE19"/>
    <w:rsid w:val="5C235F42"/>
    <w:rsid w:val="5C27F242"/>
    <w:rsid w:val="5C2E5760"/>
    <w:rsid w:val="5C2FDC6C"/>
    <w:rsid w:val="5C33988B"/>
    <w:rsid w:val="5C34F650"/>
    <w:rsid w:val="5C3F4C73"/>
    <w:rsid w:val="5C482D2C"/>
    <w:rsid w:val="5C486EC4"/>
    <w:rsid w:val="5C4AA222"/>
    <w:rsid w:val="5C4D17E8"/>
    <w:rsid w:val="5C53FE70"/>
    <w:rsid w:val="5C54D418"/>
    <w:rsid w:val="5C580C40"/>
    <w:rsid w:val="5C58579D"/>
    <w:rsid w:val="5C58D5C1"/>
    <w:rsid w:val="5C5A1423"/>
    <w:rsid w:val="5C5D6886"/>
    <w:rsid w:val="5C60297C"/>
    <w:rsid w:val="5C6076C1"/>
    <w:rsid w:val="5C60E6CF"/>
    <w:rsid w:val="5C623A39"/>
    <w:rsid w:val="5C63E3B6"/>
    <w:rsid w:val="5C6F8D18"/>
    <w:rsid w:val="5C70CB70"/>
    <w:rsid w:val="5C71D02D"/>
    <w:rsid w:val="5C75B8C9"/>
    <w:rsid w:val="5C766CCF"/>
    <w:rsid w:val="5C77CA75"/>
    <w:rsid w:val="5C7CCB4B"/>
    <w:rsid w:val="5C823A9D"/>
    <w:rsid w:val="5C828327"/>
    <w:rsid w:val="5C85CDFF"/>
    <w:rsid w:val="5C91EAAF"/>
    <w:rsid w:val="5C920D01"/>
    <w:rsid w:val="5C92C1F7"/>
    <w:rsid w:val="5C94EBF9"/>
    <w:rsid w:val="5C96D7B8"/>
    <w:rsid w:val="5CA660E0"/>
    <w:rsid w:val="5CAE230C"/>
    <w:rsid w:val="5CB1DC7C"/>
    <w:rsid w:val="5CBB2B67"/>
    <w:rsid w:val="5CBBF744"/>
    <w:rsid w:val="5CBDCB62"/>
    <w:rsid w:val="5CC75CE3"/>
    <w:rsid w:val="5CCA80D2"/>
    <w:rsid w:val="5CCB68AF"/>
    <w:rsid w:val="5CD3441C"/>
    <w:rsid w:val="5CD41530"/>
    <w:rsid w:val="5CDB383A"/>
    <w:rsid w:val="5CDEBBFF"/>
    <w:rsid w:val="5CE11AB3"/>
    <w:rsid w:val="5CE1B8FB"/>
    <w:rsid w:val="5CE334CA"/>
    <w:rsid w:val="5CECB987"/>
    <w:rsid w:val="5CEF5D41"/>
    <w:rsid w:val="5CEF6409"/>
    <w:rsid w:val="5CF1F32F"/>
    <w:rsid w:val="5CF23BCA"/>
    <w:rsid w:val="5CF3D48D"/>
    <w:rsid w:val="5CF82532"/>
    <w:rsid w:val="5CF84BC3"/>
    <w:rsid w:val="5CF9E296"/>
    <w:rsid w:val="5CFD51EF"/>
    <w:rsid w:val="5D04EF5A"/>
    <w:rsid w:val="5D088315"/>
    <w:rsid w:val="5D0FECB2"/>
    <w:rsid w:val="5D10ECEF"/>
    <w:rsid w:val="5D12D1DB"/>
    <w:rsid w:val="5D12E2C6"/>
    <w:rsid w:val="5D135D2B"/>
    <w:rsid w:val="5D1871E9"/>
    <w:rsid w:val="5D1A25FB"/>
    <w:rsid w:val="5D1DF0C7"/>
    <w:rsid w:val="5D21CF41"/>
    <w:rsid w:val="5D23FB6A"/>
    <w:rsid w:val="5D25F9CA"/>
    <w:rsid w:val="5D2F891C"/>
    <w:rsid w:val="5D316CD4"/>
    <w:rsid w:val="5D336130"/>
    <w:rsid w:val="5D34958F"/>
    <w:rsid w:val="5D349C90"/>
    <w:rsid w:val="5D37CC10"/>
    <w:rsid w:val="5D400868"/>
    <w:rsid w:val="5D430DC6"/>
    <w:rsid w:val="5D47D8B5"/>
    <w:rsid w:val="5D492F6B"/>
    <w:rsid w:val="5D499492"/>
    <w:rsid w:val="5D4DCC98"/>
    <w:rsid w:val="5D52ABC1"/>
    <w:rsid w:val="5D53CC70"/>
    <w:rsid w:val="5D55D8A9"/>
    <w:rsid w:val="5D56C18B"/>
    <w:rsid w:val="5D57BE96"/>
    <w:rsid w:val="5D582D19"/>
    <w:rsid w:val="5D58BF38"/>
    <w:rsid w:val="5D5A5C2D"/>
    <w:rsid w:val="5D5F9857"/>
    <w:rsid w:val="5D60D076"/>
    <w:rsid w:val="5D655931"/>
    <w:rsid w:val="5D662C33"/>
    <w:rsid w:val="5D6A2CED"/>
    <w:rsid w:val="5D6A3CED"/>
    <w:rsid w:val="5D6D08D8"/>
    <w:rsid w:val="5D6D7851"/>
    <w:rsid w:val="5D73E233"/>
    <w:rsid w:val="5D74B301"/>
    <w:rsid w:val="5D74DFB2"/>
    <w:rsid w:val="5D7825CC"/>
    <w:rsid w:val="5D792698"/>
    <w:rsid w:val="5D7A1A22"/>
    <w:rsid w:val="5D81B15D"/>
    <w:rsid w:val="5D83B859"/>
    <w:rsid w:val="5D85635F"/>
    <w:rsid w:val="5D907501"/>
    <w:rsid w:val="5D92B3BB"/>
    <w:rsid w:val="5D93073A"/>
    <w:rsid w:val="5D9426BB"/>
    <w:rsid w:val="5D987AF0"/>
    <w:rsid w:val="5D98D19A"/>
    <w:rsid w:val="5D99C057"/>
    <w:rsid w:val="5D9B0C29"/>
    <w:rsid w:val="5D9D2315"/>
    <w:rsid w:val="5DA0919F"/>
    <w:rsid w:val="5DA2B579"/>
    <w:rsid w:val="5DA2E334"/>
    <w:rsid w:val="5DA50100"/>
    <w:rsid w:val="5DA757E6"/>
    <w:rsid w:val="5DA995DD"/>
    <w:rsid w:val="5DAA83A1"/>
    <w:rsid w:val="5DAF02C3"/>
    <w:rsid w:val="5DB08D56"/>
    <w:rsid w:val="5DB42CA3"/>
    <w:rsid w:val="5DBD94F8"/>
    <w:rsid w:val="5DBE4D36"/>
    <w:rsid w:val="5DC3AD21"/>
    <w:rsid w:val="5DC45030"/>
    <w:rsid w:val="5DC502B0"/>
    <w:rsid w:val="5DC6FD2E"/>
    <w:rsid w:val="5DCB61E0"/>
    <w:rsid w:val="5DCDB24A"/>
    <w:rsid w:val="5DCE77BB"/>
    <w:rsid w:val="5DD148AA"/>
    <w:rsid w:val="5DD4A55C"/>
    <w:rsid w:val="5DD76EFB"/>
    <w:rsid w:val="5DD913BE"/>
    <w:rsid w:val="5DDA5819"/>
    <w:rsid w:val="5DDBCD97"/>
    <w:rsid w:val="5DDFB665"/>
    <w:rsid w:val="5DDFF3B4"/>
    <w:rsid w:val="5DE0732C"/>
    <w:rsid w:val="5DE119D8"/>
    <w:rsid w:val="5DE988E0"/>
    <w:rsid w:val="5DE9DB45"/>
    <w:rsid w:val="5DEA6B31"/>
    <w:rsid w:val="5DF51DB2"/>
    <w:rsid w:val="5DF6D301"/>
    <w:rsid w:val="5DF875BC"/>
    <w:rsid w:val="5E052DAD"/>
    <w:rsid w:val="5E05DBFD"/>
    <w:rsid w:val="5E068DDA"/>
    <w:rsid w:val="5E08389B"/>
    <w:rsid w:val="5E0E7790"/>
    <w:rsid w:val="5E113063"/>
    <w:rsid w:val="5E114CA0"/>
    <w:rsid w:val="5E11B81F"/>
    <w:rsid w:val="5E130CBE"/>
    <w:rsid w:val="5E1CBDC3"/>
    <w:rsid w:val="5E26E748"/>
    <w:rsid w:val="5E274A30"/>
    <w:rsid w:val="5E2784AC"/>
    <w:rsid w:val="5E289AD3"/>
    <w:rsid w:val="5E2CC5D9"/>
    <w:rsid w:val="5E300D62"/>
    <w:rsid w:val="5E31616C"/>
    <w:rsid w:val="5E357040"/>
    <w:rsid w:val="5E379333"/>
    <w:rsid w:val="5E393BB6"/>
    <w:rsid w:val="5E3B0D82"/>
    <w:rsid w:val="5E3E2610"/>
    <w:rsid w:val="5E3F891F"/>
    <w:rsid w:val="5E46F276"/>
    <w:rsid w:val="5E47DFBD"/>
    <w:rsid w:val="5E4B61C3"/>
    <w:rsid w:val="5E4D610C"/>
    <w:rsid w:val="5E5442FF"/>
    <w:rsid w:val="5E575B6A"/>
    <w:rsid w:val="5E593F47"/>
    <w:rsid w:val="5E599138"/>
    <w:rsid w:val="5E5E8278"/>
    <w:rsid w:val="5E5E8B0C"/>
    <w:rsid w:val="5E6682E0"/>
    <w:rsid w:val="5E677EDF"/>
    <w:rsid w:val="5E6C72E8"/>
    <w:rsid w:val="5E731EDF"/>
    <w:rsid w:val="5E75BE30"/>
    <w:rsid w:val="5E76AA10"/>
    <w:rsid w:val="5E7831EF"/>
    <w:rsid w:val="5E7A6EDC"/>
    <w:rsid w:val="5E7CB1BA"/>
    <w:rsid w:val="5E7DB901"/>
    <w:rsid w:val="5E80D512"/>
    <w:rsid w:val="5E843BF6"/>
    <w:rsid w:val="5E84BA80"/>
    <w:rsid w:val="5E86642F"/>
    <w:rsid w:val="5E8BE4CA"/>
    <w:rsid w:val="5E94205F"/>
    <w:rsid w:val="5E988487"/>
    <w:rsid w:val="5E9AA10A"/>
    <w:rsid w:val="5E9C5171"/>
    <w:rsid w:val="5E9D658A"/>
    <w:rsid w:val="5EA12720"/>
    <w:rsid w:val="5EA14244"/>
    <w:rsid w:val="5EA176CB"/>
    <w:rsid w:val="5EA41AD3"/>
    <w:rsid w:val="5EA42254"/>
    <w:rsid w:val="5EA7B2BB"/>
    <w:rsid w:val="5EB0B06B"/>
    <w:rsid w:val="5EB9AE1F"/>
    <w:rsid w:val="5EBCC168"/>
    <w:rsid w:val="5EBF7705"/>
    <w:rsid w:val="5EC1CB09"/>
    <w:rsid w:val="5EC4D9F9"/>
    <w:rsid w:val="5EC597FD"/>
    <w:rsid w:val="5EC7654F"/>
    <w:rsid w:val="5EC7980E"/>
    <w:rsid w:val="5EC990EE"/>
    <w:rsid w:val="5ECA691D"/>
    <w:rsid w:val="5ECB5877"/>
    <w:rsid w:val="5ED2D743"/>
    <w:rsid w:val="5ED39206"/>
    <w:rsid w:val="5EDC2073"/>
    <w:rsid w:val="5EDCF181"/>
    <w:rsid w:val="5EE295DF"/>
    <w:rsid w:val="5EEEE7A8"/>
    <w:rsid w:val="5EF0D00D"/>
    <w:rsid w:val="5EF148C0"/>
    <w:rsid w:val="5EF36B6E"/>
    <w:rsid w:val="5EF413B0"/>
    <w:rsid w:val="5F00D3D5"/>
    <w:rsid w:val="5F04CB50"/>
    <w:rsid w:val="5F09675A"/>
    <w:rsid w:val="5F0A4B31"/>
    <w:rsid w:val="5F0AED1E"/>
    <w:rsid w:val="5F0FA67B"/>
    <w:rsid w:val="5F0FEE2E"/>
    <w:rsid w:val="5F1330D0"/>
    <w:rsid w:val="5F139FF1"/>
    <w:rsid w:val="5F182869"/>
    <w:rsid w:val="5F1A3751"/>
    <w:rsid w:val="5F1AFC6E"/>
    <w:rsid w:val="5F24E0DA"/>
    <w:rsid w:val="5F24E26F"/>
    <w:rsid w:val="5F2A447B"/>
    <w:rsid w:val="5F2A8293"/>
    <w:rsid w:val="5F2AE5B5"/>
    <w:rsid w:val="5F2C8352"/>
    <w:rsid w:val="5F2DE48A"/>
    <w:rsid w:val="5F2E9604"/>
    <w:rsid w:val="5F32F86D"/>
    <w:rsid w:val="5F334FEC"/>
    <w:rsid w:val="5F348EA3"/>
    <w:rsid w:val="5F36A839"/>
    <w:rsid w:val="5F3A614A"/>
    <w:rsid w:val="5F3E5B0D"/>
    <w:rsid w:val="5F3F6900"/>
    <w:rsid w:val="5F41324F"/>
    <w:rsid w:val="5F43FA22"/>
    <w:rsid w:val="5F489C97"/>
    <w:rsid w:val="5F4CDD10"/>
    <w:rsid w:val="5F505746"/>
    <w:rsid w:val="5F51E1F0"/>
    <w:rsid w:val="5F5212CF"/>
    <w:rsid w:val="5F582122"/>
    <w:rsid w:val="5F58326A"/>
    <w:rsid w:val="5F5B1F31"/>
    <w:rsid w:val="5F67F4EB"/>
    <w:rsid w:val="5F67F695"/>
    <w:rsid w:val="5F75C628"/>
    <w:rsid w:val="5F7629AF"/>
    <w:rsid w:val="5F793AD8"/>
    <w:rsid w:val="5F7BB45A"/>
    <w:rsid w:val="5F7E9D3D"/>
    <w:rsid w:val="5F7F3D57"/>
    <w:rsid w:val="5F8CE132"/>
    <w:rsid w:val="5F8DDE7A"/>
    <w:rsid w:val="5F90761C"/>
    <w:rsid w:val="5F98866A"/>
    <w:rsid w:val="5F9D41B9"/>
    <w:rsid w:val="5FA497FB"/>
    <w:rsid w:val="5FA9F372"/>
    <w:rsid w:val="5FB53AF9"/>
    <w:rsid w:val="5FC5D2DA"/>
    <w:rsid w:val="5FCC7B00"/>
    <w:rsid w:val="5FCCCC46"/>
    <w:rsid w:val="5FD2D171"/>
    <w:rsid w:val="5FD3E285"/>
    <w:rsid w:val="5FD6CEB4"/>
    <w:rsid w:val="5FDEB1C6"/>
    <w:rsid w:val="5FDF8F8D"/>
    <w:rsid w:val="5FDF961A"/>
    <w:rsid w:val="5FE31481"/>
    <w:rsid w:val="5FEC349D"/>
    <w:rsid w:val="5FECBE79"/>
    <w:rsid w:val="5FF0FD48"/>
    <w:rsid w:val="5FF353D3"/>
    <w:rsid w:val="5FF5ED1C"/>
    <w:rsid w:val="5FF9168A"/>
    <w:rsid w:val="5FFA36D9"/>
    <w:rsid w:val="5FFC4500"/>
    <w:rsid w:val="5FFC67DC"/>
    <w:rsid w:val="5FFD9FBE"/>
    <w:rsid w:val="5FFDCEF1"/>
    <w:rsid w:val="6007D607"/>
    <w:rsid w:val="60082A71"/>
    <w:rsid w:val="600AF7F2"/>
    <w:rsid w:val="600C1276"/>
    <w:rsid w:val="600C48DE"/>
    <w:rsid w:val="600E553C"/>
    <w:rsid w:val="600EA907"/>
    <w:rsid w:val="600EE8C2"/>
    <w:rsid w:val="60137559"/>
    <w:rsid w:val="6016E395"/>
    <w:rsid w:val="601BE171"/>
    <w:rsid w:val="601F8470"/>
    <w:rsid w:val="601F93BE"/>
    <w:rsid w:val="60260268"/>
    <w:rsid w:val="60273B9D"/>
    <w:rsid w:val="602953EF"/>
    <w:rsid w:val="602B423B"/>
    <w:rsid w:val="602E53AD"/>
    <w:rsid w:val="60366D92"/>
    <w:rsid w:val="60368A3F"/>
    <w:rsid w:val="603C721B"/>
    <w:rsid w:val="603CFB0D"/>
    <w:rsid w:val="603FD79F"/>
    <w:rsid w:val="6043DEBC"/>
    <w:rsid w:val="60465FB7"/>
    <w:rsid w:val="6046687C"/>
    <w:rsid w:val="60533A6E"/>
    <w:rsid w:val="60578848"/>
    <w:rsid w:val="605D6F73"/>
    <w:rsid w:val="60607BA5"/>
    <w:rsid w:val="60619873"/>
    <w:rsid w:val="6061CE9E"/>
    <w:rsid w:val="60627F23"/>
    <w:rsid w:val="6066B0C5"/>
    <w:rsid w:val="6066FA29"/>
    <w:rsid w:val="6067386C"/>
    <w:rsid w:val="606B8BD0"/>
    <w:rsid w:val="60711260"/>
    <w:rsid w:val="6073621C"/>
    <w:rsid w:val="60742114"/>
    <w:rsid w:val="607DFEAA"/>
    <w:rsid w:val="607EC77B"/>
    <w:rsid w:val="607FB821"/>
    <w:rsid w:val="6087273C"/>
    <w:rsid w:val="608F7E02"/>
    <w:rsid w:val="608FFFB6"/>
    <w:rsid w:val="6099A4F5"/>
    <w:rsid w:val="609D8E5E"/>
    <w:rsid w:val="60A0D7D8"/>
    <w:rsid w:val="60A36423"/>
    <w:rsid w:val="60A6AB62"/>
    <w:rsid w:val="60A6DEFF"/>
    <w:rsid w:val="60A86BF9"/>
    <w:rsid w:val="60AFAB3B"/>
    <w:rsid w:val="60B00AF2"/>
    <w:rsid w:val="60B3157B"/>
    <w:rsid w:val="60B741A8"/>
    <w:rsid w:val="60B8BA50"/>
    <w:rsid w:val="60BD7B51"/>
    <w:rsid w:val="60BE57CE"/>
    <w:rsid w:val="60C33A07"/>
    <w:rsid w:val="60C64804"/>
    <w:rsid w:val="60C712E0"/>
    <w:rsid w:val="60CC7CEA"/>
    <w:rsid w:val="60D736E5"/>
    <w:rsid w:val="60D82D68"/>
    <w:rsid w:val="60E01823"/>
    <w:rsid w:val="60E1F548"/>
    <w:rsid w:val="60E41EAC"/>
    <w:rsid w:val="60E4DCCD"/>
    <w:rsid w:val="60EBBBF1"/>
    <w:rsid w:val="60F071EF"/>
    <w:rsid w:val="60F1840B"/>
    <w:rsid w:val="60FA0BC9"/>
    <w:rsid w:val="60FC18D8"/>
    <w:rsid w:val="60FF868A"/>
    <w:rsid w:val="610BA828"/>
    <w:rsid w:val="610BAB70"/>
    <w:rsid w:val="61148351"/>
    <w:rsid w:val="61164E5A"/>
    <w:rsid w:val="611746E8"/>
    <w:rsid w:val="611CFAF2"/>
    <w:rsid w:val="61216B31"/>
    <w:rsid w:val="612360E8"/>
    <w:rsid w:val="6125ADB4"/>
    <w:rsid w:val="61290A09"/>
    <w:rsid w:val="612A1C57"/>
    <w:rsid w:val="612AB0E5"/>
    <w:rsid w:val="612B3A9B"/>
    <w:rsid w:val="61314506"/>
    <w:rsid w:val="6137131C"/>
    <w:rsid w:val="613CFAF2"/>
    <w:rsid w:val="613D198E"/>
    <w:rsid w:val="613FE4C5"/>
    <w:rsid w:val="6142AD47"/>
    <w:rsid w:val="6145B1BD"/>
    <w:rsid w:val="614B6345"/>
    <w:rsid w:val="614F1F21"/>
    <w:rsid w:val="6153ABEC"/>
    <w:rsid w:val="61580E5E"/>
    <w:rsid w:val="615A722B"/>
    <w:rsid w:val="615B6C05"/>
    <w:rsid w:val="616A495F"/>
    <w:rsid w:val="616D18E4"/>
    <w:rsid w:val="616F3AE6"/>
    <w:rsid w:val="61750E53"/>
    <w:rsid w:val="6178B98B"/>
    <w:rsid w:val="61799CD6"/>
    <w:rsid w:val="617DC2E3"/>
    <w:rsid w:val="6186599B"/>
    <w:rsid w:val="618715A6"/>
    <w:rsid w:val="61895C49"/>
    <w:rsid w:val="618C22EB"/>
    <w:rsid w:val="618CCF59"/>
    <w:rsid w:val="618FAB6E"/>
    <w:rsid w:val="61941AC6"/>
    <w:rsid w:val="61953FEE"/>
    <w:rsid w:val="6196718A"/>
    <w:rsid w:val="619A6CD5"/>
    <w:rsid w:val="619A9500"/>
    <w:rsid w:val="619D3463"/>
    <w:rsid w:val="61A7113E"/>
    <w:rsid w:val="61A81294"/>
    <w:rsid w:val="61AC16D7"/>
    <w:rsid w:val="61AF9CD2"/>
    <w:rsid w:val="61AFE10F"/>
    <w:rsid w:val="61B33908"/>
    <w:rsid w:val="61B4C1FD"/>
    <w:rsid w:val="61C17CD1"/>
    <w:rsid w:val="61C917D5"/>
    <w:rsid w:val="61CF89C4"/>
    <w:rsid w:val="61CFB13D"/>
    <w:rsid w:val="61D0735A"/>
    <w:rsid w:val="61D6C711"/>
    <w:rsid w:val="61E54837"/>
    <w:rsid w:val="61E62EE5"/>
    <w:rsid w:val="61E754B9"/>
    <w:rsid w:val="61EFE5B2"/>
    <w:rsid w:val="61F019B8"/>
    <w:rsid w:val="61F6EBC3"/>
    <w:rsid w:val="61FB1678"/>
    <w:rsid w:val="61FD6555"/>
    <w:rsid w:val="61FF39F3"/>
    <w:rsid w:val="61FFEFF6"/>
    <w:rsid w:val="62009509"/>
    <w:rsid w:val="6200CECF"/>
    <w:rsid w:val="62028743"/>
    <w:rsid w:val="620AA8F9"/>
    <w:rsid w:val="620D92FA"/>
    <w:rsid w:val="6219DE3C"/>
    <w:rsid w:val="6223A3D1"/>
    <w:rsid w:val="622AA213"/>
    <w:rsid w:val="622B5325"/>
    <w:rsid w:val="622C24B2"/>
    <w:rsid w:val="622D99BD"/>
    <w:rsid w:val="622ECB35"/>
    <w:rsid w:val="6234F5FB"/>
    <w:rsid w:val="6235B2F7"/>
    <w:rsid w:val="62396838"/>
    <w:rsid w:val="623C498C"/>
    <w:rsid w:val="6240BB9D"/>
    <w:rsid w:val="6247CDFA"/>
    <w:rsid w:val="6248D42F"/>
    <w:rsid w:val="624C5DC9"/>
    <w:rsid w:val="6250BFE8"/>
    <w:rsid w:val="62510D9B"/>
    <w:rsid w:val="62511ACC"/>
    <w:rsid w:val="6251D656"/>
    <w:rsid w:val="62532100"/>
    <w:rsid w:val="625496C9"/>
    <w:rsid w:val="62595475"/>
    <w:rsid w:val="625C5AA0"/>
    <w:rsid w:val="625C82A7"/>
    <w:rsid w:val="625D2D1B"/>
    <w:rsid w:val="625D482C"/>
    <w:rsid w:val="6260D576"/>
    <w:rsid w:val="6261808B"/>
    <w:rsid w:val="6268935C"/>
    <w:rsid w:val="626BCA94"/>
    <w:rsid w:val="626E5016"/>
    <w:rsid w:val="6277D5AC"/>
    <w:rsid w:val="627D026B"/>
    <w:rsid w:val="62820B4D"/>
    <w:rsid w:val="628310C5"/>
    <w:rsid w:val="628923E8"/>
    <w:rsid w:val="628ED990"/>
    <w:rsid w:val="62976845"/>
    <w:rsid w:val="62979E39"/>
    <w:rsid w:val="6299BC47"/>
    <w:rsid w:val="629B2145"/>
    <w:rsid w:val="629CADBE"/>
    <w:rsid w:val="629D5C14"/>
    <w:rsid w:val="629EBE2F"/>
    <w:rsid w:val="62A3B224"/>
    <w:rsid w:val="62A77530"/>
    <w:rsid w:val="62A8D090"/>
    <w:rsid w:val="62AAAE29"/>
    <w:rsid w:val="62CFCC32"/>
    <w:rsid w:val="62D9B24C"/>
    <w:rsid w:val="62DD19B5"/>
    <w:rsid w:val="62E3A4EC"/>
    <w:rsid w:val="62E5E6D5"/>
    <w:rsid w:val="62E8231F"/>
    <w:rsid w:val="62E90DC8"/>
    <w:rsid w:val="62EC11A2"/>
    <w:rsid w:val="62EECBBD"/>
    <w:rsid w:val="62F5C26D"/>
    <w:rsid w:val="62F79234"/>
    <w:rsid w:val="62F7C1A6"/>
    <w:rsid w:val="62F87E53"/>
    <w:rsid w:val="62F93F8E"/>
    <w:rsid w:val="62F9B8D3"/>
    <w:rsid w:val="62FE8FD6"/>
    <w:rsid w:val="6302890D"/>
    <w:rsid w:val="6302F8D7"/>
    <w:rsid w:val="630549B1"/>
    <w:rsid w:val="6308B341"/>
    <w:rsid w:val="630958FD"/>
    <w:rsid w:val="63106C2E"/>
    <w:rsid w:val="631470C7"/>
    <w:rsid w:val="6315A6AC"/>
    <w:rsid w:val="631C8220"/>
    <w:rsid w:val="631F8D36"/>
    <w:rsid w:val="631FED2E"/>
    <w:rsid w:val="63226B99"/>
    <w:rsid w:val="6325A14F"/>
    <w:rsid w:val="632D072A"/>
    <w:rsid w:val="632F2E2C"/>
    <w:rsid w:val="633069D0"/>
    <w:rsid w:val="63317182"/>
    <w:rsid w:val="633750EA"/>
    <w:rsid w:val="6339140A"/>
    <w:rsid w:val="633B9DA7"/>
    <w:rsid w:val="633D9A9C"/>
    <w:rsid w:val="633E1F03"/>
    <w:rsid w:val="633F50D8"/>
    <w:rsid w:val="63447DE1"/>
    <w:rsid w:val="6345CB43"/>
    <w:rsid w:val="63495222"/>
    <w:rsid w:val="634C1A39"/>
    <w:rsid w:val="634DC820"/>
    <w:rsid w:val="63507ADE"/>
    <w:rsid w:val="6351FB85"/>
    <w:rsid w:val="63640AC5"/>
    <w:rsid w:val="636505CD"/>
    <w:rsid w:val="63650653"/>
    <w:rsid w:val="63693A8F"/>
    <w:rsid w:val="636A2657"/>
    <w:rsid w:val="63789412"/>
    <w:rsid w:val="637BF069"/>
    <w:rsid w:val="637D1C79"/>
    <w:rsid w:val="6386BAD3"/>
    <w:rsid w:val="638BDC72"/>
    <w:rsid w:val="638D88B3"/>
    <w:rsid w:val="638FD2EA"/>
    <w:rsid w:val="639145A7"/>
    <w:rsid w:val="6392955B"/>
    <w:rsid w:val="6393541E"/>
    <w:rsid w:val="639DEC16"/>
    <w:rsid w:val="639ECCED"/>
    <w:rsid w:val="63A2C2ED"/>
    <w:rsid w:val="63A2CB27"/>
    <w:rsid w:val="63A90847"/>
    <w:rsid w:val="63AD8A43"/>
    <w:rsid w:val="63B0B558"/>
    <w:rsid w:val="63B20F8A"/>
    <w:rsid w:val="63B213B0"/>
    <w:rsid w:val="63B716CC"/>
    <w:rsid w:val="63B760B8"/>
    <w:rsid w:val="63B7E6A6"/>
    <w:rsid w:val="63BB80E0"/>
    <w:rsid w:val="63C0BAC5"/>
    <w:rsid w:val="63C6E643"/>
    <w:rsid w:val="63CF9A5F"/>
    <w:rsid w:val="63D03835"/>
    <w:rsid w:val="63D04D6C"/>
    <w:rsid w:val="63D0E7EB"/>
    <w:rsid w:val="63D49A64"/>
    <w:rsid w:val="63D67B95"/>
    <w:rsid w:val="63D68D1E"/>
    <w:rsid w:val="63D9743B"/>
    <w:rsid w:val="63DA7CD3"/>
    <w:rsid w:val="63E4679F"/>
    <w:rsid w:val="63E553C9"/>
    <w:rsid w:val="63E77DE6"/>
    <w:rsid w:val="63E8D77C"/>
    <w:rsid w:val="63ECBB31"/>
    <w:rsid w:val="63EE71CA"/>
    <w:rsid w:val="63EE7640"/>
    <w:rsid w:val="63F040D9"/>
    <w:rsid w:val="63F8BC0D"/>
    <w:rsid w:val="63FA7F66"/>
    <w:rsid w:val="6400A6CC"/>
    <w:rsid w:val="640A618C"/>
    <w:rsid w:val="640B2866"/>
    <w:rsid w:val="6418629C"/>
    <w:rsid w:val="6419C155"/>
    <w:rsid w:val="641DFD55"/>
    <w:rsid w:val="642604A2"/>
    <w:rsid w:val="642DED23"/>
    <w:rsid w:val="642E80E8"/>
    <w:rsid w:val="64334FE4"/>
    <w:rsid w:val="643552E9"/>
    <w:rsid w:val="64363750"/>
    <w:rsid w:val="6439D0CA"/>
    <w:rsid w:val="643C3E55"/>
    <w:rsid w:val="643D9568"/>
    <w:rsid w:val="64433592"/>
    <w:rsid w:val="644D2E49"/>
    <w:rsid w:val="6451FACC"/>
    <w:rsid w:val="6453919A"/>
    <w:rsid w:val="6453E885"/>
    <w:rsid w:val="64545B19"/>
    <w:rsid w:val="6455603A"/>
    <w:rsid w:val="6456FD9F"/>
    <w:rsid w:val="645FA163"/>
    <w:rsid w:val="6461C227"/>
    <w:rsid w:val="646B5CB5"/>
    <w:rsid w:val="646CDAD5"/>
    <w:rsid w:val="647228D3"/>
    <w:rsid w:val="64729FB6"/>
    <w:rsid w:val="647A8E68"/>
    <w:rsid w:val="647D4746"/>
    <w:rsid w:val="647DEA21"/>
    <w:rsid w:val="64838631"/>
    <w:rsid w:val="6485DDB8"/>
    <w:rsid w:val="648A6B7B"/>
    <w:rsid w:val="648C2D57"/>
    <w:rsid w:val="648CEBD8"/>
    <w:rsid w:val="648F5682"/>
    <w:rsid w:val="64957736"/>
    <w:rsid w:val="64A5394A"/>
    <w:rsid w:val="64A5B3B3"/>
    <w:rsid w:val="64A5D9D5"/>
    <w:rsid w:val="64AD3E49"/>
    <w:rsid w:val="64B26B3D"/>
    <w:rsid w:val="64B2C4CE"/>
    <w:rsid w:val="64B31476"/>
    <w:rsid w:val="64B69D75"/>
    <w:rsid w:val="64B71A66"/>
    <w:rsid w:val="64B95B69"/>
    <w:rsid w:val="64C1E785"/>
    <w:rsid w:val="64C35CAB"/>
    <w:rsid w:val="64CF11CA"/>
    <w:rsid w:val="64CF633B"/>
    <w:rsid w:val="64D67F22"/>
    <w:rsid w:val="64D86C65"/>
    <w:rsid w:val="64DA9E38"/>
    <w:rsid w:val="64DEBF1A"/>
    <w:rsid w:val="64E1E174"/>
    <w:rsid w:val="64EDB71A"/>
    <w:rsid w:val="64F0B289"/>
    <w:rsid w:val="64F4DCCF"/>
    <w:rsid w:val="64F4ECE8"/>
    <w:rsid w:val="64F7181A"/>
    <w:rsid w:val="64F7D187"/>
    <w:rsid w:val="64F8A87C"/>
    <w:rsid w:val="64FD434C"/>
    <w:rsid w:val="64FED815"/>
    <w:rsid w:val="6505DBFC"/>
    <w:rsid w:val="650660FB"/>
    <w:rsid w:val="65081B2E"/>
    <w:rsid w:val="650A19EC"/>
    <w:rsid w:val="650BFBF1"/>
    <w:rsid w:val="650C8E4D"/>
    <w:rsid w:val="650D7C57"/>
    <w:rsid w:val="6516A030"/>
    <w:rsid w:val="6519296F"/>
    <w:rsid w:val="651C0126"/>
    <w:rsid w:val="651DF59B"/>
    <w:rsid w:val="65224733"/>
    <w:rsid w:val="652816F0"/>
    <w:rsid w:val="652B25A4"/>
    <w:rsid w:val="652B89DC"/>
    <w:rsid w:val="6531D594"/>
    <w:rsid w:val="653B6CF2"/>
    <w:rsid w:val="653B70DB"/>
    <w:rsid w:val="653BE7A2"/>
    <w:rsid w:val="653DA806"/>
    <w:rsid w:val="653FB925"/>
    <w:rsid w:val="65406DFB"/>
    <w:rsid w:val="654363BE"/>
    <w:rsid w:val="6543DF9A"/>
    <w:rsid w:val="6544AC37"/>
    <w:rsid w:val="654D14F4"/>
    <w:rsid w:val="654E0954"/>
    <w:rsid w:val="654EA847"/>
    <w:rsid w:val="654ED62F"/>
    <w:rsid w:val="655740D9"/>
    <w:rsid w:val="65575C6A"/>
    <w:rsid w:val="65582A8B"/>
    <w:rsid w:val="655831D6"/>
    <w:rsid w:val="6558C7E1"/>
    <w:rsid w:val="655A1B30"/>
    <w:rsid w:val="655BBED4"/>
    <w:rsid w:val="655CF08D"/>
    <w:rsid w:val="655E344A"/>
    <w:rsid w:val="655F4E2E"/>
    <w:rsid w:val="65695073"/>
    <w:rsid w:val="656C6768"/>
    <w:rsid w:val="656CB0BB"/>
    <w:rsid w:val="656EEEB7"/>
    <w:rsid w:val="65711955"/>
    <w:rsid w:val="6575A6C9"/>
    <w:rsid w:val="65763A37"/>
    <w:rsid w:val="65765FF1"/>
    <w:rsid w:val="657A0D26"/>
    <w:rsid w:val="657B7438"/>
    <w:rsid w:val="657C3D2E"/>
    <w:rsid w:val="657D0824"/>
    <w:rsid w:val="657EF497"/>
    <w:rsid w:val="657F7FFB"/>
    <w:rsid w:val="657F9FD2"/>
    <w:rsid w:val="65804558"/>
    <w:rsid w:val="6583CB1D"/>
    <w:rsid w:val="6585173F"/>
    <w:rsid w:val="658B436E"/>
    <w:rsid w:val="658BB979"/>
    <w:rsid w:val="658C0A43"/>
    <w:rsid w:val="658C3B09"/>
    <w:rsid w:val="658C6960"/>
    <w:rsid w:val="658EFE1C"/>
    <w:rsid w:val="658F6689"/>
    <w:rsid w:val="658F7B4D"/>
    <w:rsid w:val="658FF2C6"/>
    <w:rsid w:val="65926464"/>
    <w:rsid w:val="659319FF"/>
    <w:rsid w:val="65935B8D"/>
    <w:rsid w:val="6598E730"/>
    <w:rsid w:val="659BDB5C"/>
    <w:rsid w:val="659EB559"/>
    <w:rsid w:val="65AC6142"/>
    <w:rsid w:val="65ACF6F7"/>
    <w:rsid w:val="65AE1F4F"/>
    <w:rsid w:val="65AE6674"/>
    <w:rsid w:val="65B0057D"/>
    <w:rsid w:val="65B5B070"/>
    <w:rsid w:val="65B78E29"/>
    <w:rsid w:val="65BDCD0E"/>
    <w:rsid w:val="65C52B95"/>
    <w:rsid w:val="65C54014"/>
    <w:rsid w:val="65C604AA"/>
    <w:rsid w:val="65C670C6"/>
    <w:rsid w:val="65CB4DF5"/>
    <w:rsid w:val="65CD3B80"/>
    <w:rsid w:val="65CEECE5"/>
    <w:rsid w:val="65CF5619"/>
    <w:rsid w:val="65D12871"/>
    <w:rsid w:val="65D8B823"/>
    <w:rsid w:val="65DE708B"/>
    <w:rsid w:val="65E58846"/>
    <w:rsid w:val="65E92C12"/>
    <w:rsid w:val="65E9D7A2"/>
    <w:rsid w:val="65EC3F18"/>
    <w:rsid w:val="65ED988C"/>
    <w:rsid w:val="65F965DE"/>
    <w:rsid w:val="65FB0F36"/>
    <w:rsid w:val="65FB8ED8"/>
    <w:rsid w:val="65FFBB98"/>
    <w:rsid w:val="66053A08"/>
    <w:rsid w:val="6605AC6C"/>
    <w:rsid w:val="6606EDEA"/>
    <w:rsid w:val="6606FDD1"/>
    <w:rsid w:val="6608B087"/>
    <w:rsid w:val="66093920"/>
    <w:rsid w:val="660D4FB7"/>
    <w:rsid w:val="66106DA2"/>
    <w:rsid w:val="66132653"/>
    <w:rsid w:val="661BDA4D"/>
    <w:rsid w:val="6624FDFB"/>
    <w:rsid w:val="6626B44E"/>
    <w:rsid w:val="662A7DE3"/>
    <w:rsid w:val="662AB00D"/>
    <w:rsid w:val="66301490"/>
    <w:rsid w:val="663108FE"/>
    <w:rsid w:val="6633A4F7"/>
    <w:rsid w:val="66388B41"/>
    <w:rsid w:val="6639D461"/>
    <w:rsid w:val="663B707A"/>
    <w:rsid w:val="663C619F"/>
    <w:rsid w:val="663C942F"/>
    <w:rsid w:val="663E21EF"/>
    <w:rsid w:val="663E9660"/>
    <w:rsid w:val="663E96C3"/>
    <w:rsid w:val="663FFE9D"/>
    <w:rsid w:val="66408D79"/>
    <w:rsid w:val="66418B72"/>
    <w:rsid w:val="6645DD06"/>
    <w:rsid w:val="6646A364"/>
    <w:rsid w:val="66471A5A"/>
    <w:rsid w:val="664D1CD0"/>
    <w:rsid w:val="664F6A2A"/>
    <w:rsid w:val="6652AB77"/>
    <w:rsid w:val="66533FBA"/>
    <w:rsid w:val="66551693"/>
    <w:rsid w:val="6655C76E"/>
    <w:rsid w:val="666055D0"/>
    <w:rsid w:val="6660EF1D"/>
    <w:rsid w:val="66611270"/>
    <w:rsid w:val="666130E4"/>
    <w:rsid w:val="66635165"/>
    <w:rsid w:val="6665F7AC"/>
    <w:rsid w:val="6667A1AE"/>
    <w:rsid w:val="6669D1B3"/>
    <w:rsid w:val="666E5B08"/>
    <w:rsid w:val="6670C00D"/>
    <w:rsid w:val="66778D86"/>
    <w:rsid w:val="6677EF81"/>
    <w:rsid w:val="667AADEE"/>
    <w:rsid w:val="667ED4E5"/>
    <w:rsid w:val="667ED7BE"/>
    <w:rsid w:val="6681E58C"/>
    <w:rsid w:val="66827DA6"/>
    <w:rsid w:val="6682D1E8"/>
    <w:rsid w:val="6688EFF6"/>
    <w:rsid w:val="668AFDFB"/>
    <w:rsid w:val="6699B9A9"/>
    <w:rsid w:val="669E119D"/>
    <w:rsid w:val="66A19CA6"/>
    <w:rsid w:val="66A2C550"/>
    <w:rsid w:val="66A612D1"/>
    <w:rsid w:val="66AB6A31"/>
    <w:rsid w:val="66AE7B83"/>
    <w:rsid w:val="66AEBFD0"/>
    <w:rsid w:val="66B113DC"/>
    <w:rsid w:val="66B175BF"/>
    <w:rsid w:val="66B2F2D9"/>
    <w:rsid w:val="66B382CA"/>
    <w:rsid w:val="66B55905"/>
    <w:rsid w:val="66B61EF9"/>
    <w:rsid w:val="66B71980"/>
    <w:rsid w:val="66BAFE83"/>
    <w:rsid w:val="66BE7E08"/>
    <w:rsid w:val="66C472B1"/>
    <w:rsid w:val="66CDC6A2"/>
    <w:rsid w:val="66D1DFDB"/>
    <w:rsid w:val="66D26CB1"/>
    <w:rsid w:val="66D91F9C"/>
    <w:rsid w:val="66E0DA27"/>
    <w:rsid w:val="66E528E3"/>
    <w:rsid w:val="66E6E128"/>
    <w:rsid w:val="66E73990"/>
    <w:rsid w:val="66F16CC3"/>
    <w:rsid w:val="66F1A33F"/>
    <w:rsid w:val="66F2038B"/>
    <w:rsid w:val="66F21B14"/>
    <w:rsid w:val="66F2421E"/>
    <w:rsid w:val="66F3D5B2"/>
    <w:rsid w:val="66F6A227"/>
    <w:rsid w:val="66F77C23"/>
    <w:rsid w:val="66F78FE8"/>
    <w:rsid w:val="66F7D102"/>
    <w:rsid w:val="66F81FD7"/>
    <w:rsid w:val="66F9602F"/>
    <w:rsid w:val="66FA94AC"/>
    <w:rsid w:val="6701E4D6"/>
    <w:rsid w:val="67054980"/>
    <w:rsid w:val="67149CB5"/>
    <w:rsid w:val="6717B0D6"/>
    <w:rsid w:val="6717D835"/>
    <w:rsid w:val="671C7E7B"/>
    <w:rsid w:val="671D3668"/>
    <w:rsid w:val="671DC083"/>
    <w:rsid w:val="673419DC"/>
    <w:rsid w:val="6735BD05"/>
    <w:rsid w:val="67369EE5"/>
    <w:rsid w:val="673DAFA9"/>
    <w:rsid w:val="673F61A1"/>
    <w:rsid w:val="67449088"/>
    <w:rsid w:val="67472215"/>
    <w:rsid w:val="674A8B70"/>
    <w:rsid w:val="674BAEFE"/>
    <w:rsid w:val="674C21CD"/>
    <w:rsid w:val="674F7BC6"/>
    <w:rsid w:val="675628E0"/>
    <w:rsid w:val="6758E365"/>
    <w:rsid w:val="675B5280"/>
    <w:rsid w:val="6760A867"/>
    <w:rsid w:val="6762895C"/>
    <w:rsid w:val="6762A3BA"/>
    <w:rsid w:val="676323A0"/>
    <w:rsid w:val="6763A97E"/>
    <w:rsid w:val="6763AADD"/>
    <w:rsid w:val="67666F94"/>
    <w:rsid w:val="676691D2"/>
    <w:rsid w:val="6767062A"/>
    <w:rsid w:val="676A0AB6"/>
    <w:rsid w:val="676E83AD"/>
    <w:rsid w:val="6779FE5B"/>
    <w:rsid w:val="677C42ED"/>
    <w:rsid w:val="677FE8F7"/>
    <w:rsid w:val="6783B7AC"/>
    <w:rsid w:val="6791D028"/>
    <w:rsid w:val="6793770A"/>
    <w:rsid w:val="67937940"/>
    <w:rsid w:val="6798EAB2"/>
    <w:rsid w:val="679C2B6F"/>
    <w:rsid w:val="679EE2AD"/>
    <w:rsid w:val="67A02D18"/>
    <w:rsid w:val="67A39D6A"/>
    <w:rsid w:val="67A4E8E6"/>
    <w:rsid w:val="67A649CC"/>
    <w:rsid w:val="67AB4172"/>
    <w:rsid w:val="67AB7497"/>
    <w:rsid w:val="67AB8254"/>
    <w:rsid w:val="67AE2CE0"/>
    <w:rsid w:val="67B184DF"/>
    <w:rsid w:val="67B61FD6"/>
    <w:rsid w:val="67BB3468"/>
    <w:rsid w:val="67C1127B"/>
    <w:rsid w:val="67C1652D"/>
    <w:rsid w:val="67C9044D"/>
    <w:rsid w:val="67C955CC"/>
    <w:rsid w:val="67CBCF42"/>
    <w:rsid w:val="67CF4995"/>
    <w:rsid w:val="67D7A75A"/>
    <w:rsid w:val="67D7FA3B"/>
    <w:rsid w:val="67D85A2B"/>
    <w:rsid w:val="67DC7042"/>
    <w:rsid w:val="67E1A129"/>
    <w:rsid w:val="67E391D9"/>
    <w:rsid w:val="67E3CF40"/>
    <w:rsid w:val="67E44709"/>
    <w:rsid w:val="67E6842B"/>
    <w:rsid w:val="67E8643B"/>
    <w:rsid w:val="67EBD35A"/>
    <w:rsid w:val="67EC1E25"/>
    <w:rsid w:val="67ED26E8"/>
    <w:rsid w:val="67F2AED2"/>
    <w:rsid w:val="67F495A3"/>
    <w:rsid w:val="67F6B885"/>
    <w:rsid w:val="67F7E95A"/>
    <w:rsid w:val="67FE213E"/>
    <w:rsid w:val="6801C5FB"/>
    <w:rsid w:val="68037149"/>
    <w:rsid w:val="6803CED2"/>
    <w:rsid w:val="68062C88"/>
    <w:rsid w:val="68068DC3"/>
    <w:rsid w:val="68084084"/>
    <w:rsid w:val="68088E06"/>
    <w:rsid w:val="6808C249"/>
    <w:rsid w:val="680974CC"/>
    <w:rsid w:val="680A1E87"/>
    <w:rsid w:val="6811E484"/>
    <w:rsid w:val="681555F0"/>
    <w:rsid w:val="68163FB3"/>
    <w:rsid w:val="68227BF3"/>
    <w:rsid w:val="68234E88"/>
    <w:rsid w:val="6824739A"/>
    <w:rsid w:val="68265F28"/>
    <w:rsid w:val="682E1683"/>
    <w:rsid w:val="683163FE"/>
    <w:rsid w:val="68326B70"/>
    <w:rsid w:val="683BF5A9"/>
    <w:rsid w:val="683E6420"/>
    <w:rsid w:val="683E64C0"/>
    <w:rsid w:val="68452CDB"/>
    <w:rsid w:val="6847E510"/>
    <w:rsid w:val="684841A3"/>
    <w:rsid w:val="684AE7A9"/>
    <w:rsid w:val="684C9673"/>
    <w:rsid w:val="684D810C"/>
    <w:rsid w:val="684F1E19"/>
    <w:rsid w:val="6850BDDB"/>
    <w:rsid w:val="6851AB5F"/>
    <w:rsid w:val="6852CCCB"/>
    <w:rsid w:val="6855733C"/>
    <w:rsid w:val="685882BA"/>
    <w:rsid w:val="68597B04"/>
    <w:rsid w:val="685CC6B4"/>
    <w:rsid w:val="68690199"/>
    <w:rsid w:val="6871A039"/>
    <w:rsid w:val="68739499"/>
    <w:rsid w:val="68740483"/>
    <w:rsid w:val="68756464"/>
    <w:rsid w:val="6877C14A"/>
    <w:rsid w:val="68788DCA"/>
    <w:rsid w:val="687DAC1B"/>
    <w:rsid w:val="687DAF5B"/>
    <w:rsid w:val="687EB987"/>
    <w:rsid w:val="68881127"/>
    <w:rsid w:val="6888316F"/>
    <w:rsid w:val="688A14C0"/>
    <w:rsid w:val="688D5D2E"/>
    <w:rsid w:val="688F90AB"/>
    <w:rsid w:val="6890892B"/>
    <w:rsid w:val="6891CE2D"/>
    <w:rsid w:val="68935BB8"/>
    <w:rsid w:val="6897E735"/>
    <w:rsid w:val="6898A86A"/>
    <w:rsid w:val="689AC20F"/>
    <w:rsid w:val="68A103AE"/>
    <w:rsid w:val="68A243CD"/>
    <w:rsid w:val="68A3BFA1"/>
    <w:rsid w:val="68A83EEB"/>
    <w:rsid w:val="68A93AB6"/>
    <w:rsid w:val="68AA43AB"/>
    <w:rsid w:val="68AC5BBE"/>
    <w:rsid w:val="68AC60D6"/>
    <w:rsid w:val="68AD2B0A"/>
    <w:rsid w:val="68B0152F"/>
    <w:rsid w:val="68B17716"/>
    <w:rsid w:val="68B2DEC0"/>
    <w:rsid w:val="68B52EA6"/>
    <w:rsid w:val="68B869B9"/>
    <w:rsid w:val="68B8918E"/>
    <w:rsid w:val="68BDF649"/>
    <w:rsid w:val="68BE0398"/>
    <w:rsid w:val="68C29185"/>
    <w:rsid w:val="68C3DD0F"/>
    <w:rsid w:val="68C5E656"/>
    <w:rsid w:val="68C6FB1E"/>
    <w:rsid w:val="68C92493"/>
    <w:rsid w:val="68CF2F05"/>
    <w:rsid w:val="68D4234A"/>
    <w:rsid w:val="68D81937"/>
    <w:rsid w:val="68DAC430"/>
    <w:rsid w:val="68DB864C"/>
    <w:rsid w:val="68DCF6A0"/>
    <w:rsid w:val="68DD074A"/>
    <w:rsid w:val="68E21C94"/>
    <w:rsid w:val="68EAD62F"/>
    <w:rsid w:val="68ECA75E"/>
    <w:rsid w:val="68ECC32B"/>
    <w:rsid w:val="68F449E5"/>
    <w:rsid w:val="68F46287"/>
    <w:rsid w:val="68F6CCFE"/>
    <w:rsid w:val="68F89124"/>
    <w:rsid w:val="68FFF6C4"/>
    <w:rsid w:val="690012CA"/>
    <w:rsid w:val="6900EA85"/>
    <w:rsid w:val="6908FA00"/>
    <w:rsid w:val="6911C1A8"/>
    <w:rsid w:val="6916E31F"/>
    <w:rsid w:val="69198371"/>
    <w:rsid w:val="691AC994"/>
    <w:rsid w:val="691B313E"/>
    <w:rsid w:val="691BE71D"/>
    <w:rsid w:val="69207F5B"/>
    <w:rsid w:val="692166F8"/>
    <w:rsid w:val="692379BA"/>
    <w:rsid w:val="692753CB"/>
    <w:rsid w:val="692F3898"/>
    <w:rsid w:val="692F8B15"/>
    <w:rsid w:val="69306CAB"/>
    <w:rsid w:val="69344D2F"/>
    <w:rsid w:val="69374234"/>
    <w:rsid w:val="693A94C3"/>
    <w:rsid w:val="693E619B"/>
    <w:rsid w:val="693FE579"/>
    <w:rsid w:val="6943EE13"/>
    <w:rsid w:val="69448F2D"/>
    <w:rsid w:val="694646BE"/>
    <w:rsid w:val="6947670B"/>
    <w:rsid w:val="694C7BB7"/>
    <w:rsid w:val="694DFE0C"/>
    <w:rsid w:val="69535D0B"/>
    <w:rsid w:val="6956FAF4"/>
    <w:rsid w:val="695CBD9D"/>
    <w:rsid w:val="69642AFB"/>
    <w:rsid w:val="69650EB4"/>
    <w:rsid w:val="6967044A"/>
    <w:rsid w:val="696D2E01"/>
    <w:rsid w:val="696E680F"/>
    <w:rsid w:val="697128BA"/>
    <w:rsid w:val="69725CCE"/>
    <w:rsid w:val="6977A59D"/>
    <w:rsid w:val="698F04CE"/>
    <w:rsid w:val="69922534"/>
    <w:rsid w:val="69924732"/>
    <w:rsid w:val="69972779"/>
    <w:rsid w:val="699A6CEF"/>
    <w:rsid w:val="699AB86F"/>
    <w:rsid w:val="699BBE1A"/>
    <w:rsid w:val="699E5D59"/>
    <w:rsid w:val="69A207E6"/>
    <w:rsid w:val="69A7BE57"/>
    <w:rsid w:val="69A8524D"/>
    <w:rsid w:val="69B0603D"/>
    <w:rsid w:val="69B2C15D"/>
    <w:rsid w:val="69B7EC22"/>
    <w:rsid w:val="69BB8885"/>
    <w:rsid w:val="69BCD10C"/>
    <w:rsid w:val="69BD0735"/>
    <w:rsid w:val="69C2057F"/>
    <w:rsid w:val="69C7A8FC"/>
    <w:rsid w:val="69C9DB0E"/>
    <w:rsid w:val="69CB1290"/>
    <w:rsid w:val="69D01226"/>
    <w:rsid w:val="69D12C81"/>
    <w:rsid w:val="69D8666F"/>
    <w:rsid w:val="69DC463B"/>
    <w:rsid w:val="69DCBC7C"/>
    <w:rsid w:val="69E0A10D"/>
    <w:rsid w:val="69E65AD0"/>
    <w:rsid w:val="69E6A6CC"/>
    <w:rsid w:val="69E89C4C"/>
    <w:rsid w:val="69E96E18"/>
    <w:rsid w:val="69EA2713"/>
    <w:rsid w:val="69EECE44"/>
    <w:rsid w:val="69F080AB"/>
    <w:rsid w:val="69F2A1E8"/>
    <w:rsid w:val="6A0148A2"/>
    <w:rsid w:val="6A0188C9"/>
    <w:rsid w:val="6A06D27A"/>
    <w:rsid w:val="6A07348E"/>
    <w:rsid w:val="6A074EE8"/>
    <w:rsid w:val="6A0AE298"/>
    <w:rsid w:val="6A0D03C6"/>
    <w:rsid w:val="6A1044D2"/>
    <w:rsid w:val="6A18EB23"/>
    <w:rsid w:val="6A19B5FF"/>
    <w:rsid w:val="6A1A5BA0"/>
    <w:rsid w:val="6A1C2570"/>
    <w:rsid w:val="6A1FE774"/>
    <w:rsid w:val="6A216A2B"/>
    <w:rsid w:val="6A236C46"/>
    <w:rsid w:val="6A24B584"/>
    <w:rsid w:val="6A2753B2"/>
    <w:rsid w:val="6A2C8F49"/>
    <w:rsid w:val="6A2F07EA"/>
    <w:rsid w:val="6A35FE52"/>
    <w:rsid w:val="6A367879"/>
    <w:rsid w:val="6A3B147E"/>
    <w:rsid w:val="6A3C124F"/>
    <w:rsid w:val="6A3E1ACE"/>
    <w:rsid w:val="6A3EA6C4"/>
    <w:rsid w:val="6A40FE57"/>
    <w:rsid w:val="6A4285C9"/>
    <w:rsid w:val="6A436C41"/>
    <w:rsid w:val="6A43F0A1"/>
    <w:rsid w:val="6A4559B9"/>
    <w:rsid w:val="6A46840C"/>
    <w:rsid w:val="6A472681"/>
    <w:rsid w:val="6A47F7A8"/>
    <w:rsid w:val="6A4C0909"/>
    <w:rsid w:val="6A4D0E42"/>
    <w:rsid w:val="6A4DFB90"/>
    <w:rsid w:val="6A4FD9FF"/>
    <w:rsid w:val="6A511024"/>
    <w:rsid w:val="6A517EA5"/>
    <w:rsid w:val="6A532CAC"/>
    <w:rsid w:val="6A53E278"/>
    <w:rsid w:val="6A54CED4"/>
    <w:rsid w:val="6A563B56"/>
    <w:rsid w:val="6A57688D"/>
    <w:rsid w:val="6A592CC9"/>
    <w:rsid w:val="6A59733A"/>
    <w:rsid w:val="6A5AA8FE"/>
    <w:rsid w:val="6A5B9E8E"/>
    <w:rsid w:val="6A5C1E6E"/>
    <w:rsid w:val="6A5D79F1"/>
    <w:rsid w:val="6A62FB49"/>
    <w:rsid w:val="6A662B17"/>
    <w:rsid w:val="6A69606A"/>
    <w:rsid w:val="6A6DA9D1"/>
    <w:rsid w:val="6A731DED"/>
    <w:rsid w:val="6A756F9E"/>
    <w:rsid w:val="6A7B4751"/>
    <w:rsid w:val="6A7CAF3D"/>
    <w:rsid w:val="6A7EA8FD"/>
    <w:rsid w:val="6A828E6D"/>
    <w:rsid w:val="6A84DE54"/>
    <w:rsid w:val="6A85AC6B"/>
    <w:rsid w:val="6A8759DE"/>
    <w:rsid w:val="6A936B6F"/>
    <w:rsid w:val="6A96A341"/>
    <w:rsid w:val="6A9AB0A6"/>
    <w:rsid w:val="6A9E0460"/>
    <w:rsid w:val="6A9E74F8"/>
    <w:rsid w:val="6AA02F5C"/>
    <w:rsid w:val="6AA1462E"/>
    <w:rsid w:val="6AA3C52C"/>
    <w:rsid w:val="6AA6D70A"/>
    <w:rsid w:val="6AAB0A2B"/>
    <w:rsid w:val="6AAB3CA2"/>
    <w:rsid w:val="6AAD046F"/>
    <w:rsid w:val="6AAEE450"/>
    <w:rsid w:val="6AB0DDCD"/>
    <w:rsid w:val="6AB84874"/>
    <w:rsid w:val="6AB8EDC8"/>
    <w:rsid w:val="6AC59E5E"/>
    <w:rsid w:val="6AC80659"/>
    <w:rsid w:val="6ACD282D"/>
    <w:rsid w:val="6AD0A9D8"/>
    <w:rsid w:val="6AD33F0D"/>
    <w:rsid w:val="6AD3A287"/>
    <w:rsid w:val="6ADC1D92"/>
    <w:rsid w:val="6ADD4D84"/>
    <w:rsid w:val="6ADDEA92"/>
    <w:rsid w:val="6AE2629E"/>
    <w:rsid w:val="6AE38BF6"/>
    <w:rsid w:val="6AE57BDF"/>
    <w:rsid w:val="6AE66994"/>
    <w:rsid w:val="6AE8CBB6"/>
    <w:rsid w:val="6AEB3579"/>
    <w:rsid w:val="6AED3D4C"/>
    <w:rsid w:val="6AF5377E"/>
    <w:rsid w:val="6AF86DD7"/>
    <w:rsid w:val="6AFA3D91"/>
    <w:rsid w:val="6AFE3977"/>
    <w:rsid w:val="6AFFA8C1"/>
    <w:rsid w:val="6B00A949"/>
    <w:rsid w:val="6B0212C2"/>
    <w:rsid w:val="6B04AFB9"/>
    <w:rsid w:val="6B0A7E24"/>
    <w:rsid w:val="6B0D81E6"/>
    <w:rsid w:val="6B13948F"/>
    <w:rsid w:val="6B1445B6"/>
    <w:rsid w:val="6B1ADF6D"/>
    <w:rsid w:val="6B1E9077"/>
    <w:rsid w:val="6B201218"/>
    <w:rsid w:val="6B2120CB"/>
    <w:rsid w:val="6B221EE8"/>
    <w:rsid w:val="6B2495AB"/>
    <w:rsid w:val="6B24B980"/>
    <w:rsid w:val="6B25B058"/>
    <w:rsid w:val="6B276583"/>
    <w:rsid w:val="6B2C91A9"/>
    <w:rsid w:val="6B30246F"/>
    <w:rsid w:val="6B30E0F1"/>
    <w:rsid w:val="6B340D16"/>
    <w:rsid w:val="6B37AE11"/>
    <w:rsid w:val="6B3ADAB7"/>
    <w:rsid w:val="6B3E529E"/>
    <w:rsid w:val="6B3F23FE"/>
    <w:rsid w:val="6B3F7501"/>
    <w:rsid w:val="6B3F951D"/>
    <w:rsid w:val="6B446067"/>
    <w:rsid w:val="6B46B045"/>
    <w:rsid w:val="6B49687E"/>
    <w:rsid w:val="6B4C7A4A"/>
    <w:rsid w:val="6B4D617A"/>
    <w:rsid w:val="6B50B452"/>
    <w:rsid w:val="6B52C606"/>
    <w:rsid w:val="6B5A7A60"/>
    <w:rsid w:val="6B602811"/>
    <w:rsid w:val="6B634493"/>
    <w:rsid w:val="6B63FFE1"/>
    <w:rsid w:val="6B6C0DA8"/>
    <w:rsid w:val="6B6CE1DB"/>
    <w:rsid w:val="6B6F1FEB"/>
    <w:rsid w:val="6B73435F"/>
    <w:rsid w:val="6B776A47"/>
    <w:rsid w:val="6B78289A"/>
    <w:rsid w:val="6B7BCA6F"/>
    <w:rsid w:val="6B7D94DA"/>
    <w:rsid w:val="6B889514"/>
    <w:rsid w:val="6B88E9E9"/>
    <w:rsid w:val="6B8A31FD"/>
    <w:rsid w:val="6B8E8337"/>
    <w:rsid w:val="6B954CC3"/>
    <w:rsid w:val="6B98AC05"/>
    <w:rsid w:val="6B99425A"/>
    <w:rsid w:val="6B9AE18A"/>
    <w:rsid w:val="6B9D612F"/>
    <w:rsid w:val="6B9DF106"/>
    <w:rsid w:val="6B9F9CA3"/>
    <w:rsid w:val="6B9FE610"/>
    <w:rsid w:val="6BA18469"/>
    <w:rsid w:val="6BAABAC4"/>
    <w:rsid w:val="6BABEF01"/>
    <w:rsid w:val="6BAD16F9"/>
    <w:rsid w:val="6BB15AC1"/>
    <w:rsid w:val="6BB533F2"/>
    <w:rsid w:val="6BBA8941"/>
    <w:rsid w:val="6BBABA13"/>
    <w:rsid w:val="6BBB80AD"/>
    <w:rsid w:val="6BBC0B41"/>
    <w:rsid w:val="6BBE5AE1"/>
    <w:rsid w:val="6BC12923"/>
    <w:rsid w:val="6BC12BFF"/>
    <w:rsid w:val="6BC371F6"/>
    <w:rsid w:val="6BC761FE"/>
    <w:rsid w:val="6BD0ADA5"/>
    <w:rsid w:val="6BD15736"/>
    <w:rsid w:val="6BD2E994"/>
    <w:rsid w:val="6BD2F7A4"/>
    <w:rsid w:val="6BD52798"/>
    <w:rsid w:val="6BD545BD"/>
    <w:rsid w:val="6BDB3C7F"/>
    <w:rsid w:val="6BDBC0FF"/>
    <w:rsid w:val="6BDFF2F5"/>
    <w:rsid w:val="6BE5C131"/>
    <w:rsid w:val="6BE9D255"/>
    <w:rsid w:val="6BECA025"/>
    <w:rsid w:val="6BEEF930"/>
    <w:rsid w:val="6BF1CC3F"/>
    <w:rsid w:val="6BF1E836"/>
    <w:rsid w:val="6BF6D06C"/>
    <w:rsid w:val="6BF7043E"/>
    <w:rsid w:val="6BFD4B2A"/>
    <w:rsid w:val="6C01770B"/>
    <w:rsid w:val="6C03EF2E"/>
    <w:rsid w:val="6C05F692"/>
    <w:rsid w:val="6C06C871"/>
    <w:rsid w:val="6C077D3C"/>
    <w:rsid w:val="6C07A327"/>
    <w:rsid w:val="6C0929FA"/>
    <w:rsid w:val="6C09391A"/>
    <w:rsid w:val="6C099D54"/>
    <w:rsid w:val="6C0D03E3"/>
    <w:rsid w:val="6C110F16"/>
    <w:rsid w:val="6C116433"/>
    <w:rsid w:val="6C165E76"/>
    <w:rsid w:val="6C18781E"/>
    <w:rsid w:val="6C19AC92"/>
    <w:rsid w:val="6C1CB958"/>
    <w:rsid w:val="6C1CDC7D"/>
    <w:rsid w:val="6C1DE950"/>
    <w:rsid w:val="6C1FA007"/>
    <w:rsid w:val="6C2013C8"/>
    <w:rsid w:val="6C218CAD"/>
    <w:rsid w:val="6C2304E2"/>
    <w:rsid w:val="6C235154"/>
    <w:rsid w:val="6C2747C2"/>
    <w:rsid w:val="6C2AA23C"/>
    <w:rsid w:val="6C2DFBB7"/>
    <w:rsid w:val="6C30ECA4"/>
    <w:rsid w:val="6C346BAD"/>
    <w:rsid w:val="6C3C4ADA"/>
    <w:rsid w:val="6C44DD4F"/>
    <w:rsid w:val="6C4704C3"/>
    <w:rsid w:val="6C47BBE1"/>
    <w:rsid w:val="6C575E0A"/>
    <w:rsid w:val="6C57BDEE"/>
    <w:rsid w:val="6C5BECCD"/>
    <w:rsid w:val="6C5E146D"/>
    <w:rsid w:val="6C5EE43D"/>
    <w:rsid w:val="6C60EF9A"/>
    <w:rsid w:val="6C612E8E"/>
    <w:rsid w:val="6C630974"/>
    <w:rsid w:val="6C65D3B2"/>
    <w:rsid w:val="6C6FF5FC"/>
    <w:rsid w:val="6C702F34"/>
    <w:rsid w:val="6C719456"/>
    <w:rsid w:val="6C7644D2"/>
    <w:rsid w:val="6C7F4BC1"/>
    <w:rsid w:val="6C80130B"/>
    <w:rsid w:val="6C801D4F"/>
    <w:rsid w:val="6C89B7F2"/>
    <w:rsid w:val="6C8E68A5"/>
    <w:rsid w:val="6C9AECD1"/>
    <w:rsid w:val="6CA2357D"/>
    <w:rsid w:val="6CA48872"/>
    <w:rsid w:val="6CA5ECA1"/>
    <w:rsid w:val="6CA66796"/>
    <w:rsid w:val="6CA9A3A0"/>
    <w:rsid w:val="6CACF27B"/>
    <w:rsid w:val="6CB6921B"/>
    <w:rsid w:val="6CB882BA"/>
    <w:rsid w:val="6CB8E0F5"/>
    <w:rsid w:val="6CBCA90C"/>
    <w:rsid w:val="6CC08948"/>
    <w:rsid w:val="6CC0E621"/>
    <w:rsid w:val="6CC25562"/>
    <w:rsid w:val="6CCA43E6"/>
    <w:rsid w:val="6CCA4818"/>
    <w:rsid w:val="6CCF68CB"/>
    <w:rsid w:val="6CD1AD37"/>
    <w:rsid w:val="6CD3E508"/>
    <w:rsid w:val="6CD8F52F"/>
    <w:rsid w:val="6CDAC3CC"/>
    <w:rsid w:val="6CDFB046"/>
    <w:rsid w:val="6CE3241B"/>
    <w:rsid w:val="6CE50F2A"/>
    <w:rsid w:val="6CE88CA8"/>
    <w:rsid w:val="6CEB39FC"/>
    <w:rsid w:val="6CEC59C6"/>
    <w:rsid w:val="6CEE2D04"/>
    <w:rsid w:val="6CF3BB13"/>
    <w:rsid w:val="6CF3C317"/>
    <w:rsid w:val="6CFDF276"/>
    <w:rsid w:val="6CFE2668"/>
    <w:rsid w:val="6CFF54FE"/>
    <w:rsid w:val="6D06B8CC"/>
    <w:rsid w:val="6D07A82A"/>
    <w:rsid w:val="6D0C476E"/>
    <w:rsid w:val="6D0F2D20"/>
    <w:rsid w:val="6D1266D9"/>
    <w:rsid w:val="6D154D08"/>
    <w:rsid w:val="6D1A8E4C"/>
    <w:rsid w:val="6D1C08B9"/>
    <w:rsid w:val="6D1FE445"/>
    <w:rsid w:val="6D229E9E"/>
    <w:rsid w:val="6D24E200"/>
    <w:rsid w:val="6D275489"/>
    <w:rsid w:val="6D2A94B5"/>
    <w:rsid w:val="6D2CA962"/>
    <w:rsid w:val="6D2E577D"/>
    <w:rsid w:val="6D31AED3"/>
    <w:rsid w:val="6D33A22C"/>
    <w:rsid w:val="6D3C1A4E"/>
    <w:rsid w:val="6D400EBE"/>
    <w:rsid w:val="6D489380"/>
    <w:rsid w:val="6D492F90"/>
    <w:rsid w:val="6D4F6B51"/>
    <w:rsid w:val="6D51FCF2"/>
    <w:rsid w:val="6D5311F5"/>
    <w:rsid w:val="6D566789"/>
    <w:rsid w:val="6D5B6EDF"/>
    <w:rsid w:val="6D5BB8EC"/>
    <w:rsid w:val="6D613073"/>
    <w:rsid w:val="6D62376B"/>
    <w:rsid w:val="6D62863D"/>
    <w:rsid w:val="6D65333A"/>
    <w:rsid w:val="6D6ACD60"/>
    <w:rsid w:val="6D6B8603"/>
    <w:rsid w:val="6D712BC4"/>
    <w:rsid w:val="6D71DDEF"/>
    <w:rsid w:val="6D75BA9F"/>
    <w:rsid w:val="6D78A817"/>
    <w:rsid w:val="6D7DA511"/>
    <w:rsid w:val="6D7F228B"/>
    <w:rsid w:val="6D7FDEA3"/>
    <w:rsid w:val="6D81EEB1"/>
    <w:rsid w:val="6D8725BA"/>
    <w:rsid w:val="6D88F767"/>
    <w:rsid w:val="6D927CAB"/>
    <w:rsid w:val="6D9A32F7"/>
    <w:rsid w:val="6D9A5632"/>
    <w:rsid w:val="6D9B7037"/>
    <w:rsid w:val="6D9FF521"/>
    <w:rsid w:val="6DA23802"/>
    <w:rsid w:val="6DA8FB45"/>
    <w:rsid w:val="6DA90B62"/>
    <w:rsid w:val="6DAE0CAC"/>
    <w:rsid w:val="6DB3C956"/>
    <w:rsid w:val="6DB6184F"/>
    <w:rsid w:val="6DB7FBAD"/>
    <w:rsid w:val="6DB83B43"/>
    <w:rsid w:val="6DBD0B33"/>
    <w:rsid w:val="6DC06110"/>
    <w:rsid w:val="6DC329EA"/>
    <w:rsid w:val="6DCC73E8"/>
    <w:rsid w:val="6DCE473B"/>
    <w:rsid w:val="6DCEF45A"/>
    <w:rsid w:val="6DD174B1"/>
    <w:rsid w:val="6DD3E88B"/>
    <w:rsid w:val="6DD4B2DA"/>
    <w:rsid w:val="6DD8C8A5"/>
    <w:rsid w:val="6DDA3F6D"/>
    <w:rsid w:val="6DDD9479"/>
    <w:rsid w:val="6DE055E1"/>
    <w:rsid w:val="6DE15D19"/>
    <w:rsid w:val="6DE38830"/>
    <w:rsid w:val="6DE7EB0E"/>
    <w:rsid w:val="6DECC387"/>
    <w:rsid w:val="6DF04B06"/>
    <w:rsid w:val="6DF6DB5F"/>
    <w:rsid w:val="6DF79EEE"/>
    <w:rsid w:val="6DF7A094"/>
    <w:rsid w:val="6DF93A3B"/>
    <w:rsid w:val="6DF9CCEB"/>
    <w:rsid w:val="6DFBE2C6"/>
    <w:rsid w:val="6E042A4F"/>
    <w:rsid w:val="6E073C68"/>
    <w:rsid w:val="6E08D71A"/>
    <w:rsid w:val="6E0A21B8"/>
    <w:rsid w:val="6E0D1278"/>
    <w:rsid w:val="6E1027FF"/>
    <w:rsid w:val="6E11EA25"/>
    <w:rsid w:val="6E1569DB"/>
    <w:rsid w:val="6E161EBD"/>
    <w:rsid w:val="6E19A8B3"/>
    <w:rsid w:val="6E1A0EAC"/>
    <w:rsid w:val="6E1EB515"/>
    <w:rsid w:val="6E1FEF8E"/>
    <w:rsid w:val="6E24058D"/>
    <w:rsid w:val="6E266ACF"/>
    <w:rsid w:val="6E293A52"/>
    <w:rsid w:val="6E2AD594"/>
    <w:rsid w:val="6E2DB3DD"/>
    <w:rsid w:val="6E2EC2DC"/>
    <w:rsid w:val="6E2F59F3"/>
    <w:rsid w:val="6E2F9773"/>
    <w:rsid w:val="6E309914"/>
    <w:rsid w:val="6E35D33F"/>
    <w:rsid w:val="6E38C6EC"/>
    <w:rsid w:val="6E38D8BC"/>
    <w:rsid w:val="6E3F3184"/>
    <w:rsid w:val="6E4085A8"/>
    <w:rsid w:val="6E459AE0"/>
    <w:rsid w:val="6E485FC2"/>
    <w:rsid w:val="6E48C202"/>
    <w:rsid w:val="6E4B8CAF"/>
    <w:rsid w:val="6E4FE726"/>
    <w:rsid w:val="6E565F11"/>
    <w:rsid w:val="6E5A17BA"/>
    <w:rsid w:val="6E61A341"/>
    <w:rsid w:val="6E6468A9"/>
    <w:rsid w:val="6E6544F3"/>
    <w:rsid w:val="6E674702"/>
    <w:rsid w:val="6E7189F8"/>
    <w:rsid w:val="6E757436"/>
    <w:rsid w:val="6E7626B2"/>
    <w:rsid w:val="6E783EF0"/>
    <w:rsid w:val="6E792BE9"/>
    <w:rsid w:val="6E7B24F6"/>
    <w:rsid w:val="6E7DA93B"/>
    <w:rsid w:val="6E7FCECB"/>
    <w:rsid w:val="6E7FFE81"/>
    <w:rsid w:val="6E832ED2"/>
    <w:rsid w:val="6E84BF2B"/>
    <w:rsid w:val="6E87C474"/>
    <w:rsid w:val="6E8DC511"/>
    <w:rsid w:val="6E8E2C81"/>
    <w:rsid w:val="6E908ABD"/>
    <w:rsid w:val="6E91A780"/>
    <w:rsid w:val="6E933E51"/>
    <w:rsid w:val="6E958D41"/>
    <w:rsid w:val="6E9591C6"/>
    <w:rsid w:val="6E96D640"/>
    <w:rsid w:val="6E97A30F"/>
    <w:rsid w:val="6E97A786"/>
    <w:rsid w:val="6E9942B7"/>
    <w:rsid w:val="6E9A86AD"/>
    <w:rsid w:val="6E9B3EE9"/>
    <w:rsid w:val="6EA1A369"/>
    <w:rsid w:val="6EA2D750"/>
    <w:rsid w:val="6EA4DACA"/>
    <w:rsid w:val="6EA63502"/>
    <w:rsid w:val="6EA773B8"/>
    <w:rsid w:val="6EAF439D"/>
    <w:rsid w:val="6EB118BD"/>
    <w:rsid w:val="6EB56774"/>
    <w:rsid w:val="6EB5EDB0"/>
    <w:rsid w:val="6EBB264F"/>
    <w:rsid w:val="6EC0F411"/>
    <w:rsid w:val="6EC828FD"/>
    <w:rsid w:val="6ECA1B2F"/>
    <w:rsid w:val="6ECB8889"/>
    <w:rsid w:val="6ECE063C"/>
    <w:rsid w:val="6ED1A8E0"/>
    <w:rsid w:val="6ED42083"/>
    <w:rsid w:val="6ED537B2"/>
    <w:rsid w:val="6ED7D099"/>
    <w:rsid w:val="6ED890F2"/>
    <w:rsid w:val="6EDC5488"/>
    <w:rsid w:val="6EDE2B05"/>
    <w:rsid w:val="6EE4DA00"/>
    <w:rsid w:val="6EE7CC0C"/>
    <w:rsid w:val="6EE85651"/>
    <w:rsid w:val="6EE93F8F"/>
    <w:rsid w:val="6EEFD013"/>
    <w:rsid w:val="6EF1AB33"/>
    <w:rsid w:val="6EF89840"/>
    <w:rsid w:val="6EF97D27"/>
    <w:rsid w:val="6EFC1271"/>
    <w:rsid w:val="6EFC97E3"/>
    <w:rsid w:val="6F007FB3"/>
    <w:rsid w:val="6F00A22D"/>
    <w:rsid w:val="6F041244"/>
    <w:rsid w:val="6F04AB2D"/>
    <w:rsid w:val="6F0DE90F"/>
    <w:rsid w:val="6F177F5F"/>
    <w:rsid w:val="6F1AB585"/>
    <w:rsid w:val="6F1D7C69"/>
    <w:rsid w:val="6F227172"/>
    <w:rsid w:val="6F232DD5"/>
    <w:rsid w:val="6F25C481"/>
    <w:rsid w:val="6F26DECB"/>
    <w:rsid w:val="6F28CD08"/>
    <w:rsid w:val="6F2990AB"/>
    <w:rsid w:val="6F2A4FE1"/>
    <w:rsid w:val="6F35CC13"/>
    <w:rsid w:val="6F37FE95"/>
    <w:rsid w:val="6F383DCC"/>
    <w:rsid w:val="6F3DDBAA"/>
    <w:rsid w:val="6F411A61"/>
    <w:rsid w:val="6F425D67"/>
    <w:rsid w:val="6F4AAE73"/>
    <w:rsid w:val="6F4EDD3D"/>
    <w:rsid w:val="6F54884E"/>
    <w:rsid w:val="6F555FFE"/>
    <w:rsid w:val="6F588543"/>
    <w:rsid w:val="6F5C55FC"/>
    <w:rsid w:val="6F5E1E6C"/>
    <w:rsid w:val="6F61C35F"/>
    <w:rsid w:val="6F638E3B"/>
    <w:rsid w:val="6F709EB3"/>
    <w:rsid w:val="6F738D30"/>
    <w:rsid w:val="6F781BCF"/>
    <w:rsid w:val="6F79B4C5"/>
    <w:rsid w:val="6F7B08E2"/>
    <w:rsid w:val="6F7B783C"/>
    <w:rsid w:val="6F7BDB42"/>
    <w:rsid w:val="6F815968"/>
    <w:rsid w:val="6F81DB64"/>
    <w:rsid w:val="6F8275DF"/>
    <w:rsid w:val="6F8469F0"/>
    <w:rsid w:val="6F89EB6A"/>
    <w:rsid w:val="6F8E3CC6"/>
    <w:rsid w:val="6F8F5EEF"/>
    <w:rsid w:val="6F90B835"/>
    <w:rsid w:val="6F92207F"/>
    <w:rsid w:val="6F94C601"/>
    <w:rsid w:val="6F9D0B99"/>
    <w:rsid w:val="6FA0C49C"/>
    <w:rsid w:val="6FA334DB"/>
    <w:rsid w:val="6FA54EA8"/>
    <w:rsid w:val="6FA6B8A8"/>
    <w:rsid w:val="6FA8ADE8"/>
    <w:rsid w:val="6FA90966"/>
    <w:rsid w:val="6FA95867"/>
    <w:rsid w:val="6FB1BE82"/>
    <w:rsid w:val="6FB2E0D2"/>
    <w:rsid w:val="6FB3B0EF"/>
    <w:rsid w:val="6FB6026C"/>
    <w:rsid w:val="6FB80DD5"/>
    <w:rsid w:val="6FB8BC0F"/>
    <w:rsid w:val="6FBBA9F8"/>
    <w:rsid w:val="6FBEEC83"/>
    <w:rsid w:val="6FC1D66F"/>
    <w:rsid w:val="6FC8A3B8"/>
    <w:rsid w:val="6FCB1BB0"/>
    <w:rsid w:val="6FCC5AE1"/>
    <w:rsid w:val="6FD2DCAF"/>
    <w:rsid w:val="6FD578F6"/>
    <w:rsid w:val="6FDEB8D5"/>
    <w:rsid w:val="6FE1C848"/>
    <w:rsid w:val="6FE268AF"/>
    <w:rsid w:val="6FE3E31B"/>
    <w:rsid w:val="6FE420C0"/>
    <w:rsid w:val="6FE98949"/>
    <w:rsid w:val="6FF04804"/>
    <w:rsid w:val="6FF13C41"/>
    <w:rsid w:val="6FFBDB8F"/>
    <w:rsid w:val="7002EC7D"/>
    <w:rsid w:val="7007A64D"/>
    <w:rsid w:val="700BE145"/>
    <w:rsid w:val="700D0FB0"/>
    <w:rsid w:val="700D8EBF"/>
    <w:rsid w:val="700FF6B9"/>
    <w:rsid w:val="70157690"/>
    <w:rsid w:val="7015D877"/>
    <w:rsid w:val="701F69AD"/>
    <w:rsid w:val="702070F8"/>
    <w:rsid w:val="702216BD"/>
    <w:rsid w:val="7027A6C9"/>
    <w:rsid w:val="7027C6F4"/>
    <w:rsid w:val="702F436F"/>
    <w:rsid w:val="703D5A41"/>
    <w:rsid w:val="7045DE54"/>
    <w:rsid w:val="704D446D"/>
    <w:rsid w:val="704F7108"/>
    <w:rsid w:val="7052F1E7"/>
    <w:rsid w:val="7052F75D"/>
    <w:rsid w:val="7055BA17"/>
    <w:rsid w:val="7055E033"/>
    <w:rsid w:val="705F33D9"/>
    <w:rsid w:val="7061C7DA"/>
    <w:rsid w:val="7061F1C1"/>
    <w:rsid w:val="70642850"/>
    <w:rsid w:val="70644E59"/>
    <w:rsid w:val="706D4A6A"/>
    <w:rsid w:val="706E0D4D"/>
    <w:rsid w:val="706E7B36"/>
    <w:rsid w:val="707109CF"/>
    <w:rsid w:val="7080A09A"/>
    <w:rsid w:val="7084DAFE"/>
    <w:rsid w:val="7085BE9E"/>
    <w:rsid w:val="708E02B2"/>
    <w:rsid w:val="70918C81"/>
    <w:rsid w:val="7094AC78"/>
    <w:rsid w:val="7096FAB3"/>
    <w:rsid w:val="709935A2"/>
    <w:rsid w:val="709A9F65"/>
    <w:rsid w:val="70A0D5CE"/>
    <w:rsid w:val="70A12023"/>
    <w:rsid w:val="70A262C1"/>
    <w:rsid w:val="70AB5AAF"/>
    <w:rsid w:val="70AC073A"/>
    <w:rsid w:val="70ADE5D9"/>
    <w:rsid w:val="70B03F1F"/>
    <w:rsid w:val="70B412F2"/>
    <w:rsid w:val="70BAA97E"/>
    <w:rsid w:val="70BB6994"/>
    <w:rsid w:val="70C364B8"/>
    <w:rsid w:val="70C650E4"/>
    <w:rsid w:val="70CF7A92"/>
    <w:rsid w:val="70D223C7"/>
    <w:rsid w:val="70D2768B"/>
    <w:rsid w:val="70D29735"/>
    <w:rsid w:val="70D80F8A"/>
    <w:rsid w:val="70D9592E"/>
    <w:rsid w:val="70DBA0A8"/>
    <w:rsid w:val="70DE885C"/>
    <w:rsid w:val="70E39047"/>
    <w:rsid w:val="70E3F52E"/>
    <w:rsid w:val="70E614BA"/>
    <w:rsid w:val="70E622A0"/>
    <w:rsid w:val="70E78A56"/>
    <w:rsid w:val="70E9FB1C"/>
    <w:rsid w:val="70EC060B"/>
    <w:rsid w:val="70ED3CA8"/>
    <w:rsid w:val="70F0E01B"/>
    <w:rsid w:val="70F8F151"/>
    <w:rsid w:val="70F9F97B"/>
    <w:rsid w:val="710209C8"/>
    <w:rsid w:val="7106C858"/>
    <w:rsid w:val="710A8327"/>
    <w:rsid w:val="710D063D"/>
    <w:rsid w:val="710D5C82"/>
    <w:rsid w:val="711004AD"/>
    <w:rsid w:val="71107694"/>
    <w:rsid w:val="711192F7"/>
    <w:rsid w:val="71156092"/>
    <w:rsid w:val="711BACD4"/>
    <w:rsid w:val="711CD911"/>
    <w:rsid w:val="7120BE32"/>
    <w:rsid w:val="7123415C"/>
    <w:rsid w:val="71283FFA"/>
    <w:rsid w:val="71298296"/>
    <w:rsid w:val="712A39D2"/>
    <w:rsid w:val="7132BBB3"/>
    <w:rsid w:val="713C7642"/>
    <w:rsid w:val="713E24F9"/>
    <w:rsid w:val="713ED361"/>
    <w:rsid w:val="713F1B83"/>
    <w:rsid w:val="71414B77"/>
    <w:rsid w:val="7141BA20"/>
    <w:rsid w:val="71447465"/>
    <w:rsid w:val="71447A71"/>
    <w:rsid w:val="714A7E6F"/>
    <w:rsid w:val="7151CAD8"/>
    <w:rsid w:val="7158D4C3"/>
    <w:rsid w:val="71597E13"/>
    <w:rsid w:val="715A5B29"/>
    <w:rsid w:val="715A6193"/>
    <w:rsid w:val="715A837B"/>
    <w:rsid w:val="715E2571"/>
    <w:rsid w:val="71674C0D"/>
    <w:rsid w:val="7169DA05"/>
    <w:rsid w:val="716BE8EE"/>
    <w:rsid w:val="716DC648"/>
    <w:rsid w:val="716F93A5"/>
    <w:rsid w:val="7170333B"/>
    <w:rsid w:val="71711045"/>
    <w:rsid w:val="7177BB1C"/>
    <w:rsid w:val="717B037F"/>
    <w:rsid w:val="717FAE08"/>
    <w:rsid w:val="7188D859"/>
    <w:rsid w:val="7189BF73"/>
    <w:rsid w:val="718D6DEC"/>
    <w:rsid w:val="718FD503"/>
    <w:rsid w:val="71904E59"/>
    <w:rsid w:val="71923133"/>
    <w:rsid w:val="71930B7B"/>
    <w:rsid w:val="719469F0"/>
    <w:rsid w:val="71947927"/>
    <w:rsid w:val="7196344E"/>
    <w:rsid w:val="719825B0"/>
    <w:rsid w:val="719AD596"/>
    <w:rsid w:val="719CB84F"/>
    <w:rsid w:val="71A4A5C0"/>
    <w:rsid w:val="71AA922D"/>
    <w:rsid w:val="71AEDE4B"/>
    <w:rsid w:val="71B2996E"/>
    <w:rsid w:val="71BDD6D2"/>
    <w:rsid w:val="71C0C370"/>
    <w:rsid w:val="71C16C0A"/>
    <w:rsid w:val="71C283EA"/>
    <w:rsid w:val="71C4FEBC"/>
    <w:rsid w:val="71CB3FFB"/>
    <w:rsid w:val="71CF7EB2"/>
    <w:rsid w:val="71CFA0BD"/>
    <w:rsid w:val="71D35037"/>
    <w:rsid w:val="71DD6840"/>
    <w:rsid w:val="71DE04DB"/>
    <w:rsid w:val="71DE13E2"/>
    <w:rsid w:val="71EBDAD0"/>
    <w:rsid w:val="71EEC0DE"/>
    <w:rsid w:val="71F120F6"/>
    <w:rsid w:val="71F1D778"/>
    <w:rsid w:val="71F36A3D"/>
    <w:rsid w:val="71F7A1F2"/>
    <w:rsid w:val="72017C6B"/>
    <w:rsid w:val="720326AD"/>
    <w:rsid w:val="7209589F"/>
    <w:rsid w:val="720959C2"/>
    <w:rsid w:val="72127A7D"/>
    <w:rsid w:val="7214F864"/>
    <w:rsid w:val="721D7C25"/>
    <w:rsid w:val="721F7669"/>
    <w:rsid w:val="72216984"/>
    <w:rsid w:val="722BE2DA"/>
    <w:rsid w:val="722EA5C6"/>
    <w:rsid w:val="72345CC0"/>
    <w:rsid w:val="7238CF72"/>
    <w:rsid w:val="7247AEFE"/>
    <w:rsid w:val="72492BCE"/>
    <w:rsid w:val="7249FF2F"/>
    <w:rsid w:val="724A0F87"/>
    <w:rsid w:val="725389E0"/>
    <w:rsid w:val="725B278D"/>
    <w:rsid w:val="725BB253"/>
    <w:rsid w:val="725E254D"/>
    <w:rsid w:val="7264CCC0"/>
    <w:rsid w:val="726E0724"/>
    <w:rsid w:val="726FDB12"/>
    <w:rsid w:val="727D2AC6"/>
    <w:rsid w:val="727D5913"/>
    <w:rsid w:val="727E9FB1"/>
    <w:rsid w:val="727F2B8E"/>
    <w:rsid w:val="72887AD0"/>
    <w:rsid w:val="7288E6BF"/>
    <w:rsid w:val="728A5919"/>
    <w:rsid w:val="728B6D6E"/>
    <w:rsid w:val="7295A5CD"/>
    <w:rsid w:val="72974A8D"/>
    <w:rsid w:val="729DBC33"/>
    <w:rsid w:val="72A11427"/>
    <w:rsid w:val="72B5CF42"/>
    <w:rsid w:val="72B76B44"/>
    <w:rsid w:val="72BDC965"/>
    <w:rsid w:val="72C0A8A3"/>
    <w:rsid w:val="72C5D0FA"/>
    <w:rsid w:val="72C91D26"/>
    <w:rsid w:val="72CAEC7C"/>
    <w:rsid w:val="72CBC9B2"/>
    <w:rsid w:val="72CD0E6B"/>
    <w:rsid w:val="72D19DF1"/>
    <w:rsid w:val="72D3872F"/>
    <w:rsid w:val="72D3B450"/>
    <w:rsid w:val="72DA1804"/>
    <w:rsid w:val="72EB6AAE"/>
    <w:rsid w:val="72EBAE09"/>
    <w:rsid w:val="72EF53AC"/>
    <w:rsid w:val="72EF57CD"/>
    <w:rsid w:val="72F14EAD"/>
    <w:rsid w:val="72F22479"/>
    <w:rsid w:val="72F3FE7F"/>
    <w:rsid w:val="72F574D4"/>
    <w:rsid w:val="72FAE369"/>
    <w:rsid w:val="72FC9A14"/>
    <w:rsid w:val="72FD99AD"/>
    <w:rsid w:val="7300D044"/>
    <w:rsid w:val="7303FCDC"/>
    <w:rsid w:val="7305826F"/>
    <w:rsid w:val="730595EA"/>
    <w:rsid w:val="73076B86"/>
    <w:rsid w:val="730F71F5"/>
    <w:rsid w:val="7310E78F"/>
    <w:rsid w:val="731A01CD"/>
    <w:rsid w:val="732B583B"/>
    <w:rsid w:val="732C291D"/>
    <w:rsid w:val="732CC640"/>
    <w:rsid w:val="732F09DA"/>
    <w:rsid w:val="732FC3F4"/>
    <w:rsid w:val="73354B9B"/>
    <w:rsid w:val="7335822F"/>
    <w:rsid w:val="7336608C"/>
    <w:rsid w:val="733A96B1"/>
    <w:rsid w:val="733B40CD"/>
    <w:rsid w:val="7346ABD3"/>
    <w:rsid w:val="7348513F"/>
    <w:rsid w:val="734CAFE7"/>
    <w:rsid w:val="734E3839"/>
    <w:rsid w:val="735049C6"/>
    <w:rsid w:val="735151E6"/>
    <w:rsid w:val="7356263B"/>
    <w:rsid w:val="7356B329"/>
    <w:rsid w:val="736158D3"/>
    <w:rsid w:val="7361D314"/>
    <w:rsid w:val="73637DBF"/>
    <w:rsid w:val="73668D05"/>
    <w:rsid w:val="736735CE"/>
    <w:rsid w:val="736E4C11"/>
    <w:rsid w:val="736EB71D"/>
    <w:rsid w:val="73765DBE"/>
    <w:rsid w:val="7378A1C4"/>
    <w:rsid w:val="73799AC4"/>
    <w:rsid w:val="7385EB50"/>
    <w:rsid w:val="73896BCF"/>
    <w:rsid w:val="738E0A01"/>
    <w:rsid w:val="73941628"/>
    <w:rsid w:val="739811AD"/>
    <w:rsid w:val="73991ED3"/>
    <w:rsid w:val="73A79C5A"/>
    <w:rsid w:val="73A95C8F"/>
    <w:rsid w:val="73A9B122"/>
    <w:rsid w:val="73AE8FB6"/>
    <w:rsid w:val="73AEDFF6"/>
    <w:rsid w:val="73AF4CDE"/>
    <w:rsid w:val="73B25BD6"/>
    <w:rsid w:val="73B701EB"/>
    <w:rsid w:val="73B7A330"/>
    <w:rsid w:val="73C104E6"/>
    <w:rsid w:val="73C38F5D"/>
    <w:rsid w:val="73CB4C80"/>
    <w:rsid w:val="73CB5900"/>
    <w:rsid w:val="73CEC1C3"/>
    <w:rsid w:val="73D8120C"/>
    <w:rsid w:val="73DF9B53"/>
    <w:rsid w:val="73E0670E"/>
    <w:rsid w:val="73E735E7"/>
    <w:rsid w:val="73E9800F"/>
    <w:rsid w:val="73EDA833"/>
    <w:rsid w:val="73EEDA31"/>
    <w:rsid w:val="73F2B496"/>
    <w:rsid w:val="73F3D655"/>
    <w:rsid w:val="73F6121B"/>
    <w:rsid w:val="73F6F6AF"/>
    <w:rsid w:val="73FACFFF"/>
    <w:rsid w:val="73FFDB96"/>
    <w:rsid w:val="7405B26C"/>
    <w:rsid w:val="7405B4C2"/>
    <w:rsid w:val="7406D599"/>
    <w:rsid w:val="74113B9D"/>
    <w:rsid w:val="7412741C"/>
    <w:rsid w:val="7412B7F7"/>
    <w:rsid w:val="74136258"/>
    <w:rsid w:val="74183322"/>
    <w:rsid w:val="7418B953"/>
    <w:rsid w:val="741CD52C"/>
    <w:rsid w:val="7423641A"/>
    <w:rsid w:val="74266300"/>
    <w:rsid w:val="7427E098"/>
    <w:rsid w:val="743058CA"/>
    <w:rsid w:val="7432433F"/>
    <w:rsid w:val="7432E2C0"/>
    <w:rsid w:val="743A559F"/>
    <w:rsid w:val="743ADA40"/>
    <w:rsid w:val="743BC056"/>
    <w:rsid w:val="743C4E80"/>
    <w:rsid w:val="7446A828"/>
    <w:rsid w:val="7448B1DD"/>
    <w:rsid w:val="744E9D41"/>
    <w:rsid w:val="745072F8"/>
    <w:rsid w:val="74515EFE"/>
    <w:rsid w:val="745235AF"/>
    <w:rsid w:val="7455F820"/>
    <w:rsid w:val="7456AC36"/>
    <w:rsid w:val="7457478A"/>
    <w:rsid w:val="745904D2"/>
    <w:rsid w:val="745C0102"/>
    <w:rsid w:val="745C2566"/>
    <w:rsid w:val="7461695A"/>
    <w:rsid w:val="74637A8E"/>
    <w:rsid w:val="7466B397"/>
    <w:rsid w:val="7469631D"/>
    <w:rsid w:val="746B0863"/>
    <w:rsid w:val="746C72F0"/>
    <w:rsid w:val="74721B37"/>
    <w:rsid w:val="74749056"/>
    <w:rsid w:val="7474DDE9"/>
    <w:rsid w:val="747821FB"/>
    <w:rsid w:val="747CA8A0"/>
    <w:rsid w:val="747FF5A6"/>
    <w:rsid w:val="74847FA0"/>
    <w:rsid w:val="74955CAA"/>
    <w:rsid w:val="749C4BAF"/>
    <w:rsid w:val="749EA2BC"/>
    <w:rsid w:val="749F4AFA"/>
    <w:rsid w:val="74A9D31C"/>
    <w:rsid w:val="74ADCBF4"/>
    <w:rsid w:val="74ADF5F5"/>
    <w:rsid w:val="74B28736"/>
    <w:rsid w:val="74B8CEC7"/>
    <w:rsid w:val="74BA687E"/>
    <w:rsid w:val="74BE1005"/>
    <w:rsid w:val="74C136F7"/>
    <w:rsid w:val="74C4F620"/>
    <w:rsid w:val="74C93EFB"/>
    <w:rsid w:val="74C948F1"/>
    <w:rsid w:val="74CAEE79"/>
    <w:rsid w:val="74CDBA8E"/>
    <w:rsid w:val="74CF1F3A"/>
    <w:rsid w:val="74CF95AA"/>
    <w:rsid w:val="74D3F6C4"/>
    <w:rsid w:val="74DB59C8"/>
    <w:rsid w:val="74E0A305"/>
    <w:rsid w:val="74E1EB7E"/>
    <w:rsid w:val="74EA2470"/>
    <w:rsid w:val="74EB35E6"/>
    <w:rsid w:val="74F02D47"/>
    <w:rsid w:val="74F3617D"/>
    <w:rsid w:val="74F3E490"/>
    <w:rsid w:val="74F5004A"/>
    <w:rsid w:val="74F6A1C6"/>
    <w:rsid w:val="74F762AD"/>
    <w:rsid w:val="74F95458"/>
    <w:rsid w:val="74FC5292"/>
    <w:rsid w:val="74FC673B"/>
    <w:rsid w:val="7500243B"/>
    <w:rsid w:val="7505208B"/>
    <w:rsid w:val="75074014"/>
    <w:rsid w:val="750D9BFE"/>
    <w:rsid w:val="751295E9"/>
    <w:rsid w:val="7512E45F"/>
    <w:rsid w:val="7515197B"/>
    <w:rsid w:val="75156352"/>
    <w:rsid w:val="7515DB38"/>
    <w:rsid w:val="751E495B"/>
    <w:rsid w:val="75206BF6"/>
    <w:rsid w:val="7522840B"/>
    <w:rsid w:val="7529D608"/>
    <w:rsid w:val="75314D86"/>
    <w:rsid w:val="7531810D"/>
    <w:rsid w:val="753533EA"/>
    <w:rsid w:val="753E4062"/>
    <w:rsid w:val="75445610"/>
    <w:rsid w:val="7544ED67"/>
    <w:rsid w:val="75493748"/>
    <w:rsid w:val="754B405A"/>
    <w:rsid w:val="754D2D79"/>
    <w:rsid w:val="7552F0B5"/>
    <w:rsid w:val="7555A157"/>
    <w:rsid w:val="755D99BA"/>
    <w:rsid w:val="7561995C"/>
    <w:rsid w:val="7563284F"/>
    <w:rsid w:val="756445B1"/>
    <w:rsid w:val="75661819"/>
    <w:rsid w:val="756751E1"/>
    <w:rsid w:val="756933E6"/>
    <w:rsid w:val="7569C272"/>
    <w:rsid w:val="756A6B9C"/>
    <w:rsid w:val="756E02E1"/>
    <w:rsid w:val="75700FEF"/>
    <w:rsid w:val="7570D8DE"/>
    <w:rsid w:val="75742279"/>
    <w:rsid w:val="757E1D20"/>
    <w:rsid w:val="75819B86"/>
    <w:rsid w:val="7588279B"/>
    <w:rsid w:val="75892AFC"/>
    <w:rsid w:val="7589DE90"/>
    <w:rsid w:val="75928869"/>
    <w:rsid w:val="75929A1D"/>
    <w:rsid w:val="75973D9A"/>
    <w:rsid w:val="75A118FE"/>
    <w:rsid w:val="75A52427"/>
    <w:rsid w:val="75A9A28E"/>
    <w:rsid w:val="75AA9E84"/>
    <w:rsid w:val="75AFB74E"/>
    <w:rsid w:val="75B12412"/>
    <w:rsid w:val="75B5B046"/>
    <w:rsid w:val="75B60BA2"/>
    <w:rsid w:val="75B7E9AD"/>
    <w:rsid w:val="75BA42A6"/>
    <w:rsid w:val="75BE886D"/>
    <w:rsid w:val="75C9AACD"/>
    <w:rsid w:val="75D9D90B"/>
    <w:rsid w:val="75DACD10"/>
    <w:rsid w:val="75DD5086"/>
    <w:rsid w:val="75E02073"/>
    <w:rsid w:val="75E635FD"/>
    <w:rsid w:val="75E7B0B9"/>
    <w:rsid w:val="75E8AB3C"/>
    <w:rsid w:val="75ED8C93"/>
    <w:rsid w:val="75EE86F0"/>
    <w:rsid w:val="75F5785C"/>
    <w:rsid w:val="75F7E38D"/>
    <w:rsid w:val="75F9EA0D"/>
    <w:rsid w:val="75FADC72"/>
    <w:rsid w:val="75FBACCA"/>
    <w:rsid w:val="75FC34A6"/>
    <w:rsid w:val="75FE1798"/>
    <w:rsid w:val="76011E14"/>
    <w:rsid w:val="76150DB1"/>
    <w:rsid w:val="7616E17A"/>
    <w:rsid w:val="762150E5"/>
    <w:rsid w:val="76224EC1"/>
    <w:rsid w:val="76273366"/>
    <w:rsid w:val="762BD4BB"/>
    <w:rsid w:val="762EDDEC"/>
    <w:rsid w:val="762F9500"/>
    <w:rsid w:val="76304E6E"/>
    <w:rsid w:val="763179DE"/>
    <w:rsid w:val="763983F0"/>
    <w:rsid w:val="763CE9C5"/>
    <w:rsid w:val="7640846B"/>
    <w:rsid w:val="7640C88C"/>
    <w:rsid w:val="76456BBC"/>
    <w:rsid w:val="764F0523"/>
    <w:rsid w:val="7650148A"/>
    <w:rsid w:val="76512F80"/>
    <w:rsid w:val="76529C68"/>
    <w:rsid w:val="76566758"/>
    <w:rsid w:val="765FC3FE"/>
    <w:rsid w:val="7660F24B"/>
    <w:rsid w:val="76667DE9"/>
    <w:rsid w:val="7667D2B2"/>
    <w:rsid w:val="7667FFA4"/>
    <w:rsid w:val="7669F95F"/>
    <w:rsid w:val="766AC9AF"/>
    <w:rsid w:val="766BFC7A"/>
    <w:rsid w:val="766C073F"/>
    <w:rsid w:val="766F3CCE"/>
    <w:rsid w:val="766F65BA"/>
    <w:rsid w:val="7673FA74"/>
    <w:rsid w:val="7675C68E"/>
    <w:rsid w:val="7678ADA6"/>
    <w:rsid w:val="767B149C"/>
    <w:rsid w:val="76841393"/>
    <w:rsid w:val="7687B3FE"/>
    <w:rsid w:val="76899BE0"/>
    <w:rsid w:val="768B2F25"/>
    <w:rsid w:val="76913AA9"/>
    <w:rsid w:val="76935E77"/>
    <w:rsid w:val="769CEDA8"/>
    <w:rsid w:val="769E0B36"/>
    <w:rsid w:val="76A0DE2B"/>
    <w:rsid w:val="76B1DF82"/>
    <w:rsid w:val="76B322DC"/>
    <w:rsid w:val="76B49492"/>
    <w:rsid w:val="76B5B08A"/>
    <w:rsid w:val="76B78266"/>
    <w:rsid w:val="76B8D704"/>
    <w:rsid w:val="76B97F3F"/>
    <w:rsid w:val="76BAA109"/>
    <w:rsid w:val="76BF7661"/>
    <w:rsid w:val="76C40D5C"/>
    <w:rsid w:val="76C49ECA"/>
    <w:rsid w:val="76C704A6"/>
    <w:rsid w:val="76CE72F5"/>
    <w:rsid w:val="76CF2CA9"/>
    <w:rsid w:val="76D39205"/>
    <w:rsid w:val="76D407F4"/>
    <w:rsid w:val="76D9EC6F"/>
    <w:rsid w:val="76DC7CD3"/>
    <w:rsid w:val="76DCD770"/>
    <w:rsid w:val="76DD44E8"/>
    <w:rsid w:val="76E4366D"/>
    <w:rsid w:val="76EA7835"/>
    <w:rsid w:val="76EF01B3"/>
    <w:rsid w:val="76F98887"/>
    <w:rsid w:val="76FB7D3C"/>
    <w:rsid w:val="76FF82D8"/>
    <w:rsid w:val="77014A09"/>
    <w:rsid w:val="7703B897"/>
    <w:rsid w:val="77085C8A"/>
    <w:rsid w:val="770964B5"/>
    <w:rsid w:val="770C1A3B"/>
    <w:rsid w:val="770CA42B"/>
    <w:rsid w:val="77110651"/>
    <w:rsid w:val="771108E0"/>
    <w:rsid w:val="7713534F"/>
    <w:rsid w:val="7714CAD8"/>
    <w:rsid w:val="77188FF1"/>
    <w:rsid w:val="7718EBCB"/>
    <w:rsid w:val="77219F51"/>
    <w:rsid w:val="7722A9BB"/>
    <w:rsid w:val="7722B5C7"/>
    <w:rsid w:val="77241682"/>
    <w:rsid w:val="772442DB"/>
    <w:rsid w:val="7730F52B"/>
    <w:rsid w:val="77312120"/>
    <w:rsid w:val="7732AD5A"/>
    <w:rsid w:val="77333C2D"/>
    <w:rsid w:val="773903DF"/>
    <w:rsid w:val="773BBA81"/>
    <w:rsid w:val="773DB6B0"/>
    <w:rsid w:val="773E58EF"/>
    <w:rsid w:val="7740670A"/>
    <w:rsid w:val="7741934D"/>
    <w:rsid w:val="7742D951"/>
    <w:rsid w:val="77462ED4"/>
    <w:rsid w:val="77473031"/>
    <w:rsid w:val="77473BC1"/>
    <w:rsid w:val="7748A79F"/>
    <w:rsid w:val="774CEE6E"/>
    <w:rsid w:val="77514CA2"/>
    <w:rsid w:val="775328ED"/>
    <w:rsid w:val="77564CC7"/>
    <w:rsid w:val="77617328"/>
    <w:rsid w:val="77618307"/>
    <w:rsid w:val="776437B4"/>
    <w:rsid w:val="7764E664"/>
    <w:rsid w:val="77678E4E"/>
    <w:rsid w:val="7769A007"/>
    <w:rsid w:val="7769E934"/>
    <w:rsid w:val="776A9BAA"/>
    <w:rsid w:val="777041E4"/>
    <w:rsid w:val="7771306D"/>
    <w:rsid w:val="77746C9D"/>
    <w:rsid w:val="7777DBC9"/>
    <w:rsid w:val="777BDB0D"/>
    <w:rsid w:val="777D344D"/>
    <w:rsid w:val="777DF320"/>
    <w:rsid w:val="7781AE98"/>
    <w:rsid w:val="7787FD9A"/>
    <w:rsid w:val="778FBD48"/>
    <w:rsid w:val="7795D6DF"/>
    <w:rsid w:val="7795DC82"/>
    <w:rsid w:val="7796E810"/>
    <w:rsid w:val="779DB99F"/>
    <w:rsid w:val="77A08478"/>
    <w:rsid w:val="77A2C566"/>
    <w:rsid w:val="77A30DE7"/>
    <w:rsid w:val="77A54C72"/>
    <w:rsid w:val="77A60D6D"/>
    <w:rsid w:val="77AAD7EF"/>
    <w:rsid w:val="77AAF1B2"/>
    <w:rsid w:val="77AF4012"/>
    <w:rsid w:val="77B5E6E6"/>
    <w:rsid w:val="77BC33C7"/>
    <w:rsid w:val="77C0112C"/>
    <w:rsid w:val="77C0A899"/>
    <w:rsid w:val="77C26E18"/>
    <w:rsid w:val="77C2FC06"/>
    <w:rsid w:val="77C7C479"/>
    <w:rsid w:val="77CE8EEF"/>
    <w:rsid w:val="77D0FF22"/>
    <w:rsid w:val="77D75595"/>
    <w:rsid w:val="77DACCD0"/>
    <w:rsid w:val="77DE2965"/>
    <w:rsid w:val="77DFBDE3"/>
    <w:rsid w:val="77DFD8FB"/>
    <w:rsid w:val="77E4F337"/>
    <w:rsid w:val="77E59FC4"/>
    <w:rsid w:val="77EB2DE9"/>
    <w:rsid w:val="77EE2732"/>
    <w:rsid w:val="77EF999E"/>
    <w:rsid w:val="77F15E05"/>
    <w:rsid w:val="77F16325"/>
    <w:rsid w:val="77F2766C"/>
    <w:rsid w:val="77F2D425"/>
    <w:rsid w:val="77F4E39C"/>
    <w:rsid w:val="77F5F017"/>
    <w:rsid w:val="77FAC257"/>
    <w:rsid w:val="77FACE21"/>
    <w:rsid w:val="77FB9497"/>
    <w:rsid w:val="77FE6292"/>
    <w:rsid w:val="780718C1"/>
    <w:rsid w:val="780BC1D0"/>
    <w:rsid w:val="7810CA0D"/>
    <w:rsid w:val="7810DE69"/>
    <w:rsid w:val="781457DC"/>
    <w:rsid w:val="781731D9"/>
    <w:rsid w:val="78189A5A"/>
    <w:rsid w:val="7818C850"/>
    <w:rsid w:val="7824CD6A"/>
    <w:rsid w:val="7826CB72"/>
    <w:rsid w:val="782BE64D"/>
    <w:rsid w:val="782E07DD"/>
    <w:rsid w:val="7830657F"/>
    <w:rsid w:val="78395878"/>
    <w:rsid w:val="78424B34"/>
    <w:rsid w:val="7843DBD9"/>
    <w:rsid w:val="7847BAB4"/>
    <w:rsid w:val="7847E50F"/>
    <w:rsid w:val="784A8DB3"/>
    <w:rsid w:val="784B3988"/>
    <w:rsid w:val="784EA7E1"/>
    <w:rsid w:val="784EB71B"/>
    <w:rsid w:val="7850C8C6"/>
    <w:rsid w:val="7853C039"/>
    <w:rsid w:val="785EBF93"/>
    <w:rsid w:val="7860FA6B"/>
    <w:rsid w:val="786CDC86"/>
    <w:rsid w:val="786F389C"/>
    <w:rsid w:val="7870B0EB"/>
    <w:rsid w:val="78722EAB"/>
    <w:rsid w:val="787244E9"/>
    <w:rsid w:val="7876FEDA"/>
    <w:rsid w:val="787E4838"/>
    <w:rsid w:val="788104EE"/>
    <w:rsid w:val="7885FC46"/>
    <w:rsid w:val="788872FF"/>
    <w:rsid w:val="78894EA5"/>
    <w:rsid w:val="788955FE"/>
    <w:rsid w:val="788D7177"/>
    <w:rsid w:val="788E4EA8"/>
    <w:rsid w:val="788EEEA0"/>
    <w:rsid w:val="7890E1E0"/>
    <w:rsid w:val="7890E4AF"/>
    <w:rsid w:val="78911421"/>
    <w:rsid w:val="78916522"/>
    <w:rsid w:val="789765D1"/>
    <w:rsid w:val="789875E7"/>
    <w:rsid w:val="789A90F8"/>
    <w:rsid w:val="789D5634"/>
    <w:rsid w:val="78A1C5BA"/>
    <w:rsid w:val="78A50AE7"/>
    <w:rsid w:val="78A67D98"/>
    <w:rsid w:val="78AE225E"/>
    <w:rsid w:val="78AF6274"/>
    <w:rsid w:val="78B3C0F3"/>
    <w:rsid w:val="78BCB4F2"/>
    <w:rsid w:val="78BED451"/>
    <w:rsid w:val="78BEE215"/>
    <w:rsid w:val="78BFBBE5"/>
    <w:rsid w:val="78BFEBDA"/>
    <w:rsid w:val="78C00520"/>
    <w:rsid w:val="78C06983"/>
    <w:rsid w:val="78C55CCE"/>
    <w:rsid w:val="78CB4829"/>
    <w:rsid w:val="78CBF4EF"/>
    <w:rsid w:val="78D2D2A0"/>
    <w:rsid w:val="78D6F1B2"/>
    <w:rsid w:val="78DC076F"/>
    <w:rsid w:val="78E17A06"/>
    <w:rsid w:val="78E1F2BE"/>
    <w:rsid w:val="78E42B18"/>
    <w:rsid w:val="78E4EE1A"/>
    <w:rsid w:val="78ED6538"/>
    <w:rsid w:val="78ED8536"/>
    <w:rsid w:val="78EE2913"/>
    <w:rsid w:val="78EF64FA"/>
    <w:rsid w:val="78F46510"/>
    <w:rsid w:val="78F57453"/>
    <w:rsid w:val="78F8CECA"/>
    <w:rsid w:val="78FCE52C"/>
    <w:rsid w:val="78FE799D"/>
    <w:rsid w:val="79031E15"/>
    <w:rsid w:val="7905BEF8"/>
    <w:rsid w:val="790AAB37"/>
    <w:rsid w:val="790CE8E1"/>
    <w:rsid w:val="79193E0C"/>
    <w:rsid w:val="791F8A1E"/>
    <w:rsid w:val="792AC1A5"/>
    <w:rsid w:val="792F9B46"/>
    <w:rsid w:val="792FA263"/>
    <w:rsid w:val="7930E68C"/>
    <w:rsid w:val="7935CA59"/>
    <w:rsid w:val="79375A24"/>
    <w:rsid w:val="793970C2"/>
    <w:rsid w:val="793A135C"/>
    <w:rsid w:val="793B2056"/>
    <w:rsid w:val="7942CC09"/>
    <w:rsid w:val="7944354B"/>
    <w:rsid w:val="79468B62"/>
    <w:rsid w:val="794B3039"/>
    <w:rsid w:val="7951E374"/>
    <w:rsid w:val="795278F8"/>
    <w:rsid w:val="79586EB2"/>
    <w:rsid w:val="7959528B"/>
    <w:rsid w:val="795AE239"/>
    <w:rsid w:val="795F6091"/>
    <w:rsid w:val="7963AA38"/>
    <w:rsid w:val="7964885D"/>
    <w:rsid w:val="7964EAFF"/>
    <w:rsid w:val="7965EBD9"/>
    <w:rsid w:val="79666829"/>
    <w:rsid w:val="7969B13D"/>
    <w:rsid w:val="796A871F"/>
    <w:rsid w:val="796BE17F"/>
    <w:rsid w:val="796C0ABA"/>
    <w:rsid w:val="7973E661"/>
    <w:rsid w:val="79783787"/>
    <w:rsid w:val="7979413B"/>
    <w:rsid w:val="797D7CF5"/>
    <w:rsid w:val="79844EED"/>
    <w:rsid w:val="79860976"/>
    <w:rsid w:val="79878EF4"/>
    <w:rsid w:val="798BB69E"/>
    <w:rsid w:val="798C0B72"/>
    <w:rsid w:val="798D20FF"/>
    <w:rsid w:val="79911C95"/>
    <w:rsid w:val="79966594"/>
    <w:rsid w:val="799E33D3"/>
    <w:rsid w:val="79A25761"/>
    <w:rsid w:val="79A26863"/>
    <w:rsid w:val="79A3C115"/>
    <w:rsid w:val="79A7438C"/>
    <w:rsid w:val="79A8293F"/>
    <w:rsid w:val="79A8BE7D"/>
    <w:rsid w:val="79AB02BD"/>
    <w:rsid w:val="79ACC8AA"/>
    <w:rsid w:val="79AF9AED"/>
    <w:rsid w:val="79B16603"/>
    <w:rsid w:val="79B6CD65"/>
    <w:rsid w:val="79B77274"/>
    <w:rsid w:val="79B9A2F1"/>
    <w:rsid w:val="79B9FBF9"/>
    <w:rsid w:val="79BBF06E"/>
    <w:rsid w:val="79BD2792"/>
    <w:rsid w:val="79BE63E3"/>
    <w:rsid w:val="79BFA3FC"/>
    <w:rsid w:val="79C0B315"/>
    <w:rsid w:val="79C1B137"/>
    <w:rsid w:val="79C29146"/>
    <w:rsid w:val="79C31A2B"/>
    <w:rsid w:val="79C4A5BC"/>
    <w:rsid w:val="79C5F7D9"/>
    <w:rsid w:val="79C79861"/>
    <w:rsid w:val="79C79CE5"/>
    <w:rsid w:val="79D22B50"/>
    <w:rsid w:val="79D3A759"/>
    <w:rsid w:val="79DC9429"/>
    <w:rsid w:val="79DF7851"/>
    <w:rsid w:val="79E693B3"/>
    <w:rsid w:val="79E813B6"/>
    <w:rsid w:val="79EB9FD2"/>
    <w:rsid w:val="79EF8582"/>
    <w:rsid w:val="79F53743"/>
    <w:rsid w:val="79F6720C"/>
    <w:rsid w:val="79F6FAC5"/>
    <w:rsid w:val="79FC01AE"/>
    <w:rsid w:val="79FC39A1"/>
    <w:rsid w:val="7A0003B4"/>
    <w:rsid w:val="7A0284B5"/>
    <w:rsid w:val="7A0494E0"/>
    <w:rsid w:val="7A0865FB"/>
    <w:rsid w:val="7A0EDABF"/>
    <w:rsid w:val="7A165CC1"/>
    <w:rsid w:val="7A1BEC48"/>
    <w:rsid w:val="7A1F61F6"/>
    <w:rsid w:val="7A208E23"/>
    <w:rsid w:val="7A230025"/>
    <w:rsid w:val="7A2A732B"/>
    <w:rsid w:val="7A2D3456"/>
    <w:rsid w:val="7A2F7409"/>
    <w:rsid w:val="7A3556BE"/>
    <w:rsid w:val="7A358160"/>
    <w:rsid w:val="7A3C42B7"/>
    <w:rsid w:val="7A4139A5"/>
    <w:rsid w:val="7A4484DE"/>
    <w:rsid w:val="7A44A1BC"/>
    <w:rsid w:val="7A44CB96"/>
    <w:rsid w:val="7A474D70"/>
    <w:rsid w:val="7A47B537"/>
    <w:rsid w:val="7A4BDEEC"/>
    <w:rsid w:val="7A50871A"/>
    <w:rsid w:val="7A53BFE1"/>
    <w:rsid w:val="7A584171"/>
    <w:rsid w:val="7A5998A7"/>
    <w:rsid w:val="7A5B237E"/>
    <w:rsid w:val="7A60B753"/>
    <w:rsid w:val="7A67569E"/>
    <w:rsid w:val="7A6A5C38"/>
    <w:rsid w:val="7A6D7E05"/>
    <w:rsid w:val="7A708039"/>
    <w:rsid w:val="7A7920D8"/>
    <w:rsid w:val="7A79FAC3"/>
    <w:rsid w:val="7A7D944F"/>
    <w:rsid w:val="7A8010F0"/>
    <w:rsid w:val="7A8108FA"/>
    <w:rsid w:val="7A82459E"/>
    <w:rsid w:val="7A875B61"/>
    <w:rsid w:val="7A8765EC"/>
    <w:rsid w:val="7A887B37"/>
    <w:rsid w:val="7A896906"/>
    <w:rsid w:val="7A943692"/>
    <w:rsid w:val="7AA35B69"/>
    <w:rsid w:val="7AA3C6E8"/>
    <w:rsid w:val="7AA569D4"/>
    <w:rsid w:val="7AA6B168"/>
    <w:rsid w:val="7AACCCF2"/>
    <w:rsid w:val="7AADADFF"/>
    <w:rsid w:val="7AB1B4DF"/>
    <w:rsid w:val="7AB2EBA1"/>
    <w:rsid w:val="7AB4284C"/>
    <w:rsid w:val="7AB55B17"/>
    <w:rsid w:val="7ABA9142"/>
    <w:rsid w:val="7ABC7FB7"/>
    <w:rsid w:val="7ACA7F39"/>
    <w:rsid w:val="7ACDD0AA"/>
    <w:rsid w:val="7AD14E4D"/>
    <w:rsid w:val="7AD48F44"/>
    <w:rsid w:val="7AD62277"/>
    <w:rsid w:val="7AD85661"/>
    <w:rsid w:val="7ADCF272"/>
    <w:rsid w:val="7ADF19FB"/>
    <w:rsid w:val="7AE5F751"/>
    <w:rsid w:val="7AE953DE"/>
    <w:rsid w:val="7AEA1C1B"/>
    <w:rsid w:val="7AF36903"/>
    <w:rsid w:val="7AF83001"/>
    <w:rsid w:val="7AF90CAB"/>
    <w:rsid w:val="7AFB0905"/>
    <w:rsid w:val="7AFC6D5B"/>
    <w:rsid w:val="7AFD533D"/>
    <w:rsid w:val="7AFF97F1"/>
    <w:rsid w:val="7AFFB29A"/>
    <w:rsid w:val="7B04BFAD"/>
    <w:rsid w:val="7B04F9C8"/>
    <w:rsid w:val="7B063570"/>
    <w:rsid w:val="7B070056"/>
    <w:rsid w:val="7B0E63FA"/>
    <w:rsid w:val="7B1A259C"/>
    <w:rsid w:val="7B1AB1E6"/>
    <w:rsid w:val="7B20926D"/>
    <w:rsid w:val="7B239E4B"/>
    <w:rsid w:val="7B25CAE9"/>
    <w:rsid w:val="7B29E71F"/>
    <w:rsid w:val="7B2BC280"/>
    <w:rsid w:val="7B2E19AE"/>
    <w:rsid w:val="7B35AF63"/>
    <w:rsid w:val="7B3975C9"/>
    <w:rsid w:val="7B3CB5DC"/>
    <w:rsid w:val="7B3E2DEE"/>
    <w:rsid w:val="7B3F338B"/>
    <w:rsid w:val="7B410DD2"/>
    <w:rsid w:val="7B43A5F5"/>
    <w:rsid w:val="7B44A800"/>
    <w:rsid w:val="7B468368"/>
    <w:rsid w:val="7B4CD99B"/>
    <w:rsid w:val="7B535216"/>
    <w:rsid w:val="7B5E125A"/>
    <w:rsid w:val="7B62D049"/>
    <w:rsid w:val="7B64B58C"/>
    <w:rsid w:val="7B6AE4F3"/>
    <w:rsid w:val="7B6BD0E5"/>
    <w:rsid w:val="7B6FF03B"/>
    <w:rsid w:val="7B70725F"/>
    <w:rsid w:val="7B708BD9"/>
    <w:rsid w:val="7B750D35"/>
    <w:rsid w:val="7B7766B8"/>
    <w:rsid w:val="7B7B912B"/>
    <w:rsid w:val="7B7FF561"/>
    <w:rsid w:val="7B8075DB"/>
    <w:rsid w:val="7B8281E1"/>
    <w:rsid w:val="7B82B29C"/>
    <w:rsid w:val="7B84FF92"/>
    <w:rsid w:val="7B85D44A"/>
    <w:rsid w:val="7B8BDC76"/>
    <w:rsid w:val="7B8CB344"/>
    <w:rsid w:val="7B8D9675"/>
    <w:rsid w:val="7B8DCEE5"/>
    <w:rsid w:val="7B8DEDDB"/>
    <w:rsid w:val="7B917FE6"/>
    <w:rsid w:val="7B91E089"/>
    <w:rsid w:val="7B94A271"/>
    <w:rsid w:val="7B98A8C6"/>
    <w:rsid w:val="7B98BDAD"/>
    <w:rsid w:val="7B9C5CFD"/>
    <w:rsid w:val="7B9CF1CA"/>
    <w:rsid w:val="7BA0CA50"/>
    <w:rsid w:val="7BAA2F91"/>
    <w:rsid w:val="7BAE08B2"/>
    <w:rsid w:val="7BB1781F"/>
    <w:rsid w:val="7BB20567"/>
    <w:rsid w:val="7BB42B6D"/>
    <w:rsid w:val="7BB7EBF3"/>
    <w:rsid w:val="7BBB9000"/>
    <w:rsid w:val="7BBD541A"/>
    <w:rsid w:val="7BC6976D"/>
    <w:rsid w:val="7BC71768"/>
    <w:rsid w:val="7BCBBC20"/>
    <w:rsid w:val="7BCD82ED"/>
    <w:rsid w:val="7BCE0407"/>
    <w:rsid w:val="7BCE09CB"/>
    <w:rsid w:val="7BD51B20"/>
    <w:rsid w:val="7BD5DF82"/>
    <w:rsid w:val="7BD68C98"/>
    <w:rsid w:val="7BE09828"/>
    <w:rsid w:val="7BE2A185"/>
    <w:rsid w:val="7BE7DA24"/>
    <w:rsid w:val="7BEB5CB6"/>
    <w:rsid w:val="7BEC8BD1"/>
    <w:rsid w:val="7BECAE29"/>
    <w:rsid w:val="7BEDB7D8"/>
    <w:rsid w:val="7BF2012C"/>
    <w:rsid w:val="7BF90099"/>
    <w:rsid w:val="7BF9C547"/>
    <w:rsid w:val="7BFEF437"/>
    <w:rsid w:val="7C016088"/>
    <w:rsid w:val="7C0689CC"/>
    <w:rsid w:val="7C07D5A9"/>
    <w:rsid w:val="7C1BB553"/>
    <w:rsid w:val="7C1BFD8B"/>
    <w:rsid w:val="7C23A4A8"/>
    <w:rsid w:val="7C28FB45"/>
    <w:rsid w:val="7C300A05"/>
    <w:rsid w:val="7C310C9C"/>
    <w:rsid w:val="7C339EE0"/>
    <w:rsid w:val="7C33F20F"/>
    <w:rsid w:val="7C3AEA78"/>
    <w:rsid w:val="7C3D79D1"/>
    <w:rsid w:val="7C3E7629"/>
    <w:rsid w:val="7C3FD5F5"/>
    <w:rsid w:val="7C411508"/>
    <w:rsid w:val="7C48E398"/>
    <w:rsid w:val="7C4B2454"/>
    <w:rsid w:val="7C4DE6D8"/>
    <w:rsid w:val="7C4E3F98"/>
    <w:rsid w:val="7C501DA5"/>
    <w:rsid w:val="7C504A69"/>
    <w:rsid w:val="7C50C358"/>
    <w:rsid w:val="7C54E394"/>
    <w:rsid w:val="7C563DD8"/>
    <w:rsid w:val="7C5828F3"/>
    <w:rsid w:val="7C5E410E"/>
    <w:rsid w:val="7C60C8AB"/>
    <w:rsid w:val="7C6296E1"/>
    <w:rsid w:val="7C63B57B"/>
    <w:rsid w:val="7C64E5CB"/>
    <w:rsid w:val="7C65B3A4"/>
    <w:rsid w:val="7C68F42E"/>
    <w:rsid w:val="7C6AE5F2"/>
    <w:rsid w:val="7C6B198C"/>
    <w:rsid w:val="7C6CBED7"/>
    <w:rsid w:val="7C70B4B6"/>
    <w:rsid w:val="7C737D35"/>
    <w:rsid w:val="7C73F714"/>
    <w:rsid w:val="7C753409"/>
    <w:rsid w:val="7C7C1617"/>
    <w:rsid w:val="7C7C98B0"/>
    <w:rsid w:val="7C7E8E2F"/>
    <w:rsid w:val="7C823DCE"/>
    <w:rsid w:val="7C86BCE8"/>
    <w:rsid w:val="7C86F27F"/>
    <w:rsid w:val="7C88DEFF"/>
    <w:rsid w:val="7C899127"/>
    <w:rsid w:val="7C8A77B7"/>
    <w:rsid w:val="7C8C75F5"/>
    <w:rsid w:val="7C916CAD"/>
    <w:rsid w:val="7C99EED3"/>
    <w:rsid w:val="7C9BD374"/>
    <w:rsid w:val="7CA1045B"/>
    <w:rsid w:val="7CA476DE"/>
    <w:rsid w:val="7CA7B34C"/>
    <w:rsid w:val="7CA838B4"/>
    <w:rsid w:val="7CAE5391"/>
    <w:rsid w:val="7CAE8EA7"/>
    <w:rsid w:val="7CB0C16E"/>
    <w:rsid w:val="7CB18452"/>
    <w:rsid w:val="7CB1CFFB"/>
    <w:rsid w:val="7CB21266"/>
    <w:rsid w:val="7CB33F9C"/>
    <w:rsid w:val="7CB75B59"/>
    <w:rsid w:val="7CB7BFFD"/>
    <w:rsid w:val="7CBEE671"/>
    <w:rsid w:val="7CC54554"/>
    <w:rsid w:val="7CC558FA"/>
    <w:rsid w:val="7CC6E8D6"/>
    <w:rsid w:val="7CC7A886"/>
    <w:rsid w:val="7CC85CA7"/>
    <w:rsid w:val="7CD3C8CB"/>
    <w:rsid w:val="7CD5C8D0"/>
    <w:rsid w:val="7CD940F4"/>
    <w:rsid w:val="7CDB1E7E"/>
    <w:rsid w:val="7CDDC948"/>
    <w:rsid w:val="7CE2A966"/>
    <w:rsid w:val="7CE5F0AA"/>
    <w:rsid w:val="7CE6B4B3"/>
    <w:rsid w:val="7CEC3A7C"/>
    <w:rsid w:val="7CEC6961"/>
    <w:rsid w:val="7CEE40FE"/>
    <w:rsid w:val="7CEF0532"/>
    <w:rsid w:val="7CF26363"/>
    <w:rsid w:val="7CFAB980"/>
    <w:rsid w:val="7CFC12DC"/>
    <w:rsid w:val="7CFD7FC4"/>
    <w:rsid w:val="7D006C2D"/>
    <w:rsid w:val="7D0359BA"/>
    <w:rsid w:val="7D0491CE"/>
    <w:rsid w:val="7D0557CB"/>
    <w:rsid w:val="7D0B4213"/>
    <w:rsid w:val="7D0BD75D"/>
    <w:rsid w:val="7D0E10BB"/>
    <w:rsid w:val="7D0FF00A"/>
    <w:rsid w:val="7D14FC51"/>
    <w:rsid w:val="7D15F9C1"/>
    <w:rsid w:val="7D19DD0C"/>
    <w:rsid w:val="7D1B79CC"/>
    <w:rsid w:val="7D225D46"/>
    <w:rsid w:val="7D230A6D"/>
    <w:rsid w:val="7D25A688"/>
    <w:rsid w:val="7D2630CC"/>
    <w:rsid w:val="7D273E4F"/>
    <w:rsid w:val="7D27445B"/>
    <w:rsid w:val="7D2D1BDB"/>
    <w:rsid w:val="7D2D64DB"/>
    <w:rsid w:val="7D339E04"/>
    <w:rsid w:val="7D381F45"/>
    <w:rsid w:val="7D3931D7"/>
    <w:rsid w:val="7D39B568"/>
    <w:rsid w:val="7D406735"/>
    <w:rsid w:val="7D4B6B44"/>
    <w:rsid w:val="7D4BC13D"/>
    <w:rsid w:val="7D4CD052"/>
    <w:rsid w:val="7D4DD40A"/>
    <w:rsid w:val="7D5108E0"/>
    <w:rsid w:val="7D577438"/>
    <w:rsid w:val="7D5FA4A1"/>
    <w:rsid w:val="7D60B553"/>
    <w:rsid w:val="7D620E07"/>
    <w:rsid w:val="7D64F826"/>
    <w:rsid w:val="7D64FD1D"/>
    <w:rsid w:val="7D6C064E"/>
    <w:rsid w:val="7D6C0DAA"/>
    <w:rsid w:val="7D6C3858"/>
    <w:rsid w:val="7D74F2D0"/>
    <w:rsid w:val="7D755D5A"/>
    <w:rsid w:val="7D771861"/>
    <w:rsid w:val="7D7771D4"/>
    <w:rsid w:val="7D7E379C"/>
    <w:rsid w:val="7D87B32C"/>
    <w:rsid w:val="7D88AAEE"/>
    <w:rsid w:val="7D8C535B"/>
    <w:rsid w:val="7D8D780A"/>
    <w:rsid w:val="7D91DB99"/>
    <w:rsid w:val="7D93B5A1"/>
    <w:rsid w:val="7D960245"/>
    <w:rsid w:val="7D961E78"/>
    <w:rsid w:val="7D9AAC82"/>
    <w:rsid w:val="7D9B27A2"/>
    <w:rsid w:val="7D9C73D0"/>
    <w:rsid w:val="7DA10954"/>
    <w:rsid w:val="7DA1C8FA"/>
    <w:rsid w:val="7DA377E5"/>
    <w:rsid w:val="7DA40C2D"/>
    <w:rsid w:val="7DA79A00"/>
    <w:rsid w:val="7DA88D7F"/>
    <w:rsid w:val="7DA98C0E"/>
    <w:rsid w:val="7DADFB05"/>
    <w:rsid w:val="7DAE24E4"/>
    <w:rsid w:val="7DB12C1F"/>
    <w:rsid w:val="7DB17209"/>
    <w:rsid w:val="7DB60041"/>
    <w:rsid w:val="7DBE35D2"/>
    <w:rsid w:val="7DBF18CA"/>
    <w:rsid w:val="7DBFAF9B"/>
    <w:rsid w:val="7DC18444"/>
    <w:rsid w:val="7DC1C204"/>
    <w:rsid w:val="7DC5325B"/>
    <w:rsid w:val="7DC5EBF2"/>
    <w:rsid w:val="7DC8C9FD"/>
    <w:rsid w:val="7DCF4296"/>
    <w:rsid w:val="7DD1479D"/>
    <w:rsid w:val="7DD36868"/>
    <w:rsid w:val="7DD42A57"/>
    <w:rsid w:val="7DD6C71D"/>
    <w:rsid w:val="7DD7B680"/>
    <w:rsid w:val="7DDB744B"/>
    <w:rsid w:val="7DDC3791"/>
    <w:rsid w:val="7DDD8266"/>
    <w:rsid w:val="7DDF135D"/>
    <w:rsid w:val="7DE007E1"/>
    <w:rsid w:val="7DE204A8"/>
    <w:rsid w:val="7DE37BF8"/>
    <w:rsid w:val="7DE42976"/>
    <w:rsid w:val="7DE6798D"/>
    <w:rsid w:val="7DE70A03"/>
    <w:rsid w:val="7DEF7653"/>
    <w:rsid w:val="7DF253C4"/>
    <w:rsid w:val="7DF8C8D6"/>
    <w:rsid w:val="7DF8E506"/>
    <w:rsid w:val="7DF96B5E"/>
    <w:rsid w:val="7DFC402B"/>
    <w:rsid w:val="7E008459"/>
    <w:rsid w:val="7E01ED05"/>
    <w:rsid w:val="7E04E649"/>
    <w:rsid w:val="7E0B0929"/>
    <w:rsid w:val="7E0D7B4D"/>
    <w:rsid w:val="7E18811D"/>
    <w:rsid w:val="7E1B8BC1"/>
    <w:rsid w:val="7E29F79D"/>
    <w:rsid w:val="7E2A98F8"/>
    <w:rsid w:val="7E2F6085"/>
    <w:rsid w:val="7E300EFB"/>
    <w:rsid w:val="7E33B3BC"/>
    <w:rsid w:val="7E35F22A"/>
    <w:rsid w:val="7E35FE4E"/>
    <w:rsid w:val="7E3CBEED"/>
    <w:rsid w:val="7E404E75"/>
    <w:rsid w:val="7E498CDE"/>
    <w:rsid w:val="7E4B4A63"/>
    <w:rsid w:val="7E51B9BC"/>
    <w:rsid w:val="7E51EB95"/>
    <w:rsid w:val="7E598C5B"/>
    <w:rsid w:val="7E5D0799"/>
    <w:rsid w:val="7E61365E"/>
    <w:rsid w:val="7E6618B0"/>
    <w:rsid w:val="7E6704BA"/>
    <w:rsid w:val="7E6BB1FA"/>
    <w:rsid w:val="7E6CFB8E"/>
    <w:rsid w:val="7E6D3898"/>
    <w:rsid w:val="7E6FA413"/>
    <w:rsid w:val="7E752C48"/>
    <w:rsid w:val="7E77B416"/>
    <w:rsid w:val="7E7B33B1"/>
    <w:rsid w:val="7E7FC7D7"/>
    <w:rsid w:val="7E8F3A11"/>
    <w:rsid w:val="7E8F6767"/>
    <w:rsid w:val="7E8FED57"/>
    <w:rsid w:val="7E907EFE"/>
    <w:rsid w:val="7E91C468"/>
    <w:rsid w:val="7E9BE740"/>
    <w:rsid w:val="7EA3D244"/>
    <w:rsid w:val="7EAAFFA1"/>
    <w:rsid w:val="7EABB15D"/>
    <w:rsid w:val="7EABB805"/>
    <w:rsid w:val="7EADF9CF"/>
    <w:rsid w:val="7EB11D36"/>
    <w:rsid w:val="7EB2990B"/>
    <w:rsid w:val="7EB5DA09"/>
    <w:rsid w:val="7EB97481"/>
    <w:rsid w:val="7EBD4FC0"/>
    <w:rsid w:val="7EC04FE1"/>
    <w:rsid w:val="7EC1473C"/>
    <w:rsid w:val="7EC34964"/>
    <w:rsid w:val="7EC72D93"/>
    <w:rsid w:val="7EC782A3"/>
    <w:rsid w:val="7EC8B9C9"/>
    <w:rsid w:val="7ECB4542"/>
    <w:rsid w:val="7ECBB2A7"/>
    <w:rsid w:val="7ECDFD03"/>
    <w:rsid w:val="7ED32093"/>
    <w:rsid w:val="7ED540EE"/>
    <w:rsid w:val="7EDBBD2E"/>
    <w:rsid w:val="7EDC83F3"/>
    <w:rsid w:val="7EDC9762"/>
    <w:rsid w:val="7EDF3A3C"/>
    <w:rsid w:val="7EE091DC"/>
    <w:rsid w:val="7EE0940E"/>
    <w:rsid w:val="7EE5DD4C"/>
    <w:rsid w:val="7EE843D7"/>
    <w:rsid w:val="7EEFB217"/>
    <w:rsid w:val="7EF17C78"/>
    <w:rsid w:val="7EF23EE7"/>
    <w:rsid w:val="7EF2F252"/>
    <w:rsid w:val="7EF3549B"/>
    <w:rsid w:val="7EF4C0D8"/>
    <w:rsid w:val="7EF62FE6"/>
    <w:rsid w:val="7EF787DA"/>
    <w:rsid w:val="7EFA542B"/>
    <w:rsid w:val="7EFD7620"/>
    <w:rsid w:val="7EFF210A"/>
    <w:rsid w:val="7F00A29E"/>
    <w:rsid w:val="7F01262C"/>
    <w:rsid w:val="7F023857"/>
    <w:rsid w:val="7F03FD65"/>
    <w:rsid w:val="7F0C58B4"/>
    <w:rsid w:val="7F0EA974"/>
    <w:rsid w:val="7F1444C0"/>
    <w:rsid w:val="7F16AF54"/>
    <w:rsid w:val="7F18BD46"/>
    <w:rsid w:val="7F18DB22"/>
    <w:rsid w:val="7F19BFC3"/>
    <w:rsid w:val="7F1E203D"/>
    <w:rsid w:val="7F231DC5"/>
    <w:rsid w:val="7F24F829"/>
    <w:rsid w:val="7F26681B"/>
    <w:rsid w:val="7F2F2932"/>
    <w:rsid w:val="7F31B738"/>
    <w:rsid w:val="7F3840D5"/>
    <w:rsid w:val="7F398E03"/>
    <w:rsid w:val="7F3AD93A"/>
    <w:rsid w:val="7F49A34F"/>
    <w:rsid w:val="7F4CAFA8"/>
    <w:rsid w:val="7F4E0E80"/>
    <w:rsid w:val="7F4F4125"/>
    <w:rsid w:val="7F505226"/>
    <w:rsid w:val="7F510AD3"/>
    <w:rsid w:val="7F5259A2"/>
    <w:rsid w:val="7F5282A1"/>
    <w:rsid w:val="7F542613"/>
    <w:rsid w:val="7F5520D1"/>
    <w:rsid w:val="7F561730"/>
    <w:rsid w:val="7F58F02B"/>
    <w:rsid w:val="7F6628F9"/>
    <w:rsid w:val="7F6D88FE"/>
    <w:rsid w:val="7F6D95AE"/>
    <w:rsid w:val="7F70DB9B"/>
    <w:rsid w:val="7F73A154"/>
    <w:rsid w:val="7F766974"/>
    <w:rsid w:val="7F782472"/>
    <w:rsid w:val="7F796439"/>
    <w:rsid w:val="7F847E9F"/>
    <w:rsid w:val="7F8508B6"/>
    <w:rsid w:val="7F8ADD13"/>
    <w:rsid w:val="7F8ED698"/>
    <w:rsid w:val="7F8FB31E"/>
    <w:rsid w:val="7F919F86"/>
    <w:rsid w:val="7F92E115"/>
    <w:rsid w:val="7F9320B9"/>
    <w:rsid w:val="7FA14A8F"/>
    <w:rsid w:val="7FA98C37"/>
    <w:rsid w:val="7FAA4013"/>
    <w:rsid w:val="7FB01B15"/>
    <w:rsid w:val="7FB12C20"/>
    <w:rsid w:val="7FB1F395"/>
    <w:rsid w:val="7FBC9F7E"/>
    <w:rsid w:val="7FBF0D40"/>
    <w:rsid w:val="7FC3A6FD"/>
    <w:rsid w:val="7FC49E16"/>
    <w:rsid w:val="7FC9DD13"/>
    <w:rsid w:val="7FCDD3CE"/>
    <w:rsid w:val="7FD0BED1"/>
    <w:rsid w:val="7FD24486"/>
    <w:rsid w:val="7FD340E7"/>
    <w:rsid w:val="7FD5ED32"/>
    <w:rsid w:val="7FDE29C2"/>
    <w:rsid w:val="7FDF5030"/>
    <w:rsid w:val="7FE2039F"/>
    <w:rsid w:val="7FE8819F"/>
    <w:rsid w:val="7FEA44E2"/>
    <w:rsid w:val="7FEAEF15"/>
    <w:rsid w:val="7FEB85EB"/>
    <w:rsid w:val="7FEC4B02"/>
    <w:rsid w:val="7FEE439D"/>
    <w:rsid w:val="7FF09B7E"/>
    <w:rsid w:val="7FF356E3"/>
    <w:rsid w:val="7FF5556E"/>
    <w:rsid w:val="7FF5DE21"/>
    <w:rsid w:val="7FFACBF5"/>
    <w:rsid w:val="7FFBE746"/>
    <w:rsid w:val="7FFC7D4B"/>
    <w:rsid w:val="7FFD67F7"/>
    <w:rsid w:val="7FFF02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A075BC5B-1074-4E8A-A64E-A8946E9B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E84"/>
    <w:pPr>
      <w:spacing w:before="120" w:after="240" w:line="276" w:lineRule="auto"/>
    </w:pPr>
    <w:rPr>
      <w:rFonts w:ascii="Arial" w:hAnsi="Arial"/>
      <w:color w:val="000000" w:themeColor="text1"/>
      <w:sz w:val="22"/>
      <w:szCs w:val="24"/>
      <w:lang w:eastAsia="en-US"/>
    </w:rPr>
  </w:style>
  <w:style w:type="paragraph" w:styleId="Heading1">
    <w:name w:val="heading 1"/>
    <w:next w:val="Normal"/>
    <w:link w:val="Heading1Char"/>
    <w:qFormat/>
    <w:rsid w:val="00140A52"/>
    <w:pPr>
      <w:keepNext/>
      <w:spacing w:before="240" w:after="60"/>
      <w:outlineLvl w:val="0"/>
    </w:pPr>
    <w:rPr>
      <w:rFonts w:ascii="Arial" w:hAnsi="Arial" w:cs="Arial"/>
      <w:b/>
      <w:bCs/>
      <w:color w:val="3F4A75"/>
      <w:kern w:val="28"/>
      <w:sz w:val="36"/>
      <w:szCs w:val="36"/>
      <w:lang w:eastAsia="en-US"/>
    </w:rPr>
  </w:style>
  <w:style w:type="paragraph" w:styleId="Heading2">
    <w:name w:val="heading 2"/>
    <w:basedOn w:val="Heading5"/>
    <w:next w:val="Normal"/>
    <w:link w:val="Heading2Char"/>
    <w:qFormat/>
    <w:rsid w:val="000C6C65"/>
    <w:pPr>
      <w:outlineLvl w:val="1"/>
    </w:pPr>
    <w:rPr>
      <w:b/>
      <w:bCs w:val="0"/>
      <w:color w:val="002060"/>
      <w:sz w:val="28"/>
    </w:rPr>
  </w:style>
  <w:style w:type="paragraph" w:styleId="Heading3">
    <w:name w:val="heading 3"/>
    <w:basedOn w:val="Normal"/>
    <w:next w:val="Normal"/>
    <w:link w:val="Heading3Char"/>
    <w:qFormat/>
    <w:rsid w:val="008376BC"/>
    <w:pPr>
      <w:spacing w:before="240" w:after="0" w:line="240" w:lineRule="auto"/>
      <w:outlineLvl w:val="2"/>
    </w:pPr>
    <w:rPr>
      <w:b/>
      <w:bCs/>
      <w:color w:val="3F4A75"/>
      <w:lang w:val="en-US"/>
    </w:rPr>
  </w:style>
  <w:style w:type="paragraph" w:styleId="Heading4">
    <w:name w:val="heading 4"/>
    <w:basedOn w:val="Body"/>
    <w:next w:val="Normal"/>
    <w:link w:val="Heading4Char"/>
    <w:qFormat/>
    <w:rsid w:val="000C6C65"/>
    <w:pPr>
      <w:spacing w:after="180" w:line="240" w:lineRule="auto"/>
      <w:outlineLvl w:val="3"/>
    </w:pPr>
    <w:rPr>
      <w:b/>
      <w:bCs/>
      <w:color w:val="3F4A75" w:themeColor="text2"/>
      <w:lang w:val="en-US"/>
    </w:rPr>
  </w:style>
  <w:style w:type="paragraph" w:styleId="Heading5">
    <w:name w:val="heading 5"/>
    <w:basedOn w:val="Heading4"/>
    <w:next w:val="Normal"/>
    <w:link w:val="Heading5Char"/>
    <w:rsid w:val="00886CBD"/>
    <w:pPr>
      <w:outlineLvl w:val="4"/>
    </w:pPr>
    <w:rPr>
      <w:b w:val="0"/>
    </w:rPr>
  </w:style>
  <w:style w:type="paragraph" w:styleId="Heading6">
    <w:name w:val="heading 6"/>
    <w:next w:val="Normal"/>
    <w:rsid w:val="00A719F6"/>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A719F6"/>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19F6"/>
    <w:rPr>
      <w:i/>
      <w:iCs/>
    </w:rPr>
  </w:style>
  <w:style w:type="character" w:styleId="Strong">
    <w:name w:val="Strong"/>
    <w:basedOn w:val="DefaultParagraphFont"/>
    <w:rsid w:val="00A719F6"/>
    <w:rPr>
      <w:b/>
      <w:bCs/>
    </w:rPr>
  </w:style>
  <w:style w:type="paragraph" w:styleId="Subtitle">
    <w:name w:val="Subtitle"/>
    <w:next w:val="Normal"/>
    <w:link w:val="SubtitleChar"/>
    <w:qFormat/>
    <w:rsid w:val="00A13808"/>
    <w:pPr>
      <w:numPr>
        <w:ilvl w:val="1"/>
      </w:numPr>
      <w:spacing w:before="120" w:after="60"/>
    </w:pPr>
    <w:rPr>
      <w:rFonts w:ascii="Arial" w:eastAsiaTheme="majorEastAsia" w:hAnsi="Arial" w:cstheme="majorBidi"/>
      <w:iCs/>
      <w:color w:val="FFFFFF" w:themeColor="background1"/>
      <w:spacing w:val="15"/>
      <w:sz w:val="36"/>
      <w:szCs w:val="24"/>
      <w:lang w:eastAsia="en-US"/>
    </w:rPr>
  </w:style>
  <w:style w:type="character" w:customStyle="1" w:styleId="SubtitleChar">
    <w:name w:val="Subtitle Char"/>
    <w:basedOn w:val="DefaultParagraphFont"/>
    <w:link w:val="Subtitle"/>
    <w:rsid w:val="00A719F6"/>
    <w:rPr>
      <w:rFonts w:ascii="Arial" w:eastAsiaTheme="majorEastAsia" w:hAnsi="Arial" w:cstheme="majorBidi"/>
      <w:iCs/>
      <w:color w:val="FFFFFF" w:themeColor="background1"/>
      <w:spacing w:val="15"/>
      <w:sz w:val="36"/>
      <w:szCs w:val="24"/>
      <w:lang w:eastAsia="en-US"/>
    </w:rPr>
  </w:style>
  <w:style w:type="paragraph" w:styleId="Title">
    <w:name w:val="Title"/>
    <w:next w:val="Normal"/>
    <w:link w:val="TitleChar"/>
    <w:qFormat/>
    <w:rsid w:val="00A13808"/>
    <w:pPr>
      <w:spacing w:before="8760" w:after="120"/>
      <w:contextualSpacing/>
    </w:pPr>
    <w:rPr>
      <w:rFonts w:ascii="Arial" w:eastAsiaTheme="majorEastAsia" w:hAnsi="Arial" w:cstheme="majorBidi"/>
      <w:b/>
      <w:color w:val="FFFFFF" w:themeColor="background1"/>
      <w:kern w:val="28"/>
      <w:sz w:val="52"/>
      <w:szCs w:val="52"/>
      <w:lang w:eastAsia="en-US"/>
    </w:rPr>
  </w:style>
  <w:style w:type="character" w:customStyle="1" w:styleId="TitleChar">
    <w:name w:val="Title Char"/>
    <w:basedOn w:val="DefaultParagraphFont"/>
    <w:link w:val="Title"/>
    <w:rsid w:val="00A719F6"/>
    <w:rPr>
      <w:rFonts w:ascii="Arial" w:eastAsiaTheme="majorEastAsia" w:hAnsi="Arial" w:cstheme="majorBidi"/>
      <w:b/>
      <w:color w:val="FFFFFF" w:themeColor="background1"/>
      <w:kern w:val="28"/>
      <w:sz w:val="52"/>
      <w:szCs w:val="52"/>
      <w:lang w:eastAsia="en-US"/>
    </w:rPr>
  </w:style>
  <w:style w:type="paragraph" w:customStyle="1" w:styleId="Boxheading">
    <w:name w:val="Box heading"/>
    <w:basedOn w:val="Boxtype"/>
    <w:qFormat/>
    <w:rsid w:val="00A719F6"/>
    <w:pPr>
      <w:spacing w:before="240"/>
    </w:pPr>
    <w:rPr>
      <w:rFonts w:cs="Times New Roman"/>
      <w:b/>
      <w:bCs/>
      <w:caps/>
      <w:color w:val="358189"/>
      <w:szCs w:val="20"/>
    </w:rPr>
  </w:style>
  <w:style w:type="character" w:styleId="SubtleEmphasis">
    <w:name w:val="Subtle Emphasis"/>
    <w:basedOn w:val="DefaultParagraphFont"/>
    <w:uiPriority w:val="19"/>
    <w:rsid w:val="00A719F6"/>
    <w:rPr>
      <w:i/>
      <w:iCs/>
      <w:color w:val="808080" w:themeColor="text1" w:themeTint="7F"/>
    </w:rPr>
  </w:style>
  <w:style w:type="character" w:styleId="IntenseEmphasis">
    <w:name w:val="Intense Emphasis"/>
    <w:basedOn w:val="DefaultParagraphFont"/>
    <w:uiPriority w:val="21"/>
    <w:rsid w:val="00A719F6"/>
    <w:rPr>
      <w:b/>
      <w:bCs/>
      <w:i/>
      <w:iCs/>
      <w:color w:val="3F4A75" w:themeColor="accent1"/>
    </w:rPr>
  </w:style>
  <w:style w:type="paragraph" w:styleId="Quote">
    <w:name w:val="Quote"/>
    <w:next w:val="Normal"/>
    <w:link w:val="QuoteChar"/>
    <w:uiPriority w:val="29"/>
    <w:qFormat/>
    <w:rsid w:val="00F04091"/>
    <w:pPr>
      <w:spacing w:after="240"/>
    </w:pPr>
    <w:rPr>
      <w:rFonts w:ascii="Arial" w:hAnsi="Arial"/>
      <w:i/>
      <w:iCs/>
      <w:color w:val="000000" w:themeColor="text1"/>
      <w:sz w:val="16"/>
      <w:szCs w:val="18"/>
      <w:lang w:val="en-US" w:eastAsia="en-US"/>
    </w:rPr>
  </w:style>
  <w:style w:type="character" w:customStyle="1" w:styleId="QuoteChar">
    <w:name w:val="Quote Char"/>
    <w:basedOn w:val="DefaultParagraphFont"/>
    <w:link w:val="Quote"/>
    <w:uiPriority w:val="29"/>
    <w:rsid w:val="00A719F6"/>
    <w:rPr>
      <w:rFonts w:ascii="Arial" w:hAnsi="Arial"/>
      <w:i/>
      <w:iCs/>
      <w:color w:val="000000" w:themeColor="text1"/>
      <w:sz w:val="16"/>
      <w:szCs w:val="18"/>
      <w:lang w:val="en-US" w:eastAsia="en-US"/>
    </w:rPr>
  </w:style>
  <w:style w:type="paragraph" w:styleId="IntenseQuote">
    <w:name w:val="Intense Quote"/>
    <w:next w:val="Normal"/>
    <w:link w:val="IntenseQuoteChar"/>
    <w:uiPriority w:val="30"/>
    <w:rsid w:val="00A719F6"/>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A719F6"/>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719F6"/>
    <w:rPr>
      <w:smallCaps/>
      <w:color w:val="358189" w:themeColor="accent2"/>
      <w:u w:val="single"/>
    </w:rPr>
  </w:style>
  <w:style w:type="character" w:styleId="IntenseReference">
    <w:name w:val="Intense Reference"/>
    <w:basedOn w:val="DefaultParagraphFont"/>
    <w:uiPriority w:val="32"/>
    <w:rsid w:val="00A719F6"/>
    <w:rPr>
      <w:b/>
      <w:bCs/>
      <w:i/>
      <w:smallCaps/>
      <w:color w:val="358189" w:themeColor="accent2"/>
      <w:spacing w:val="5"/>
      <w:u w:val="none"/>
    </w:rPr>
  </w:style>
  <w:style w:type="paragraph" w:styleId="ListBullet2">
    <w:name w:val="List Bullet 2"/>
    <w:basedOn w:val="ListNumber2"/>
    <w:rsid w:val="00A719F6"/>
    <w:pPr>
      <w:numPr>
        <w:numId w:val="6"/>
      </w:numPr>
    </w:pPr>
  </w:style>
  <w:style w:type="paragraph" w:styleId="ListNumber2">
    <w:name w:val="List Number 2"/>
    <w:basedOn w:val="ListBullet"/>
    <w:qFormat/>
    <w:rsid w:val="00A719F6"/>
    <w:pPr>
      <w:ind w:left="644"/>
    </w:pPr>
  </w:style>
  <w:style w:type="paragraph" w:styleId="ListBullet">
    <w:name w:val="List Bullet"/>
    <w:basedOn w:val="Normal"/>
    <w:qFormat/>
    <w:rsid w:val="00A719F6"/>
    <w:pPr>
      <w:tabs>
        <w:tab w:val="left" w:pos="340"/>
        <w:tab w:val="left" w:pos="680"/>
      </w:tabs>
      <w:spacing w:before="60" w:after="60"/>
      <w:ind w:left="360" w:hanging="360"/>
    </w:pPr>
  </w:style>
  <w:style w:type="paragraph" w:styleId="ListParagraph">
    <w:name w:val="List Paragraph"/>
    <w:basedOn w:val="Normal"/>
    <w:link w:val="ListParagraphChar"/>
    <w:uiPriority w:val="34"/>
    <w:qFormat/>
    <w:rsid w:val="00A719F6"/>
    <w:pPr>
      <w:ind w:left="720"/>
      <w:contextualSpacing/>
    </w:pPr>
  </w:style>
  <w:style w:type="paragraph" w:styleId="ListNumber3">
    <w:name w:val="List Number 3"/>
    <w:aliases w:val="List Third Level"/>
    <w:basedOn w:val="ListNumber2"/>
    <w:rsid w:val="00A719F6"/>
    <w:pPr>
      <w:numPr>
        <w:numId w:val="1"/>
      </w:numPr>
      <w:tabs>
        <w:tab w:val="num" w:pos="1440"/>
      </w:tabs>
    </w:pPr>
    <w:rPr>
      <w:rFonts w:eastAsia="Cambria"/>
      <w:color w:val="auto"/>
      <w:szCs w:val="22"/>
      <w:lang w:val="en-US"/>
    </w:rPr>
  </w:style>
  <w:style w:type="paragraph" w:customStyle="1" w:styleId="ImageTitle">
    <w:name w:val="Image Title"/>
    <w:locked/>
    <w:rsid w:val="00A719F6"/>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A719F6"/>
  </w:style>
  <w:style w:type="character" w:customStyle="1" w:styleId="BodyTextChar">
    <w:name w:val="Body Text Char"/>
    <w:basedOn w:val="DefaultParagraphFont"/>
    <w:link w:val="BodyText"/>
    <w:semiHidden/>
    <w:rsid w:val="00A719F6"/>
    <w:rPr>
      <w:rFonts w:ascii="Arial" w:hAnsi="Arial"/>
      <w:color w:val="000000" w:themeColor="text1"/>
      <w:sz w:val="22"/>
      <w:szCs w:val="24"/>
      <w:lang w:eastAsia="en-US"/>
    </w:rPr>
  </w:style>
  <w:style w:type="table" w:styleId="TableGrid">
    <w:name w:val="Table Grid"/>
    <w:basedOn w:val="TableNormal"/>
    <w:locked/>
    <w:rsid w:val="00A7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A719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A719F6"/>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A719F6"/>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A719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A719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719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A719F6"/>
    <w:pPr>
      <w:spacing w:before="120" w:after="120"/>
    </w:pPr>
    <w:rPr>
      <w:rFonts w:ascii="Arial" w:hAnsi="Arial"/>
      <w:b/>
      <w:color w:val="000000" w:themeColor="text1"/>
      <w:sz w:val="22"/>
      <w:szCs w:val="24"/>
      <w:lang w:val="en-US" w:eastAsia="en-US"/>
    </w:rPr>
  </w:style>
  <w:style w:type="paragraph" w:styleId="Header">
    <w:name w:val="header"/>
    <w:link w:val="HeaderChar"/>
    <w:uiPriority w:val="99"/>
    <w:qFormat/>
    <w:rsid w:val="00A719F6"/>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A719F6"/>
    <w:rPr>
      <w:rFonts w:ascii="Arial" w:hAnsi="Arial"/>
      <w:sz w:val="22"/>
      <w:szCs w:val="24"/>
      <w:lang w:eastAsia="en-US"/>
    </w:rPr>
  </w:style>
  <w:style w:type="paragraph" w:styleId="Footer">
    <w:name w:val="footer"/>
    <w:link w:val="FooterChar"/>
    <w:uiPriority w:val="99"/>
    <w:qFormat/>
    <w:rsid w:val="00A719F6"/>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A719F6"/>
    <w:rPr>
      <w:rFonts w:ascii="Arial" w:hAnsi="Arial"/>
      <w:szCs w:val="24"/>
      <w:lang w:eastAsia="en-US"/>
    </w:rPr>
  </w:style>
  <w:style w:type="paragraph" w:customStyle="1" w:styleId="TableHeaderWhite">
    <w:name w:val="Table Header White"/>
    <w:basedOn w:val="Normal"/>
    <w:next w:val="Tabletextleft"/>
    <w:qFormat/>
    <w:rsid w:val="00A719F6"/>
    <w:pPr>
      <w:spacing w:before="80" w:after="80"/>
    </w:pPr>
    <w:rPr>
      <w:rFonts w:eastAsia="Cambria"/>
      <w:b/>
      <w:color w:val="FFFFFF" w:themeColor="background1"/>
      <w:szCs w:val="22"/>
      <w:lang w:val="en-US"/>
    </w:rPr>
  </w:style>
  <w:style w:type="table" w:styleId="TableGrid7">
    <w:name w:val="Table Grid 7"/>
    <w:basedOn w:val="TableNormal"/>
    <w:locked/>
    <w:rsid w:val="00A719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A719F6"/>
    <w:pPr>
      <w:spacing w:before="60"/>
    </w:pPr>
    <w:rPr>
      <w:rFonts w:cs="Arial"/>
      <w:b/>
      <w:sz w:val="20"/>
    </w:rPr>
  </w:style>
  <w:style w:type="paragraph" w:customStyle="1" w:styleId="FigureTitle">
    <w:name w:val="Figure Title"/>
    <w:next w:val="Normal"/>
    <w:qFormat/>
    <w:rsid w:val="00A719F6"/>
    <w:pPr>
      <w:spacing w:before="120" w:after="120"/>
    </w:pPr>
    <w:rPr>
      <w:rFonts w:ascii="Arial" w:hAnsi="Arial" w:cs="Arial"/>
      <w:b/>
      <w:bCs/>
      <w:iCs/>
      <w:color w:val="000000" w:themeColor="text1"/>
      <w:sz w:val="22"/>
      <w:szCs w:val="22"/>
      <w:lang w:eastAsia="en-US"/>
    </w:rPr>
  </w:style>
  <w:style w:type="paragraph" w:customStyle="1" w:styleId="Headertext">
    <w:name w:val="Header text"/>
    <w:rsid w:val="00A719F6"/>
    <w:pPr>
      <w:jc w:val="right"/>
    </w:pPr>
    <w:rPr>
      <w:rFonts w:ascii="Arial" w:hAnsi="Arial"/>
      <w:szCs w:val="24"/>
      <w:lang w:eastAsia="en-US"/>
    </w:rPr>
  </w:style>
  <w:style w:type="character" w:styleId="Hyperlink">
    <w:name w:val="Hyperlink"/>
    <w:basedOn w:val="DefaultParagraphFont"/>
    <w:uiPriority w:val="99"/>
    <w:qFormat/>
    <w:rsid w:val="00A719F6"/>
    <w:rPr>
      <w:color w:val="0000FF" w:themeColor="hyperlink"/>
      <w:u w:val="single"/>
    </w:rPr>
  </w:style>
  <w:style w:type="table" w:customStyle="1" w:styleId="PHNGreyTable">
    <w:name w:val="PHN Grey Table"/>
    <w:basedOn w:val="TableNormal"/>
    <w:uiPriority w:val="99"/>
    <w:rsid w:val="00A719F6"/>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719F6"/>
    <w:pPr>
      <w:numPr>
        <w:numId w:val="2"/>
      </w:numPr>
    </w:pPr>
    <w:rPr>
      <w:szCs w:val="20"/>
    </w:rPr>
  </w:style>
  <w:style w:type="paragraph" w:customStyle="1" w:styleId="Tablelistnumber">
    <w:name w:val="Table list number"/>
    <w:basedOn w:val="Tabletextleft"/>
    <w:qFormat/>
    <w:rsid w:val="00A719F6"/>
    <w:pPr>
      <w:numPr>
        <w:numId w:val="3"/>
      </w:numPr>
    </w:pPr>
    <w:rPr>
      <w:bCs/>
      <w14:numSpacing w14:val="proportional"/>
    </w:rPr>
  </w:style>
  <w:style w:type="paragraph" w:customStyle="1" w:styleId="TableHeader">
    <w:name w:val="Table Header"/>
    <w:basedOn w:val="Normal"/>
    <w:next w:val="Tabletextleft"/>
    <w:qFormat/>
    <w:rsid w:val="00A719F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A719F6"/>
    <w:rPr>
      <w:szCs w:val="32"/>
    </w:rPr>
  </w:style>
  <w:style w:type="paragraph" w:styleId="FootnoteText">
    <w:name w:val="footnote text"/>
    <w:link w:val="FootnoteTextChar"/>
    <w:rsid w:val="00A719F6"/>
    <w:rPr>
      <w:rFonts w:ascii="Arial" w:hAnsi="Arial"/>
      <w:lang w:eastAsia="en-US"/>
    </w:rPr>
  </w:style>
  <w:style w:type="character" w:customStyle="1" w:styleId="FootnoteTextChar">
    <w:name w:val="Footnote Text Char"/>
    <w:basedOn w:val="DefaultParagraphFont"/>
    <w:link w:val="FootnoteText"/>
    <w:rsid w:val="00A719F6"/>
    <w:rPr>
      <w:rFonts w:ascii="Arial" w:hAnsi="Arial"/>
      <w:lang w:eastAsia="en-US"/>
    </w:rPr>
  </w:style>
  <w:style w:type="paragraph" w:customStyle="1" w:styleId="VisionBox">
    <w:name w:val="VisionBox"/>
    <w:basedOn w:val="Normal"/>
    <w:qFormat/>
    <w:rsid w:val="00A719F6"/>
    <w:pPr>
      <w:pBdr>
        <w:top w:val="single" w:sz="4" w:space="15" w:color="358189"/>
        <w:bottom w:val="single" w:sz="4" w:space="10" w:color="358189"/>
      </w:pBdr>
      <w:spacing w:before="240" w:line="340" w:lineRule="exact"/>
    </w:pPr>
    <w:rPr>
      <w:rFonts w:eastAsiaTheme="minorHAnsi"/>
      <w:color w:val="358189"/>
    </w:rPr>
  </w:style>
  <w:style w:type="paragraph" w:customStyle="1" w:styleId="Boxtype">
    <w:name w:val="Box type"/>
    <w:next w:val="Normal"/>
    <w:qFormat/>
    <w:rsid w:val="00A719F6"/>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719F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paragraph" w:customStyle="1" w:styleId="IntroPara">
    <w:name w:val="Intro Para"/>
    <w:basedOn w:val="Normal"/>
    <w:next w:val="Normal"/>
    <w:qFormat/>
    <w:rsid w:val="00A719F6"/>
    <w:pPr>
      <w:spacing w:before="480" w:line="400" w:lineRule="exact"/>
    </w:pPr>
    <w:rPr>
      <w:color w:val="358189"/>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A719F6"/>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rPr>
      <w:b/>
      <w:bCs/>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autoRedefine/>
    <w:qFormat/>
    <w:rsid w:val="00A719F6"/>
    <w:pPr>
      <w:spacing w:before="60" w:after="60"/>
    </w:pPr>
    <w:rPr>
      <w:rFonts w:ascii="Arial" w:hAnsi="Arial"/>
      <w:color w:val="000000" w:themeColor="text1"/>
      <w:sz w:val="21"/>
      <w:szCs w:val="24"/>
      <w:lang w:eastAsia="en-US"/>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A719F6"/>
    <w:pPr>
      <w:jc w:val="right"/>
    </w:pPr>
  </w:style>
  <w:style w:type="paragraph" w:styleId="BalloonText">
    <w:name w:val="Balloon Text"/>
    <w:basedOn w:val="Normal"/>
    <w:link w:val="BalloonTextChar"/>
    <w:rsid w:val="00A719F6"/>
    <w:rPr>
      <w:rFonts w:ascii="Tahoma" w:hAnsi="Tahoma" w:cs="Tahoma"/>
      <w:sz w:val="16"/>
      <w:szCs w:val="16"/>
    </w:rPr>
  </w:style>
  <w:style w:type="character" w:customStyle="1" w:styleId="BalloonTextChar">
    <w:name w:val="Balloon Text Char"/>
    <w:basedOn w:val="DefaultParagraphFont"/>
    <w:link w:val="BalloonText"/>
    <w:rsid w:val="00A719F6"/>
    <w:rPr>
      <w:rFonts w:ascii="Tahoma" w:hAnsi="Tahoma" w:cs="Tahoma"/>
      <w:color w:val="000000" w:themeColor="text1"/>
      <w:sz w:val="16"/>
      <w:szCs w:val="16"/>
      <w:lang w:eastAsia="en-US"/>
    </w:rPr>
  </w:style>
  <w:style w:type="paragraph" w:styleId="Caption">
    <w:name w:val="caption"/>
    <w:basedOn w:val="Normal"/>
    <w:next w:val="Normal"/>
    <w:unhideWhenUsed/>
    <w:rsid w:val="00A719F6"/>
    <w:pPr>
      <w:spacing w:after="200"/>
    </w:pPr>
    <w:rPr>
      <w:b/>
      <w:bCs/>
      <w:color w:val="3F4A75" w:themeColor="accent1"/>
      <w:sz w:val="18"/>
      <w:szCs w:val="18"/>
    </w:rPr>
  </w:style>
  <w:style w:type="paragraph" w:customStyle="1" w:styleId="Footerrightpage">
    <w:name w:val="Footer right page"/>
    <w:basedOn w:val="Footer"/>
    <w:rsid w:val="00A719F6"/>
  </w:style>
  <w:style w:type="character" w:customStyle="1" w:styleId="Heading7Char">
    <w:name w:val="Heading 7 Char"/>
    <w:basedOn w:val="DefaultParagraphFont"/>
    <w:link w:val="Heading7"/>
    <w:semiHidden/>
    <w:rsid w:val="00A719F6"/>
    <w:rPr>
      <w:rFonts w:ascii="Arial" w:eastAsiaTheme="majorEastAsia" w:hAnsi="Arial" w:cstheme="majorBidi"/>
      <w:b/>
      <w:i/>
      <w:iCs/>
      <w:color w:val="1F243A" w:themeColor="accent1" w:themeShade="7F"/>
      <w:sz w:val="22"/>
      <w:szCs w:val="24"/>
      <w:lang w:eastAsia="en-US"/>
    </w:rPr>
  </w:style>
  <w:style w:type="paragraph" w:styleId="NoSpacing">
    <w:name w:val="No Spacing"/>
    <w:uiPriority w:val="1"/>
    <w:rsid w:val="00A719F6"/>
    <w:rPr>
      <w:sz w:val="24"/>
      <w:szCs w:val="24"/>
      <w:lang w:eastAsia="en-US"/>
    </w:rPr>
  </w:style>
  <w:style w:type="paragraph" w:styleId="NormalWeb">
    <w:name w:val="Normal (Web)"/>
    <w:basedOn w:val="Normal"/>
    <w:uiPriority w:val="99"/>
    <w:unhideWhenUsed/>
    <w:rsid w:val="00A719F6"/>
    <w:pPr>
      <w:spacing w:before="100" w:beforeAutospacing="1" w:after="100" w:afterAutospacing="1"/>
    </w:pPr>
    <w:rPr>
      <w:rFonts w:ascii="Times New Roman" w:hAnsi="Times New Roman"/>
      <w:sz w:val="24"/>
      <w:lang w:eastAsia="en-AU"/>
    </w:rPr>
  </w:style>
  <w:style w:type="paragraph" w:customStyle="1" w:styleId="Style1">
    <w:name w:val="Style1"/>
    <w:next w:val="Normal"/>
    <w:rsid w:val="00A719F6"/>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Tabletextcentre">
    <w:name w:val="Table text centre"/>
    <w:basedOn w:val="Tabletextleft"/>
    <w:rsid w:val="00A719F6"/>
    <w:pPr>
      <w:jc w:val="center"/>
    </w:pPr>
  </w:style>
  <w:style w:type="paragraph" w:customStyle="1" w:styleId="TableTextright1">
    <w:name w:val="Table Text right"/>
    <w:basedOn w:val="Tabletextleft"/>
    <w:rsid w:val="00A719F6"/>
    <w:pPr>
      <w:jc w:val="right"/>
    </w:pPr>
  </w:style>
  <w:style w:type="character" w:customStyle="1" w:styleId="TableTitleChar">
    <w:name w:val="Table Title Char"/>
    <w:basedOn w:val="DefaultParagraphFont"/>
    <w:link w:val="TableTitle"/>
    <w:rsid w:val="00A719F6"/>
    <w:rPr>
      <w:rFonts w:ascii="Arial" w:hAnsi="Arial"/>
      <w:b/>
      <w:color w:val="000000" w:themeColor="text1"/>
      <w:sz w:val="22"/>
      <w:szCs w:val="24"/>
      <w:lang w:val="en-US" w:eastAsia="en-US"/>
    </w:rPr>
  </w:style>
  <w:style w:type="paragraph" w:customStyle="1" w:styleId="URL">
    <w:name w:val="URL"/>
    <w:basedOn w:val="Normal"/>
    <w:rsid w:val="00A719F6"/>
    <w:pPr>
      <w:spacing w:before="3120"/>
      <w:jc w:val="center"/>
    </w:pPr>
    <w:rPr>
      <w:b/>
      <w:bCs/>
      <w:sz w:val="24"/>
      <w:szCs w:val="20"/>
    </w:rPr>
  </w:style>
  <w:style w:type="character" w:customStyle="1" w:styleId="Heading1Char">
    <w:name w:val="Heading 1 Char"/>
    <w:basedOn w:val="DefaultParagraphFont"/>
    <w:link w:val="Heading1"/>
    <w:rsid w:val="0082484B"/>
    <w:rPr>
      <w:rFonts w:ascii="Arial" w:hAnsi="Arial" w:cs="Arial"/>
      <w:b/>
      <w:bCs/>
      <w:color w:val="3F4A75"/>
      <w:kern w:val="28"/>
      <w:sz w:val="36"/>
      <w:szCs w:val="36"/>
      <w:lang w:eastAsia="en-US"/>
    </w:rPr>
  </w:style>
  <w:style w:type="paragraph" w:customStyle="1" w:styleId="ParagraphText">
    <w:name w:val="Paragraph Text"/>
    <w:basedOn w:val="Heading3"/>
    <w:link w:val="ParagraphTextChar"/>
    <w:rsid w:val="00046000"/>
    <w:rPr>
      <w:b w:val="0"/>
      <w:bCs w:val="0"/>
      <w:color w:val="000000" w:themeColor="text1"/>
    </w:rPr>
  </w:style>
  <w:style w:type="character" w:customStyle="1" w:styleId="Heading3Char">
    <w:name w:val="Heading 3 Char"/>
    <w:basedOn w:val="DefaultParagraphFont"/>
    <w:link w:val="Heading3"/>
    <w:rsid w:val="003C6D6C"/>
    <w:rPr>
      <w:rFonts w:ascii="Arial" w:hAnsi="Arial"/>
      <w:b/>
      <w:bCs/>
      <w:color w:val="3F4A75"/>
      <w:sz w:val="22"/>
      <w:szCs w:val="24"/>
      <w:lang w:val="en-US" w:eastAsia="en-US"/>
    </w:rPr>
  </w:style>
  <w:style w:type="character" w:customStyle="1" w:styleId="ParagraphTextChar">
    <w:name w:val="Paragraph Text Char"/>
    <w:basedOn w:val="Heading3Char"/>
    <w:link w:val="ParagraphText"/>
    <w:rsid w:val="00046000"/>
    <w:rPr>
      <w:rFonts w:ascii="Arial" w:hAnsi="Arial"/>
      <w:b w:val="0"/>
      <w:bCs w:val="0"/>
      <w:color w:val="000000" w:themeColor="text1"/>
      <w:sz w:val="22"/>
      <w:szCs w:val="24"/>
      <w:lang w:val="en-US" w:eastAsia="en-US"/>
    </w:rPr>
  </w:style>
  <w:style w:type="paragraph" w:customStyle="1" w:styleId="Paragraphtext0">
    <w:name w:val="Paragraph text"/>
    <w:basedOn w:val="Normal"/>
    <w:next w:val="Normal"/>
    <w:link w:val="ParagraphtextChar0"/>
    <w:qFormat/>
    <w:rsid w:val="004859A2"/>
    <w:pPr>
      <w:spacing w:before="80" w:after="0" w:line="240" w:lineRule="auto"/>
      <w:contextualSpacing/>
    </w:pPr>
    <w:rPr>
      <w:rFonts w:ascii="Aptos" w:eastAsiaTheme="minorEastAsia" w:hAnsi="Aptos" w:cstheme="minorBidi"/>
      <w:kern w:val="24"/>
      <w:szCs w:val="22"/>
      <w:lang w:eastAsia="fr-FR"/>
    </w:rPr>
  </w:style>
  <w:style w:type="character" w:customStyle="1" w:styleId="ParagraphtextChar0">
    <w:name w:val="Paragraph text Char"/>
    <w:basedOn w:val="DefaultParagraphFont"/>
    <w:link w:val="Paragraphtext0"/>
    <w:rsid w:val="004859A2"/>
    <w:rPr>
      <w:rFonts w:ascii="Aptos" w:eastAsiaTheme="minorEastAsia" w:hAnsi="Aptos" w:cstheme="minorBidi"/>
      <w:color w:val="000000"/>
      <w:kern w:val="24"/>
      <w:sz w:val="22"/>
      <w:szCs w:val="22"/>
      <w:lang w:eastAsia="fr-FR"/>
    </w:rPr>
  </w:style>
  <w:style w:type="paragraph" w:styleId="TOCHeading">
    <w:name w:val="TOC Heading"/>
    <w:basedOn w:val="Heading1"/>
    <w:next w:val="Normal"/>
    <w:uiPriority w:val="39"/>
    <w:unhideWhenUsed/>
    <w:qFormat/>
    <w:rsid w:val="00140A52"/>
    <w:pPr>
      <w:keepLines/>
      <w:spacing w:after="0" w:line="259" w:lineRule="auto"/>
      <w:outlineLvl w:val="9"/>
    </w:pPr>
    <w:rPr>
      <w:rFonts w:eastAsiaTheme="majorEastAsia" w:cstheme="majorBidi"/>
      <w:bCs w:val="0"/>
      <w:color w:val="3F4A75" w:themeColor="accent1"/>
      <w:kern w:val="0"/>
      <w:szCs w:val="32"/>
      <w:lang w:val="en-US"/>
    </w:rPr>
  </w:style>
  <w:style w:type="paragraph" w:styleId="TOC1">
    <w:name w:val="toc 1"/>
    <w:basedOn w:val="Normal"/>
    <w:next w:val="Normal"/>
    <w:autoRedefine/>
    <w:uiPriority w:val="39"/>
    <w:unhideWhenUsed/>
    <w:rsid w:val="00F173CD"/>
    <w:pPr>
      <w:spacing w:after="100"/>
    </w:pPr>
  </w:style>
  <w:style w:type="paragraph" w:styleId="TOC2">
    <w:name w:val="toc 2"/>
    <w:basedOn w:val="Normal"/>
    <w:next w:val="Normal"/>
    <w:autoRedefine/>
    <w:uiPriority w:val="39"/>
    <w:unhideWhenUsed/>
    <w:rsid w:val="00F173CD"/>
    <w:pPr>
      <w:spacing w:after="100"/>
      <w:ind w:left="220"/>
    </w:pPr>
  </w:style>
  <w:style w:type="paragraph" w:styleId="TOC3">
    <w:name w:val="toc 3"/>
    <w:basedOn w:val="Normal"/>
    <w:next w:val="Normal"/>
    <w:autoRedefine/>
    <w:uiPriority w:val="39"/>
    <w:unhideWhenUsed/>
    <w:rsid w:val="00F173CD"/>
    <w:pPr>
      <w:spacing w:after="100"/>
      <w:ind w:left="440"/>
    </w:pPr>
  </w:style>
  <w:style w:type="paragraph" w:customStyle="1" w:styleId="Bullet1">
    <w:name w:val="Bullet 1"/>
    <w:basedOn w:val="Normal"/>
    <w:link w:val="Bullet1Char"/>
    <w:qFormat/>
    <w:rsid w:val="00B36648"/>
    <w:pPr>
      <w:numPr>
        <w:numId w:val="4"/>
      </w:numPr>
      <w:spacing w:before="40" w:after="40" w:line="259" w:lineRule="auto"/>
    </w:pPr>
    <w:rPr>
      <w:color w:val="auto"/>
      <w:lang w:eastAsia="de-DE"/>
    </w:rPr>
  </w:style>
  <w:style w:type="paragraph" w:customStyle="1" w:styleId="Bullet2">
    <w:name w:val="Bullet 2"/>
    <w:basedOn w:val="Bullet1"/>
    <w:qFormat/>
    <w:rsid w:val="00487431"/>
    <w:pPr>
      <w:numPr>
        <w:ilvl w:val="1"/>
      </w:numPr>
    </w:pPr>
  </w:style>
  <w:style w:type="paragraph" w:customStyle="1" w:styleId="Bullet3">
    <w:name w:val="Bullet 3"/>
    <w:basedOn w:val="Bullet2"/>
    <w:qFormat/>
    <w:rsid w:val="00C85782"/>
    <w:pPr>
      <w:numPr>
        <w:ilvl w:val="2"/>
      </w:numPr>
      <w:tabs>
        <w:tab w:val="num" w:pos="360"/>
      </w:tabs>
    </w:pPr>
  </w:style>
  <w:style w:type="paragraph" w:customStyle="1" w:styleId="Bullet4">
    <w:name w:val="Bullet 4"/>
    <w:basedOn w:val="Bullet3"/>
    <w:qFormat/>
    <w:rsid w:val="00C85782"/>
    <w:pPr>
      <w:numPr>
        <w:ilvl w:val="3"/>
      </w:numPr>
      <w:tabs>
        <w:tab w:val="num" w:pos="360"/>
      </w:tabs>
    </w:pPr>
  </w:style>
  <w:style w:type="character" w:customStyle="1" w:styleId="Bullet1Char">
    <w:name w:val="Bullet 1 Char"/>
    <w:basedOn w:val="DefaultParagraphFont"/>
    <w:link w:val="Bullet1"/>
    <w:locked/>
    <w:rsid w:val="00C85782"/>
    <w:rPr>
      <w:rFonts w:ascii="Arial" w:hAnsi="Arial"/>
      <w:sz w:val="22"/>
      <w:szCs w:val="24"/>
      <w:lang w:eastAsia="de-DE"/>
    </w:rPr>
  </w:style>
  <w:style w:type="character" w:customStyle="1" w:styleId="Heading2Char">
    <w:name w:val="Heading 2 Char"/>
    <w:basedOn w:val="DefaultParagraphFont"/>
    <w:link w:val="Heading2"/>
    <w:rsid w:val="00175232"/>
    <w:rPr>
      <w:rFonts w:ascii="Arial" w:hAnsi="Arial"/>
      <w:b/>
      <w:color w:val="002060"/>
      <w:sz w:val="28"/>
      <w:szCs w:val="24"/>
      <w:lang w:val="en-US" w:eastAsia="en-US"/>
    </w:rPr>
  </w:style>
  <w:style w:type="paragraph" w:customStyle="1" w:styleId="Default">
    <w:name w:val="Default"/>
    <w:rsid w:val="00A57979"/>
    <w:pPr>
      <w:autoSpaceDE w:val="0"/>
      <w:autoSpaceDN w:val="0"/>
      <w:adjustRightInd w:val="0"/>
    </w:pPr>
    <w:rPr>
      <w:rFonts w:ascii="Tahoma" w:hAnsi="Tahoma" w:cs="Tahoma"/>
      <w:color w:val="000000"/>
      <w:sz w:val="24"/>
      <w:szCs w:val="24"/>
    </w:rPr>
  </w:style>
  <w:style w:type="paragraph" w:customStyle="1" w:styleId="Style2">
    <w:name w:val="Style2"/>
    <w:basedOn w:val="Heading5"/>
    <w:link w:val="Style2Char"/>
    <w:qFormat/>
    <w:rsid w:val="00C46351"/>
    <w:rPr>
      <w:color w:val="auto"/>
    </w:rPr>
  </w:style>
  <w:style w:type="character" w:customStyle="1" w:styleId="Heading5Char">
    <w:name w:val="Heading 5 Char"/>
    <w:basedOn w:val="DefaultParagraphFont"/>
    <w:link w:val="Heading5"/>
    <w:rsid w:val="005F647E"/>
    <w:rPr>
      <w:rFonts w:ascii="Arial" w:hAnsi="Arial"/>
      <w:color w:val="3F4A75" w:themeColor="text2"/>
      <w:sz w:val="22"/>
      <w:szCs w:val="24"/>
      <w:lang w:val="en-US" w:eastAsia="en-US"/>
    </w:rPr>
  </w:style>
  <w:style w:type="character" w:customStyle="1" w:styleId="Style2Char">
    <w:name w:val="Style2 Char"/>
    <w:basedOn w:val="Heading5Char"/>
    <w:link w:val="Style2"/>
    <w:rsid w:val="00C46351"/>
    <w:rPr>
      <w:rFonts w:ascii="Arial" w:hAnsi="Arial"/>
      <w:b w:val="0"/>
      <w:bCs w:val="0"/>
      <w:iCs w:val="0"/>
      <w:color w:val="358189" w:themeColor="accent2"/>
      <w:sz w:val="24"/>
      <w:szCs w:val="26"/>
      <w:lang w:val="en-US" w:eastAsia="en-US"/>
    </w:rPr>
  </w:style>
  <w:style w:type="paragraph" w:styleId="CommentText">
    <w:name w:val="annotation text"/>
    <w:basedOn w:val="Normal"/>
    <w:link w:val="CommentTextChar"/>
    <w:unhideWhenUsed/>
    <w:rsid w:val="006C0152"/>
    <w:pPr>
      <w:spacing w:line="240" w:lineRule="auto"/>
    </w:pPr>
    <w:rPr>
      <w:sz w:val="20"/>
      <w:szCs w:val="20"/>
    </w:rPr>
  </w:style>
  <w:style w:type="character" w:customStyle="1" w:styleId="CommentTextChar">
    <w:name w:val="Comment Text Char"/>
    <w:basedOn w:val="DefaultParagraphFont"/>
    <w:link w:val="CommentText"/>
    <w:rsid w:val="006C0152"/>
    <w:rPr>
      <w:rFonts w:ascii="Arial" w:hAnsi="Arial"/>
      <w:color w:val="000000" w:themeColor="text1"/>
      <w:lang w:eastAsia="en-US"/>
    </w:rPr>
  </w:style>
  <w:style w:type="character" w:styleId="CommentReference">
    <w:name w:val="annotation reference"/>
    <w:basedOn w:val="DefaultParagraphFont"/>
    <w:uiPriority w:val="99"/>
    <w:semiHidden/>
    <w:unhideWhenUsed/>
    <w:rsid w:val="006C0152"/>
    <w:rPr>
      <w:sz w:val="16"/>
      <w:szCs w:val="16"/>
    </w:rPr>
  </w:style>
  <w:style w:type="paragraph" w:customStyle="1" w:styleId="Body">
    <w:name w:val="_Body"/>
    <w:basedOn w:val="Normal"/>
    <w:link w:val="BodyChar"/>
    <w:qFormat/>
    <w:rsid w:val="00AA53F3"/>
  </w:style>
  <w:style w:type="character" w:customStyle="1" w:styleId="BodyChar">
    <w:name w:val="_Body Char"/>
    <w:basedOn w:val="DefaultParagraphFont"/>
    <w:link w:val="Body"/>
    <w:rsid w:val="00AA53F3"/>
    <w:rPr>
      <w:rFonts w:ascii="Arial" w:hAnsi="Arial"/>
      <w:color w:val="000000" w:themeColor="text1"/>
      <w:sz w:val="22"/>
      <w:szCs w:val="24"/>
      <w:lang w:eastAsia="en-US"/>
    </w:rPr>
  </w:style>
  <w:style w:type="paragraph" w:styleId="Revision">
    <w:name w:val="Revision"/>
    <w:hidden/>
    <w:uiPriority w:val="99"/>
    <w:semiHidden/>
    <w:rsid w:val="00C14D6E"/>
    <w:rPr>
      <w:rFonts w:ascii="Arial" w:hAnsi="Arial"/>
      <w:color w:val="000000" w:themeColor="text1"/>
      <w:sz w:val="22"/>
      <w:szCs w:val="24"/>
      <w:lang w:eastAsia="en-US"/>
    </w:rPr>
  </w:style>
  <w:style w:type="paragraph" w:styleId="CommentSubject">
    <w:name w:val="annotation subject"/>
    <w:basedOn w:val="CommentText"/>
    <w:next w:val="CommentText"/>
    <w:link w:val="CommentSubjectChar"/>
    <w:semiHidden/>
    <w:unhideWhenUsed/>
    <w:rsid w:val="00C14D6E"/>
    <w:rPr>
      <w:b/>
      <w:bCs/>
    </w:rPr>
  </w:style>
  <w:style w:type="character" w:customStyle="1" w:styleId="CommentSubjectChar">
    <w:name w:val="Comment Subject Char"/>
    <w:basedOn w:val="CommentTextChar"/>
    <w:link w:val="CommentSubject"/>
    <w:semiHidden/>
    <w:rsid w:val="00C14D6E"/>
    <w:rPr>
      <w:rFonts w:ascii="Arial" w:hAnsi="Arial"/>
      <w:b/>
      <w:bCs/>
      <w:color w:val="000000" w:themeColor="text1"/>
      <w:lang w:eastAsia="en-US"/>
    </w:rPr>
  </w:style>
  <w:style w:type="character" w:styleId="UnresolvedMention">
    <w:name w:val="Unresolved Mention"/>
    <w:basedOn w:val="DefaultParagraphFont"/>
    <w:uiPriority w:val="99"/>
    <w:semiHidden/>
    <w:unhideWhenUsed/>
    <w:rsid w:val="007F2327"/>
    <w:rPr>
      <w:color w:val="605E5C"/>
      <w:shd w:val="clear" w:color="auto" w:fill="E1DFDD"/>
    </w:rPr>
  </w:style>
  <w:style w:type="character" w:styleId="Mention">
    <w:name w:val="Mention"/>
    <w:basedOn w:val="DefaultParagraphFont"/>
    <w:uiPriority w:val="99"/>
    <w:unhideWhenUsed/>
    <w:rsid w:val="00D71C1E"/>
    <w:rPr>
      <w:color w:val="2B579A"/>
      <w:shd w:val="clear" w:color="auto" w:fill="E1DFDD"/>
    </w:rPr>
  </w:style>
  <w:style w:type="character" w:styleId="FootnoteReference">
    <w:name w:val="footnote reference"/>
    <w:basedOn w:val="DefaultParagraphFont"/>
    <w:semiHidden/>
    <w:unhideWhenUsed/>
    <w:rsid w:val="000F06A5"/>
    <w:rPr>
      <w:vertAlign w:val="superscript"/>
    </w:rPr>
  </w:style>
  <w:style w:type="character" w:customStyle="1" w:styleId="Heading4Char">
    <w:name w:val="Heading 4 Char"/>
    <w:basedOn w:val="DefaultParagraphFont"/>
    <w:link w:val="Heading4"/>
    <w:rsid w:val="00175232"/>
    <w:rPr>
      <w:rFonts w:ascii="Arial" w:hAnsi="Arial"/>
      <w:b/>
      <w:bCs/>
      <w:color w:val="3F4A75" w:themeColor="text2"/>
      <w:sz w:val="22"/>
      <w:szCs w:val="24"/>
      <w:lang w:val="en-US" w:eastAsia="en-US"/>
    </w:rPr>
  </w:style>
  <w:style w:type="paragraph" w:customStyle="1" w:styleId="p1">
    <w:name w:val="p1"/>
    <w:basedOn w:val="Normal"/>
    <w:rsid w:val="00DB5AFB"/>
    <w:pPr>
      <w:spacing w:before="100" w:beforeAutospacing="1" w:after="100" w:afterAutospacing="1" w:line="240" w:lineRule="auto"/>
    </w:pPr>
    <w:rPr>
      <w:rFonts w:ascii="Times New Roman" w:hAnsi="Times New Roman"/>
      <w:color w:val="auto"/>
      <w:sz w:val="24"/>
      <w:lang w:eastAsia="en-GB"/>
    </w:rPr>
  </w:style>
  <w:style w:type="character" w:customStyle="1" w:styleId="normaltextrun">
    <w:name w:val="normaltextrun"/>
    <w:basedOn w:val="DefaultParagraphFont"/>
    <w:rsid w:val="00874E49"/>
  </w:style>
  <w:style w:type="character" w:customStyle="1" w:styleId="eop">
    <w:name w:val="eop"/>
    <w:basedOn w:val="DefaultParagraphFont"/>
    <w:rsid w:val="00874E49"/>
  </w:style>
  <w:style w:type="character" w:styleId="PageNumber">
    <w:name w:val="page number"/>
    <w:basedOn w:val="DefaultParagraphFont"/>
    <w:semiHidden/>
    <w:unhideWhenUsed/>
    <w:rsid w:val="00A511C7"/>
  </w:style>
  <w:style w:type="paragraph" w:customStyle="1" w:styleId="Long-termreform">
    <w:name w:val="Long-term reform"/>
    <w:basedOn w:val="Normal"/>
    <w:link w:val="Long-termreformChar"/>
    <w:qFormat/>
    <w:rsid w:val="008775EF"/>
    <w:pPr>
      <w:keepNext/>
    </w:pPr>
    <w:rPr>
      <w:b/>
      <w:color w:val="358189" w:themeColor="accent2"/>
    </w:rPr>
  </w:style>
  <w:style w:type="character" w:customStyle="1" w:styleId="Long-termreformChar">
    <w:name w:val="Long-term reform Char"/>
    <w:basedOn w:val="DefaultParagraphFont"/>
    <w:link w:val="Long-termreform"/>
    <w:rsid w:val="00C65C68"/>
    <w:rPr>
      <w:rFonts w:ascii="Arial" w:hAnsi="Arial"/>
      <w:b/>
      <w:color w:val="358189" w:themeColor="accent2"/>
      <w:sz w:val="22"/>
      <w:szCs w:val="24"/>
      <w:lang w:eastAsia="en-US"/>
    </w:rPr>
  </w:style>
  <w:style w:type="paragraph" w:customStyle="1" w:styleId="Exhibit">
    <w:name w:val="_Exhibit"/>
    <w:basedOn w:val="Normal"/>
    <w:link w:val="ExhibitChar"/>
    <w:qFormat/>
    <w:rsid w:val="008D23E5"/>
    <w:pPr>
      <w:keepNext/>
      <w:spacing w:after="120" w:line="240" w:lineRule="auto"/>
    </w:pPr>
    <w:rPr>
      <w:color w:val="3F4A75" w:themeColor="text2"/>
      <w:szCs w:val="22"/>
    </w:rPr>
  </w:style>
  <w:style w:type="character" w:customStyle="1" w:styleId="ExhibitChar">
    <w:name w:val="_Exhibit Char"/>
    <w:basedOn w:val="DefaultParagraphFont"/>
    <w:link w:val="Exhibit"/>
    <w:rsid w:val="00695D1F"/>
    <w:rPr>
      <w:rFonts w:ascii="Arial" w:hAnsi="Arial"/>
      <w:color w:val="3F4A75" w:themeColor="text2"/>
      <w:sz w:val="22"/>
      <w:szCs w:val="22"/>
      <w:lang w:eastAsia="en-US"/>
    </w:rPr>
  </w:style>
  <w:style w:type="paragraph" w:customStyle="1" w:styleId="TableBullet">
    <w:name w:val="_Table Bullet"/>
    <w:basedOn w:val="ListParagraph"/>
    <w:link w:val="TableBulletChar"/>
    <w:qFormat/>
    <w:rsid w:val="008F7499"/>
    <w:pPr>
      <w:numPr>
        <w:numId w:val="5"/>
      </w:numPr>
      <w:spacing w:before="20" w:after="20"/>
    </w:pPr>
    <w:rPr>
      <w:rFonts w:cs="Arial"/>
      <w:color w:val="auto"/>
      <w:sz w:val="19"/>
      <w:szCs w:val="19"/>
    </w:rPr>
  </w:style>
  <w:style w:type="character" w:customStyle="1" w:styleId="ListParagraphChar">
    <w:name w:val="List Paragraph Char"/>
    <w:basedOn w:val="DefaultParagraphFont"/>
    <w:link w:val="ListParagraph"/>
    <w:uiPriority w:val="34"/>
    <w:rsid w:val="00941255"/>
    <w:rPr>
      <w:rFonts w:ascii="Arial" w:hAnsi="Arial"/>
      <w:color w:val="000000" w:themeColor="text1"/>
      <w:sz w:val="22"/>
      <w:szCs w:val="24"/>
      <w:lang w:eastAsia="en-US"/>
    </w:rPr>
  </w:style>
  <w:style w:type="character" w:customStyle="1" w:styleId="TableBulletChar">
    <w:name w:val="_Table Bullet Char"/>
    <w:basedOn w:val="ListParagraphChar"/>
    <w:link w:val="TableBullet"/>
    <w:rsid w:val="00941255"/>
    <w:rPr>
      <w:rFonts w:ascii="Arial" w:hAnsi="Arial" w:cs="Arial"/>
      <w:color w:val="000000" w:themeColor="text1"/>
      <w:sz w:val="19"/>
      <w:szCs w:val="19"/>
      <w:lang w:eastAsia="en-US"/>
    </w:rPr>
  </w:style>
  <w:style w:type="paragraph" w:customStyle="1" w:styleId="TableSubBullet">
    <w:name w:val="_Table SubBullet"/>
    <w:basedOn w:val="ListParagraph"/>
    <w:link w:val="TableSubBulletChar"/>
    <w:qFormat/>
    <w:rsid w:val="00EF2F10"/>
    <w:pPr>
      <w:numPr>
        <w:numId w:val="8"/>
      </w:numPr>
      <w:spacing w:before="20" w:after="20"/>
      <w:ind w:left="599" w:hanging="336"/>
    </w:pPr>
    <w:rPr>
      <w:rFonts w:cs="Arial"/>
      <w:color w:val="auto"/>
      <w:sz w:val="19"/>
      <w:szCs w:val="19"/>
    </w:rPr>
  </w:style>
  <w:style w:type="character" w:customStyle="1" w:styleId="TableSubBulletChar">
    <w:name w:val="_Table SubBullet Char"/>
    <w:basedOn w:val="ListParagraphChar"/>
    <w:link w:val="TableSubBullet"/>
    <w:rsid w:val="00941255"/>
    <w:rPr>
      <w:rFonts w:ascii="Arial" w:hAnsi="Arial" w:cs="Arial"/>
      <w:color w:val="000000" w:themeColor="text1"/>
      <w:sz w:val="19"/>
      <w:szCs w:val="19"/>
      <w:lang w:eastAsia="en-US"/>
    </w:rPr>
  </w:style>
  <w:style w:type="paragraph" w:customStyle="1" w:styleId="ReformTable">
    <w:name w:val="ReformTable"/>
    <w:basedOn w:val="Normal"/>
    <w:link w:val="ReformTableChar"/>
    <w:qFormat/>
    <w:rsid w:val="00933FF5"/>
    <w:pPr>
      <w:spacing w:before="20" w:after="20"/>
    </w:pPr>
    <w:rPr>
      <w:color w:val="005EB8"/>
      <w:sz w:val="19"/>
    </w:rPr>
  </w:style>
  <w:style w:type="character" w:customStyle="1" w:styleId="ReformTableChar">
    <w:name w:val="ReformTable Char"/>
    <w:basedOn w:val="DefaultParagraphFont"/>
    <w:link w:val="ReformTable"/>
    <w:rsid w:val="00933FF5"/>
    <w:rPr>
      <w:rFonts w:ascii="Arial" w:hAnsi="Arial"/>
      <w:color w:val="005EB8"/>
      <w:sz w:val="19"/>
      <w:szCs w:val="24"/>
      <w:lang w:eastAsia="en-US"/>
    </w:rPr>
  </w:style>
  <w:style w:type="paragraph" w:customStyle="1" w:styleId="paragraph">
    <w:name w:val="paragraph"/>
    <w:basedOn w:val="Normal"/>
    <w:rsid w:val="009C4DDA"/>
    <w:pPr>
      <w:spacing w:before="100" w:beforeAutospacing="1" w:after="100" w:afterAutospacing="1" w:line="240" w:lineRule="auto"/>
    </w:pPr>
    <w:rPr>
      <w:rFonts w:ascii="Times New Roman" w:hAnsi="Times New Roman"/>
      <w:color w:val="auto"/>
      <w:sz w:val="24"/>
      <w:lang w:eastAsia="en-GB"/>
    </w:rPr>
  </w:style>
  <w:style w:type="character" w:customStyle="1" w:styleId="scxp54598259">
    <w:name w:val="scxp54598259"/>
    <w:basedOn w:val="DefaultParagraphFont"/>
    <w:rsid w:val="0073014E"/>
  </w:style>
  <w:style w:type="paragraph" w:customStyle="1" w:styleId="Exhibit0">
    <w:name w:val="Exhibit"/>
    <w:basedOn w:val="Heading3"/>
    <w:rsid w:val="005E16BF"/>
  </w:style>
  <w:style w:type="paragraph" w:customStyle="1" w:styleId="LToption">
    <w:name w:val="LT option"/>
    <w:basedOn w:val="Normal"/>
    <w:link w:val="LToptionChar"/>
    <w:qFormat/>
    <w:rsid w:val="003962B7"/>
    <w:pPr>
      <w:keepNext/>
    </w:pPr>
    <w:rPr>
      <w:b/>
      <w:color w:val="358189" w:themeColor="accent2"/>
      <w:sz w:val="24"/>
    </w:rPr>
  </w:style>
  <w:style w:type="character" w:customStyle="1" w:styleId="LToptionChar">
    <w:name w:val="LT option Char"/>
    <w:basedOn w:val="Long-termreformChar"/>
    <w:link w:val="LToption"/>
    <w:rsid w:val="003962B7"/>
    <w:rPr>
      <w:rFonts w:ascii="Arial" w:hAnsi="Arial"/>
      <w:b/>
      <w:color w:val="358189" w:themeColor="accent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574">
      <w:bodyDiv w:val="1"/>
      <w:marLeft w:val="0"/>
      <w:marRight w:val="0"/>
      <w:marTop w:val="0"/>
      <w:marBottom w:val="0"/>
      <w:divBdr>
        <w:top w:val="none" w:sz="0" w:space="0" w:color="auto"/>
        <w:left w:val="none" w:sz="0" w:space="0" w:color="auto"/>
        <w:bottom w:val="none" w:sz="0" w:space="0" w:color="auto"/>
        <w:right w:val="none" w:sz="0" w:space="0" w:color="auto"/>
      </w:divBdr>
    </w:div>
    <w:div w:id="6371321">
      <w:bodyDiv w:val="1"/>
      <w:marLeft w:val="0"/>
      <w:marRight w:val="0"/>
      <w:marTop w:val="0"/>
      <w:marBottom w:val="0"/>
      <w:divBdr>
        <w:top w:val="none" w:sz="0" w:space="0" w:color="auto"/>
        <w:left w:val="none" w:sz="0" w:space="0" w:color="auto"/>
        <w:bottom w:val="none" w:sz="0" w:space="0" w:color="auto"/>
        <w:right w:val="none" w:sz="0" w:space="0" w:color="auto"/>
      </w:divBdr>
      <w:divsChild>
        <w:div w:id="420956406">
          <w:marLeft w:val="274"/>
          <w:marRight w:val="0"/>
          <w:marTop w:val="0"/>
          <w:marBottom w:val="0"/>
          <w:divBdr>
            <w:top w:val="none" w:sz="0" w:space="0" w:color="auto"/>
            <w:left w:val="none" w:sz="0" w:space="0" w:color="auto"/>
            <w:bottom w:val="none" w:sz="0" w:space="0" w:color="auto"/>
            <w:right w:val="none" w:sz="0" w:space="0" w:color="auto"/>
          </w:divBdr>
        </w:div>
        <w:div w:id="916136715">
          <w:marLeft w:val="274"/>
          <w:marRight w:val="0"/>
          <w:marTop w:val="0"/>
          <w:marBottom w:val="0"/>
          <w:divBdr>
            <w:top w:val="none" w:sz="0" w:space="0" w:color="auto"/>
            <w:left w:val="none" w:sz="0" w:space="0" w:color="auto"/>
            <w:bottom w:val="none" w:sz="0" w:space="0" w:color="auto"/>
            <w:right w:val="none" w:sz="0" w:space="0" w:color="auto"/>
          </w:divBdr>
        </w:div>
      </w:divsChild>
    </w:div>
    <w:div w:id="10646359">
      <w:bodyDiv w:val="1"/>
      <w:marLeft w:val="0"/>
      <w:marRight w:val="0"/>
      <w:marTop w:val="0"/>
      <w:marBottom w:val="0"/>
      <w:divBdr>
        <w:top w:val="none" w:sz="0" w:space="0" w:color="auto"/>
        <w:left w:val="none" w:sz="0" w:space="0" w:color="auto"/>
        <w:bottom w:val="none" w:sz="0" w:space="0" w:color="auto"/>
        <w:right w:val="none" w:sz="0" w:space="0" w:color="auto"/>
      </w:divBdr>
    </w:div>
    <w:div w:id="18506190">
      <w:bodyDiv w:val="1"/>
      <w:marLeft w:val="0"/>
      <w:marRight w:val="0"/>
      <w:marTop w:val="0"/>
      <w:marBottom w:val="0"/>
      <w:divBdr>
        <w:top w:val="none" w:sz="0" w:space="0" w:color="auto"/>
        <w:left w:val="none" w:sz="0" w:space="0" w:color="auto"/>
        <w:bottom w:val="none" w:sz="0" w:space="0" w:color="auto"/>
        <w:right w:val="none" w:sz="0" w:space="0" w:color="auto"/>
      </w:divBdr>
    </w:div>
    <w:div w:id="19164393">
      <w:bodyDiv w:val="1"/>
      <w:marLeft w:val="0"/>
      <w:marRight w:val="0"/>
      <w:marTop w:val="0"/>
      <w:marBottom w:val="0"/>
      <w:divBdr>
        <w:top w:val="none" w:sz="0" w:space="0" w:color="auto"/>
        <w:left w:val="none" w:sz="0" w:space="0" w:color="auto"/>
        <w:bottom w:val="none" w:sz="0" w:space="0" w:color="auto"/>
        <w:right w:val="none" w:sz="0" w:space="0" w:color="auto"/>
      </w:divBdr>
    </w:div>
    <w:div w:id="31417296">
      <w:bodyDiv w:val="1"/>
      <w:marLeft w:val="0"/>
      <w:marRight w:val="0"/>
      <w:marTop w:val="0"/>
      <w:marBottom w:val="0"/>
      <w:divBdr>
        <w:top w:val="none" w:sz="0" w:space="0" w:color="auto"/>
        <w:left w:val="none" w:sz="0" w:space="0" w:color="auto"/>
        <w:bottom w:val="none" w:sz="0" w:space="0" w:color="auto"/>
        <w:right w:val="none" w:sz="0" w:space="0" w:color="auto"/>
      </w:divBdr>
    </w:div>
    <w:div w:id="35086832">
      <w:bodyDiv w:val="1"/>
      <w:marLeft w:val="0"/>
      <w:marRight w:val="0"/>
      <w:marTop w:val="0"/>
      <w:marBottom w:val="0"/>
      <w:divBdr>
        <w:top w:val="none" w:sz="0" w:space="0" w:color="auto"/>
        <w:left w:val="none" w:sz="0" w:space="0" w:color="auto"/>
        <w:bottom w:val="none" w:sz="0" w:space="0" w:color="auto"/>
        <w:right w:val="none" w:sz="0" w:space="0" w:color="auto"/>
      </w:divBdr>
    </w:div>
    <w:div w:id="41097039">
      <w:bodyDiv w:val="1"/>
      <w:marLeft w:val="0"/>
      <w:marRight w:val="0"/>
      <w:marTop w:val="0"/>
      <w:marBottom w:val="0"/>
      <w:divBdr>
        <w:top w:val="none" w:sz="0" w:space="0" w:color="auto"/>
        <w:left w:val="none" w:sz="0" w:space="0" w:color="auto"/>
        <w:bottom w:val="none" w:sz="0" w:space="0" w:color="auto"/>
        <w:right w:val="none" w:sz="0" w:space="0" w:color="auto"/>
      </w:divBdr>
      <w:divsChild>
        <w:div w:id="336812210">
          <w:marLeft w:val="302"/>
          <w:marRight w:val="0"/>
          <w:marTop w:val="0"/>
          <w:marBottom w:val="0"/>
          <w:divBdr>
            <w:top w:val="none" w:sz="0" w:space="0" w:color="auto"/>
            <w:left w:val="none" w:sz="0" w:space="0" w:color="auto"/>
            <w:bottom w:val="none" w:sz="0" w:space="0" w:color="auto"/>
            <w:right w:val="none" w:sz="0" w:space="0" w:color="auto"/>
          </w:divBdr>
        </w:div>
        <w:div w:id="954865247">
          <w:marLeft w:val="302"/>
          <w:marRight w:val="0"/>
          <w:marTop w:val="0"/>
          <w:marBottom w:val="0"/>
          <w:divBdr>
            <w:top w:val="none" w:sz="0" w:space="0" w:color="auto"/>
            <w:left w:val="none" w:sz="0" w:space="0" w:color="auto"/>
            <w:bottom w:val="none" w:sz="0" w:space="0" w:color="auto"/>
            <w:right w:val="none" w:sz="0" w:space="0" w:color="auto"/>
          </w:divBdr>
        </w:div>
        <w:div w:id="1142041643">
          <w:marLeft w:val="619"/>
          <w:marRight w:val="0"/>
          <w:marTop w:val="0"/>
          <w:marBottom w:val="0"/>
          <w:divBdr>
            <w:top w:val="none" w:sz="0" w:space="0" w:color="auto"/>
            <w:left w:val="none" w:sz="0" w:space="0" w:color="auto"/>
            <w:bottom w:val="none" w:sz="0" w:space="0" w:color="auto"/>
            <w:right w:val="none" w:sz="0" w:space="0" w:color="auto"/>
          </w:divBdr>
        </w:div>
        <w:div w:id="1530606735">
          <w:marLeft w:val="619"/>
          <w:marRight w:val="0"/>
          <w:marTop w:val="0"/>
          <w:marBottom w:val="0"/>
          <w:divBdr>
            <w:top w:val="none" w:sz="0" w:space="0" w:color="auto"/>
            <w:left w:val="none" w:sz="0" w:space="0" w:color="auto"/>
            <w:bottom w:val="none" w:sz="0" w:space="0" w:color="auto"/>
            <w:right w:val="none" w:sz="0" w:space="0" w:color="auto"/>
          </w:divBdr>
        </w:div>
        <w:div w:id="1794711018">
          <w:marLeft w:val="619"/>
          <w:marRight w:val="0"/>
          <w:marTop w:val="0"/>
          <w:marBottom w:val="0"/>
          <w:divBdr>
            <w:top w:val="none" w:sz="0" w:space="0" w:color="auto"/>
            <w:left w:val="none" w:sz="0" w:space="0" w:color="auto"/>
            <w:bottom w:val="none" w:sz="0" w:space="0" w:color="auto"/>
            <w:right w:val="none" w:sz="0" w:space="0" w:color="auto"/>
          </w:divBdr>
        </w:div>
        <w:div w:id="1812671222">
          <w:marLeft w:val="302"/>
          <w:marRight w:val="0"/>
          <w:marTop w:val="0"/>
          <w:marBottom w:val="0"/>
          <w:divBdr>
            <w:top w:val="none" w:sz="0" w:space="0" w:color="auto"/>
            <w:left w:val="none" w:sz="0" w:space="0" w:color="auto"/>
            <w:bottom w:val="none" w:sz="0" w:space="0" w:color="auto"/>
            <w:right w:val="none" w:sz="0" w:space="0" w:color="auto"/>
          </w:divBdr>
        </w:div>
        <w:div w:id="1832940701">
          <w:marLeft w:val="302"/>
          <w:marRight w:val="0"/>
          <w:marTop w:val="0"/>
          <w:marBottom w:val="0"/>
          <w:divBdr>
            <w:top w:val="none" w:sz="0" w:space="0" w:color="auto"/>
            <w:left w:val="none" w:sz="0" w:space="0" w:color="auto"/>
            <w:bottom w:val="none" w:sz="0" w:space="0" w:color="auto"/>
            <w:right w:val="none" w:sz="0" w:space="0" w:color="auto"/>
          </w:divBdr>
        </w:div>
      </w:divsChild>
    </w:div>
    <w:div w:id="44909973">
      <w:bodyDiv w:val="1"/>
      <w:marLeft w:val="0"/>
      <w:marRight w:val="0"/>
      <w:marTop w:val="0"/>
      <w:marBottom w:val="0"/>
      <w:divBdr>
        <w:top w:val="none" w:sz="0" w:space="0" w:color="auto"/>
        <w:left w:val="none" w:sz="0" w:space="0" w:color="auto"/>
        <w:bottom w:val="none" w:sz="0" w:space="0" w:color="auto"/>
        <w:right w:val="none" w:sz="0" w:space="0" w:color="auto"/>
      </w:divBdr>
    </w:div>
    <w:div w:id="54747157">
      <w:bodyDiv w:val="1"/>
      <w:marLeft w:val="0"/>
      <w:marRight w:val="0"/>
      <w:marTop w:val="0"/>
      <w:marBottom w:val="0"/>
      <w:divBdr>
        <w:top w:val="none" w:sz="0" w:space="0" w:color="auto"/>
        <w:left w:val="none" w:sz="0" w:space="0" w:color="auto"/>
        <w:bottom w:val="none" w:sz="0" w:space="0" w:color="auto"/>
        <w:right w:val="none" w:sz="0" w:space="0" w:color="auto"/>
      </w:divBdr>
    </w:div>
    <w:div w:id="55858017">
      <w:bodyDiv w:val="1"/>
      <w:marLeft w:val="0"/>
      <w:marRight w:val="0"/>
      <w:marTop w:val="0"/>
      <w:marBottom w:val="0"/>
      <w:divBdr>
        <w:top w:val="none" w:sz="0" w:space="0" w:color="auto"/>
        <w:left w:val="none" w:sz="0" w:space="0" w:color="auto"/>
        <w:bottom w:val="none" w:sz="0" w:space="0" w:color="auto"/>
        <w:right w:val="none" w:sz="0" w:space="0" w:color="auto"/>
      </w:divBdr>
    </w:div>
    <w:div w:id="58212134">
      <w:bodyDiv w:val="1"/>
      <w:marLeft w:val="0"/>
      <w:marRight w:val="0"/>
      <w:marTop w:val="0"/>
      <w:marBottom w:val="0"/>
      <w:divBdr>
        <w:top w:val="none" w:sz="0" w:space="0" w:color="auto"/>
        <w:left w:val="none" w:sz="0" w:space="0" w:color="auto"/>
        <w:bottom w:val="none" w:sz="0" w:space="0" w:color="auto"/>
        <w:right w:val="none" w:sz="0" w:space="0" w:color="auto"/>
      </w:divBdr>
    </w:div>
    <w:div w:id="63332931">
      <w:bodyDiv w:val="1"/>
      <w:marLeft w:val="0"/>
      <w:marRight w:val="0"/>
      <w:marTop w:val="0"/>
      <w:marBottom w:val="0"/>
      <w:divBdr>
        <w:top w:val="none" w:sz="0" w:space="0" w:color="auto"/>
        <w:left w:val="none" w:sz="0" w:space="0" w:color="auto"/>
        <w:bottom w:val="none" w:sz="0" w:space="0" w:color="auto"/>
        <w:right w:val="none" w:sz="0" w:space="0" w:color="auto"/>
      </w:divBdr>
    </w:div>
    <w:div w:id="80494943">
      <w:bodyDiv w:val="1"/>
      <w:marLeft w:val="0"/>
      <w:marRight w:val="0"/>
      <w:marTop w:val="0"/>
      <w:marBottom w:val="0"/>
      <w:divBdr>
        <w:top w:val="none" w:sz="0" w:space="0" w:color="auto"/>
        <w:left w:val="none" w:sz="0" w:space="0" w:color="auto"/>
        <w:bottom w:val="none" w:sz="0" w:space="0" w:color="auto"/>
        <w:right w:val="none" w:sz="0" w:space="0" w:color="auto"/>
      </w:divBdr>
      <w:divsChild>
        <w:div w:id="85151886">
          <w:marLeft w:val="302"/>
          <w:marRight w:val="0"/>
          <w:marTop w:val="0"/>
          <w:marBottom w:val="0"/>
          <w:divBdr>
            <w:top w:val="none" w:sz="0" w:space="0" w:color="auto"/>
            <w:left w:val="none" w:sz="0" w:space="0" w:color="auto"/>
            <w:bottom w:val="none" w:sz="0" w:space="0" w:color="auto"/>
            <w:right w:val="none" w:sz="0" w:space="0" w:color="auto"/>
          </w:divBdr>
        </w:div>
      </w:divsChild>
    </w:div>
    <w:div w:id="119305368">
      <w:bodyDiv w:val="1"/>
      <w:marLeft w:val="0"/>
      <w:marRight w:val="0"/>
      <w:marTop w:val="0"/>
      <w:marBottom w:val="0"/>
      <w:divBdr>
        <w:top w:val="none" w:sz="0" w:space="0" w:color="auto"/>
        <w:left w:val="none" w:sz="0" w:space="0" w:color="auto"/>
        <w:bottom w:val="none" w:sz="0" w:space="0" w:color="auto"/>
        <w:right w:val="none" w:sz="0" w:space="0" w:color="auto"/>
      </w:divBdr>
      <w:divsChild>
        <w:div w:id="627511497">
          <w:marLeft w:val="274"/>
          <w:marRight w:val="0"/>
          <w:marTop w:val="0"/>
          <w:marBottom w:val="0"/>
          <w:divBdr>
            <w:top w:val="none" w:sz="0" w:space="0" w:color="auto"/>
            <w:left w:val="none" w:sz="0" w:space="0" w:color="auto"/>
            <w:bottom w:val="none" w:sz="0" w:space="0" w:color="auto"/>
            <w:right w:val="none" w:sz="0" w:space="0" w:color="auto"/>
          </w:divBdr>
        </w:div>
      </w:divsChild>
    </w:div>
    <w:div w:id="123740891">
      <w:bodyDiv w:val="1"/>
      <w:marLeft w:val="0"/>
      <w:marRight w:val="0"/>
      <w:marTop w:val="0"/>
      <w:marBottom w:val="0"/>
      <w:divBdr>
        <w:top w:val="none" w:sz="0" w:space="0" w:color="auto"/>
        <w:left w:val="none" w:sz="0" w:space="0" w:color="auto"/>
        <w:bottom w:val="none" w:sz="0" w:space="0" w:color="auto"/>
        <w:right w:val="none" w:sz="0" w:space="0" w:color="auto"/>
      </w:divBdr>
    </w:div>
    <w:div w:id="125241365">
      <w:bodyDiv w:val="1"/>
      <w:marLeft w:val="0"/>
      <w:marRight w:val="0"/>
      <w:marTop w:val="0"/>
      <w:marBottom w:val="0"/>
      <w:divBdr>
        <w:top w:val="none" w:sz="0" w:space="0" w:color="auto"/>
        <w:left w:val="none" w:sz="0" w:space="0" w:color="auto"/>
        <w:bottom w:val="none" w:sz="0" w:space="0" w:color="auto"/>
        <w:right w:val="none" w:sz="0" w:space="0" w:color="auto"/>
      </w:divBdr>
      <w:divsChild>
        <w:div w:id="919951486">
          <w:marLeft w:val="461"/>
          <w:marRight w:val="0"/>
          <w:marTop w:val="0"/>
          <w:marBottom w:val="0"/>
          <w:divBdr>
            <w:top w:val="none" w:sz="0" w:space="0" w:color="auto"/>
            <w:left w:val="none" w:sz="0" w:space="0" w:color="auto"/>
            <w:bottom w:val="none" w:sz="0" w:space="0" w:color="auto"/>
            <w:right w:val="none" w:sz="0" w:space="0" w:color="auto"/>
          </w:divBdr>
        </w:div>
        <w:div w:id="1201547957">
          <w:marLeft w:val="461"/>
          <w:marRight w:val="0"/>
          <w:marTop w:val="0"/>
          <w:marBottom w:val="0"/>
          <w:divBdr>
            <w:top w:val="none" w:sz="0" w:space="0" w:color="auto"/>
            <w:left w:val="none" w:sz="0" w:space="0" w:color="auto"/>
            <w:bottom w:val="none" w:sz="0" w:space="0" w:color="auto"/>
            <w:right w:val="none" w:sz="0" w:space="0" w:color="auto"/>
          </w:divBdr>
        </w:div>
        <w:div w:id="1298758073">
          <w:marLeft w:val="461"/>
          <w:marRight w:val="0"/>
          <w:marTop w:val="0"/>
          <w:marBottom w:val="0"/>
          <w:divBdr>
            <w:top w:val="none" w:sz="0" w:space="0" w:color="auto"/>
            <w:left w:val="none" w:sz="0" w:space="0" w:color="auto"/>
            <w:bottom w:val="none" w:sz="0" w:space="0" w:color="auto"/>
            <w:right w:val="none" w:sz="0" w:space="0" w:color="auto"/>
          </w:divBdr>
        </w:div>
        <w:div w:id="1397359331">
          <w:marLeft w:val="461"/>
          <w:marRight w:val="0"/>
          <w:marTop w:val="0"/>
          <w:marBottom w:val="0"/>
          <w:divBdr>
            <w:top w:val="none" w:sz="0" w:space="0" w:color="auto"/>
            <w:left w:val="none" w:sz="0" w:space="0" w:color="auto"/>
            <w:bottom w:val="none" w:sz="0" w:space="0" w:color="auto"/>
            <w:right w:val="none" w:sz="0" w:space="0" w:color="auto"/>
          </w:divBdr>
        </w:div>
        <w:div w:id="1733625184">
          <w:marLeft w:val="461"/>
          <w:marRight w:val="0"/>
          <w:marTop w:val="0"/>
          <w:marBottom w:val="0"/>
          <w:divBdr>
            <w:top w:val="none" w:sz="0" w:space="0" w:color="auto"/>
            <w:left w:val="none" w:sz="0" w:space="0" w:color="auto"/>
            <w:bottom w:val="none" w:sz="0" w:space="0" w:color="auto"/>
            <w:right w:val="none" w:sz="0" w:space="0" w:color="auto"/>
          </w:divBdr>
        </w:div>
        <w:div w:id="1822572533">
          <w:marLeft w:val="461"/>
          <w:marRight w:val="0"/>
          <w:marTop w:val="0"/>
          <w:marBottom w:val="0"/>
          <w:divBdr>
            <w:top w:val="none" w:sz="0" w:space="0" w:color="auto"/>
            <w:left w:val="none" w:sz="0" w:space="0" w:color="auto"/>
            <w:bottom w:val="none" w:sz="0" w:space="0" w:color="auto"/>
            <w:right w:val="none" w:sz="0" w:space="0" w:color="auto"/>
          </w:divBdr>
        </w:div>
      </w:divsChild>
    </w:div>
    <w:div w:id="128204296">
      <w:bodyDiv w:val="1"/>
      <w:marLeft w:val="0"/>
      <w:marRight w:val="0"/>
      <w:marTop w:val="0"/>
      <w:marBottom w:val="0"/>
      <w:divBdr>
        <w:top w:val="none" w:sz="0" w:space="0" w:color="auto"/>
        <w:left w:val="none" w:sz="0" w:space="0" w:color="auto"/>
        <w:bottom w:val="none" w:sz="0" w:space="0" w:color="auto"/>
        <w:right w:val="none" w:sz="0" w:space="0" w:color="auto"/>
      </w:divBdr>
      <w:divsChild>
        <w:div w:id="1389232817">
          <w:marLeft w:val="590"/>
          <w:marRight w:val="0"/>
          <w:marTop w:val="0"/>
          <w:marBottom w:val="40"/>
          <w:divBdr>
            <w:top w:val="none" w:sz="0" w:space="0" w:color="auto"/>
            <w:left w:val="none" w:sz="0" w:space="0" w:color="auto"/>
            <w:bottom w:val="none" w:sz="0" w:space="0" w:color="auto"/>
            <w:right w:val="none" w:sz="0" w:space="0" w:color="auto"/>
          </w:divBdr>
        </w:div>
        <w:div w:id="2036692113">
          <w:marLeft w:val="590"/>
          <w:marRight w:val="0"/>
          <w:marTop w:val="0"/>
          <w:marBottom w:val="40"/>
          <w:divBdr>
            <w:top w:val="none" w:sz="0" w:space="0" w:color="auto"/>
            <w:left w:val="none" w:sz="0" w:space="0" w:color="auto"/>
            <w:bottom w:val="none" w:sz="0" w:space="0" w:color="auto"/>
            <w:right w:val="none" w:sz="0" w:space="0" w:color="auto"/>
          </w:divBdr>
        </w:div>
      </w:divsChild>
    </w:div>
    <w:div w:id="129516241">
      <w:bodyDiv w:val="1"/>
      <w:marLeft w:val="0"/>
      <w:marRight w:val="0"/>
      <w:marTop w:val="0"/>
      <w:marBottom w:val="0"/>
      <w:divBdr>
        <w:top w:val="none" w:sz="0" w:space="0" w:color="auto"/>
        <w:left w:val="none" w:sz="0" w:space="0" w:color="auto"/>
        <w:bottom w:val="none" w:sz="0" w:space="0" w:color="auto"/>
        <w:right w:val="none" w:sz="0" w:space="0" w:color="auto"/>
      </w:divBdr>
    </w:div>
    <w:div w:id="130944804">
      <w:bodyDiv w:val="1"/>
      <w:marLeft w:val="0"/>
      <w:marRight w:val="0"/>
      <w:marTop w:val="0"/>
      <w:marBottom w:val="0"/>
      <w:divBdr>
        <w:top w:val="none" w:sz="0" w:space="0" w:color="auto"/>
        <w:left w:val="none" w:sz="0" w:space="0" w:color="auto"/>
        <w:bottom w:val="none" w:sz="0" w:space="0" w:color="auto"/>
        <w:right w:val="none" w:sz="0" w:space="0" w:color="auto"/>
      </w:divBdr>
      <w:divsChild>
        <w:div w:id="11229959">
          <w:marLeft w:val="274"/>
          <w:marRight w:val="0"/>
          <w:marTop w:val="0"/>
          <w:marBottom w:val="120"/>
          <w:divBdr>
            <w:top w:val="none" w:sz="0" w:space="0" w:color="auto"/>
            <w:left w:val="none" w:sz="0" w:space="0" w:color="auto"/>
            <w:bottom w:val="none" w:sz="0" w:space="0" w:color="auto"/>
            <w:right w:val="none" w:sz="0" w:space="0" w:color="auto"/>
          </w:divBdr>
        </w:div>
        <w:div w:id="488131304">
          <w:marLeft w:val="274"/>
          <w:marRight w:val="0"/>
          <w:marTop w:val="0"/>
          <w:marBottom w:val="120"/>
          <w:divBdr>
            <w:top w:val="none" w:sz="0" w:space="0" w:color="auto"/>
            <w:left w:val="none" w:sz="0" w:space="0" w:color="auto"/>
            <w:bottom w:val="none" w:sz="0" w:space="0" w:color="auto"/>
            <w:right w:val="none" w:sz="0" w:space="0" w:color="auto"/>
          </w:divBdr>
        </w:div>
        <w:div w:id="1224175389">
          <w:marLeft w:val="274"/>
          <w:marRight w:val="0"/>
          <w:marTop w:val="0"/>
          <w:marBottom w:val="120"/>
          <w:divBdr>
            <w:top w:val="none" w:sz="0" w:space="0" w:color="auto"/>
            <w:left w:val="none" w:sz="0" w:space="0" w:color="auto"/>
            <w:bottom w:val="none" w:sz="0" w:space="0" w:color="auto"/>
            <w:right w:val="none" w:sz="0" w:space="0" w:color="auto"/>
          </w:divBdr>
        </w:div>
        <w:div w:id="1366826145">
          <w:marLeft w:val="274"/>
          <w:marRight w:val="0"/>
          <w:marTop w:val="0"/>
          <w:marBottom w:val="120"/>
          <w:divBdr>
            <w:top w:val="none" w:sz="0" w:space="0" w:color="auto"/>
            <w:left w:val="none" w:sz="0" w:space="0" w:color="auto"/>
            <w:bottom w:val="none" w:sz="0" w:space="0" w:color="auto"/>
            <w:right w:val="none" w:sz="0" w:space="0" w:color="auto"/>
          </w:divBdr>
        </w:div>
        <w:div w:id="1772503605">
          <w:marLeft w:val="274"/>
          <w:marRight w:val="0"/>
          <w:marTop w:val="0"/>
          <w:marBottom w:val="120"/>
          <w:divBdr>
            <w:top w:val="none" w:sz="0" w:space="0" w:color="auto"/>
            <w:left w:val="none" w:sz="0" w:space="0" w:color="auto"/>
            <w:bottom w:val="none" w:sz="0" w:space="0" w:color="auto"/>
            <w:right w:val="none" w:sz="0" w:space="0" w:color="auto"/>
          </w:divBdr>
        </w:div>
        <w:div w:id="2124495543">
          <w:marLeft w:val="274"/>
          <w:marRight w:val="0"/>
          <w:marTop w:val="0"/>
          <w:marBottom w:val="120"/>
          <w:divBdr>
            <w:top w:val="none" w:sz="0" w:space="0" w:color="auto"/>
            <w:left w:val="none" w:sz="0" w:space="0" w:color="auto"/>
            <w:bottom w:val="none" w:sz="0" w:space="0" w:color="auto"/>
            <w:right w:val="none" w:sz="0" w:space="0" w:color="auto"/>
          </w:divBdr>
        </w:div>
      </w:divsChild>
    </w:div>
    <w:div w:id="132450203">
      <w:bodyDiv w:val="1"/>
      <w:marLeft w:val="0"/>
      <w:marRight w:val="0"/>
      <w:marTop w:val="0"/>
      <w:marBottom w:val="0"/>
      <w:divBdr>
        <w:top w:val="none" w:sz="0" w:space="0" w:color="auto"/>
        <w:left w:val="none" w:sz="0" w:space="0" w:color="auto"/>
        <w:bottom w:val="none" w:sz="0" w:space="0" w:color="auto"/>
        <w:right w:val="none" w:sz="0" w:space="0" w:color="auto"/>
      </w:divBdr>
      <w:divsChild>
        <w:div w:id="946274691">
          <w:marLeft w:val="302"/>
          <w:marRight w:val="0"/>
          <w:marTop w:val="0"/>
          <w:marBottom w:val="0"/>
          <w:divBdr>
            <w:top w:val="none" w:sz="0" w:space="0" w:color="auto"/>
            <w:left w:val="none" w:sz="0" w:space="0" w:color="auto"/>
            <w:bottom w:val="none" w:sz="0" w:space="0" w:color="auto"/>
            <w:right w:val="none" w:sz="0" w:space="0" w:color="auto"/>
          </w:divBdr>
        </w:div>
      </w:divsChild>
    </w:div>
    <w:div w:id="140393847">
      <w:bodyDiv w:val="1"/>
      <w:marLeft w:val="0"/>
      <w:marRight w:val="0"/>
      <w:marTop w:val="0"/>
      <w:marBottom w:val="0"/>
      <w:divBdr>
        <w:top w:val="none" w:sz="0" w:space="0" w:color="auto"/>
        <w:left w:val="none" w:sz="0" w:space="0" w:color="auto"/>
        <w:bottom w:val="none" w:sz="0" w:space="0" w:color="auto"/>
        <w:right w:val="none" w:sz="0" w:space="0" w:color="auto"/>
      </w:divBdr>
      <w:divsChild>
        <w:div w:id="163013177">
          <w:marLeft w:val="0"/>
          <w:marRight w:val="0"/>
          <w:marTop w:val="0"/>
          <w:marBottom w:val="0"/>
          <w:divBdr>
            <w:top w:val="none" w:sz="0" w:space="0" w:color="auto"/>
            <w:left w:val="none" w:sz="0" w:space="0" w:color="auto"/>
            <w:bottom w:val="none" w:sz="0" w:space="0" w:color="auto"/>
            <w:right w:val="none" w:sz="0" w:space="0" w:color="auto"/>
          </w:divBdr>
        </w:div>
        <w:div w:id="871110136">
          <w:marLeft w:val="0"/>
          <w:marRight w:val="0"/>
          <w:marTop w:val="0"/>
          <w:marBottom w:val="0"/>
          <w:divBdr>
            <w:top w:val="none" w:sz="0" w:space="0" w:color="auto"/>
            <w:left w:val="none" w:sz="0" w:space="0" w:color="auto"/>
            <w:bottom w:val="none" w:sz="0" w:space="0" w:color="auto"/>
            <w:right w:val="none" w:sz="0" w:space="0" w:color="auto"/>
          </w:divBdr>
        </w:div>
        <w:div w:id="1221985494">
          <w:marLeft w:val="0"/>
          <w:marRight w:val="0"/>
          <w:marTop w:val="0"/>
          <w:marBottom w:val="0"/>
          <w:divBdr>
            <w:top w:val="none" w:sz="0" w:space="0" w:color="auto"/>
            <w:left w:val="none" w:sz="0" w:space="0" w:color="auto"/>
            <w:bottom w:val="none" w:sz="0" w:space="0" w:color="auto"/>
            <w:right w:val="none" w:sz="0" w:space="0" w:color="auto"/>
          </w:divBdr>
        </w:div>
        <w:div w:id="1787698605">
          <w:marLeft w:val="0"/>
          <w:marRight w:val="0"/>
          <w:marTop w:val="0"/>
          <w:marBottom w:val="0"/>
          <w:divBdr>
            <w:top w:val="none" w:sz="0" w:space="0" w:color="auto"/>
            <w:left w:val="none" w:sz="0" w:space="0" w:color="auto"/>
            <w:bottom w:val="none" w:sz="0" w:space="0" w:color="auto"/>
            <w:right w:val="none" w:sz="0" w:space="0" w:color="auto"/>
          </w:divBdr>
        </w:div>
      </w:divsChild>
    </w:div>
    <w:div w:id="151220646">
      <w:bodyDiv w:val="1"/>
      <w:marLeft w:val="0"/>
      <w:marRight w:val="0"/>
      <w:marTop w:val="0"/>
      <w:marBottom w:val="0"/>
      <w:divBdr>
        <w:top w:val="none" w:sz="0" w:space="0" w:color="auto"/>
        <w:left w:val="none" w:sz="0" w:space="0" w:color="auto"/>
        <w:bottom w:val="none" w:sz="0" w:space="0" w:color="auto"/>
        <w:right w:val="none" w:sz="0" w:space="0" w:color="auto"/>
      </w:divBdr>
      <w:divsChild>
        <w:div w:id="481165799">
          <w:marLeft w:val="0"/>
          <w:marRight w:val="0"/>
          <w:marTop w:val="60"/>
          <w:marBottom w:val="240"/>
          <w:divBdr>
            <w:top w:val="none" w:sz="0" w:space="0" w:color="auto"/>
            <w:left w:val="none" w:sz="0" w:space="0" w:color="auto"/>
            <w:bottom w:val="none" w:sz="0" w:space="0" w:color="auto"/>
            <w:right w:val="none" w:sz="0" w:space="0" w:color="auto"/>
          </w:divBdr>
        </w:div>
      </w:divsChild>
    </w:div>
    <w:div w:id="165170151">
      <w:bodyDiv w:val="1"/>
      <w:marLeft w:val="0"/>
      <w:marRight w:val="0"/>
      <w:marTop w:val="0"/>
      <w:marBottom w:val="0"/>
      <w:divBdr>
        <w:top w:val="none" w:sz="0" w:space="0" w:color="auto"/>
        <w:left w:val="none" w:sz="0" w:space="0" w:color="auto"/>
        <w:bottom w:val="none" w:sz="0" w:space="0" w:color="auto"/>
        <w:right w:val="none" w:sz="0" w:space="0" w:color="auto"/>
      </w:divBdr>
    </w:div>
    <w:div w:id="169686023">
      <w:bodyDiv w:val="1"/>
      <w:marLeft w:val="0"/>
      <w:marRight w:val="0"/>
      <w:marTop w:val="0"/>
      <w:marBottom w:val="0"/>
      <w:divBdr>
        <w:top w:val="none" w:sz="0" w:space="0" w:color="auto"/>
        <w:left w:val="none" w:sz="0" w:space="0" w:color="auto"/>
        <w:bottom w:val="none" w:sz="0" w:space="0" w:color="auto"/>
        <w:right w:val="none" w:sz="0" w:space="0" w:color="auto"/>
      </w:divBdr>
      <w:divsChild>
        <w:div w:id="26638361">
          <w:marLeft w:val="302"/>
          <w:marRight w:val="0"/>
          <w:marTop w:val="0"/>
          <w:marBottom w:val="0"/>
          <w:divBdr>
            <w:top w:val="none" w:sz="0" w:space="0" w:color="auto"/>
            <w:left w:val="none" w:sz="0" w:space="0" w:color="auto"/>
            <w:bottom w:val="none" w:sz="0" w:space="0" w:color="auto"/>
            <w:right w:val="none" w:sz="0" w:space="0" w:color="auto"/>
          </w:divBdr>
        </w:div>
        <w:div w:id="849175926">
          <w:marLeft w:val="619"/>
          <w:marRight w:val="0"/>
          <w:marTop w:val="0"/>
          <w:marBottom w:val="0"/>
          <w:divBdr>
            <w:top w:val="none" w:sz="0" w:space="0" w:color="auto"/>
            <w:left w:val="none" w:sz="0" w:space="0" w:color="auto"/>
            <w:bottom w:val="none" w:sz="0" w:space="0" w:color="auto"/>
            <w:right w:val="none" w:sz="0" w:space="0" w:color="auto"/>
          </w:divBdr>
        </w:div>
        <w:div w:id="1599873375">
          <w:marLeft w:val="619"/>
          <w:marRight w:val="0"/>
          <w:marTop w:val="0"/>
          <w:marBottom w:val="0"/>
          <w:divBdr>
            <w:top w:val="none" w:sz="0" w:space="0" w:color="auto"/>
            <w:left w:val="none" w:sz="0" w:space="0" w:color="auto"/>
            <w:bottom w:val="none" w:sz="0" w:space="0" w:color="auto"/>
            <w:right w:val="none" w:sz="0" w:space="0" w:color="auto"/>
          </w:divBdr>
        </w:div>
        <w:div w:id="1781097677">
          <w:marLeft w:val="302"/>
          <w:marRight w:val="0"/>
          <w:marTop w:val="0"/>
          <w:marBottom w:val="0"/>
          <w:divBdr>
            <w:top w:val="none" w:sz="0" w:space="0" w:color="auto"/>
            <w:left w:val="none" w:sz="0" w:space="0" w:color="auto"/>
            <w:bottom w:val="none" w:sz="0" w:space="0" w:color="auto"/>
            <w:right w:val="none" w:sz="0" w:space="0" w:color="auto"/>
          </w:divBdr>
        </w:div>
        <w:div w:id="1903905453">
          <w:marLeft w:val="619"/>
          <w:marRight w:val="0"/>
          <w:marTop w:val="0"/>
          <w:marBottom w:val="0"/>
          <w:divBdr>
            <w:top w:val="none" w:sz="0" w:space="0" w:color="auto"/>
            <w:left w:val="none" w:sz="0" w:space="0" w:color="auto"/>
            <w:bottom w:val="none" w:sz="0" w:space="0" w:color="auto"/>
            <w:right w:val="none" w:sz="0" w:space="0" w:color="auto"/>
          </w:divBdr>
        </w:div>
      </w:divsChild>
    </w:div>
    <w:div w:id="173618567">
      <w:bodyDiv w:val="1"/>
      <w:marLeft w:val="0"/>
      <w:marRight w:val="0"/>
      <w:marTop w:val="0"/>
      <w:marBottom w:val="0"/>
      <w:divBdr>
        <w:top w:val="none" w:sz="0" w:space="0" w:color="auto"/>
        <w:left w:val="none" w:sz="0" w:space="0" w:color="auto"/>
        <w:bottom w:val="none" w:sz="0" w:space="0" w:color="auto"/>
        <w:right w:val="none" w:sz="0" w:space="0" w:color="auto"/>
      </w:divBdr>
    </w:div>
    <w:div w:id="180513801">
      <w:bodyDiv w:val="1"/>
      <w:marLeft w:val="0"/>
      <w:marRight w:val="0"/>
      <w:marTop w:val="0"/>
      <w:marBottom w:val="0"/>
      <w:divBdr>
        <w:top w:val="none" w:sz="0" w:space="0" w:color="auto"/>
        <w:left w:val="none" w:sz="0" w:space="0" w:color="auto"/>
        <w:bottom w:val="none" w:sz="0" w:space="0" w:color="auto"/>
        <w:right w:val="none" w:sz="0" w:space="0" w:color="auto"/>
      </w:divBdr>
    </w:div>
    <w:div w:id="181669755">
      <w:bodyDiv w:val="1"/>
      <w:marLeft w:val="0"/>
      <w:marRight w:val="0"/>
      <w:marTop w:val="0"/>
      <w:marBottom w:val="0"/>
      <w:divBdr>
        <w:top w:val="none" w:sz="0" w:space="0" w:color="auto"/>
        <w:left w:val="none" w:sz="0" w:space="0" w:color="auto"/>
        <w:bottom w:val="none" w:sz="0" w:space="0" w:color="auto"/>
        <w:right w:val="none" w:sz="0" w:space="0" w:color="auto"/>
      </w:divBdr>
      <w:divsChild>
        <w:div w:id="156575950">
          <w:marLeft w:val="274"/>
          <w:marRight w:val="0"/>
          <w:marTop w:val="0"/>
          <w:marBottom w:val="0"/>
          <w:divBdr>
            <w:top w:val="none" w:sz="0" w:space="0" w:color="auto"/>
            <w:left w:val="none" w:sz="0" w:space="0" w:color="auto"/>
            <w:bottom w:val="none" w:sz="0" w:space="0" w:color="auto"/>
            <w:right w:val="none" w:sz="0" w:space="0" w:color="auto"/>
          </w:divBdr>
        </w:div>
        <w:div w:id="385840083">
          <w:marLeft w:val="274"/>
          <w:marRight w:val="0"/>
          <w:marTop w:val="0"/>
          <w:marBottom w:val="0"/>
          <w:divBdr>
            <w:top w:val="none" w:sz="0" w:space="0" w:color="auto"/>
            <w:left w:val="none" w:sz="0" w:space="0" w:color="auto"/>
            <w:bottom w:val="none" w:sz="0" w:space="0" w:color="auto"/>
            <w:right w:val="none" w:sz="0" w:space="0" w:color="auto"/>
          </w:divBdr>
        </w:div>
        <w:div w:id="1902474360">
          <w:marLeft w:val="274"/>
          <w:marRight w:val="0"/>
          <w:marTop w:val="0"/>
          <w:marBottom w:val="0"/>
          <w:divBdr>
            <w:top w:val="none" w:sz="0" w:space="0" w:color="auto"/>
            <w:left w:val="none" w:sz="0" w:space="0" w:color="auto"/>
            <w:bottom w:val="none" w:sz="0" w:space="0" w:color="auto"/>
            <w:right w:val="none" w:sz="0" w:space="0" w:color="auto"/>
          </w:divBdr>
        </w:div>
      </w:divsChild>
    </w:div>
    <w:div w:id="182089513">
      <w:bodyDiv w:val="1"/>
      <w:marLeft w:val="0"/>
      <w:marRight w:val="0"/>
      <w:marTop w:val="0"/>
      <w:marBottom w:val="0"/>
      <w:divBdr>
        <w:top w:val="none" w:sz="0" w:space="0" w:color="auto"/>
        <w:left w:val="none" w:sz="0" w:space="0" w:color="auto"/>
        <w:bottom w:val="none" w:sz="0" w:space="0" w:color="auto"/>
        <w:right w:val="none" w:sz="0" w:space="0" w:color="auto"/>
      </w:divBdr>
      <w:divsChild>
        <w:div w:id="518591039">
          <w:marLeft w:val="720"/>
          <w:marRight w:val="0"/>
          <w:marTop w:val="0"/>
          <w:marBottom w:val="0"/>
          <w:divBdr>
            <w:top w:val="none" w:sz="0" w:space="0" w:color="auto"/>
            <w:left w:val="none" w:sz="0" w:space="0" w:color="auto"/>
            <w:bottom w:val="none" w:sz="0" w:space="0" w:color="auto"/>
            <w:right w:val="none" w:sz="0" w:space="0" w:color="auto"/>
          </w:divBdr>
        </w:div>
      </w:divsChild>
    </w:div>
    <w:div w:id="201332313">
      <w:bodyDiv w:val="1"/>
      <w:marLeft w:val="0"/>
      <w:marRight w:val="0"/>
      <w:marTop w:val="0"/>
      <w:marBottom w:val="0"/>
      <w:divBdr>
        <w:top w:val="none" w:sz="0" w:space="0" w:color="auto"/>
        <w:left w:val="none" w:sz="0" w:space="0" w:color="auto"/>
        <w:bottom w:val="none" w:sz="0" w:space="0" w:color="auto"/>
        <w:right w:val="none" w:sz="0" w:space="0" w:color="auto"/>
      </w:divBdr>
      <w:divsChild>
        <w:div w:id="113258231">
          <w:marLeft w:val="432"/>
          <w:marRight w:val="0"/>
          <w:marTop w:val="0"/>
          <w:marBottom w:val="0"/>
          <w:divBdr>
            <w:top w:val="none" w:sz="0" w:space="0" w:color="auto"/>
            <w:left w:val="none" w:sz="0" w:space="0" w:color="auto"/>
            <w:bottom w:val="none" w:sz="0" w:space="0" w:color="auto"/>
            <w:right w:val="none" w:sz="0" w:space="0" w:color="auto"/>
          </w:divBdr>
        </w:div>
        <w:div w:id="131024778">
          <w:marLeft w:val="432"/>
          <w:marRight w:val="0"/>
          <w:marTop w:val="0"/>
          <w:marBottom w:val="0"/>
          <w:divBdr>
            <w:top w:val="none" w:sz="0" w:space="0" w:color="auto"/>
            <w:left w:val="none" w:sz="0" w:space="0" w:color="auto"/>
            <w:bottom w:val="none" w:sz="0" w:space="0" w:color="auto"/>
            <w:right w:val="none" w:sz="0" w:space="0" w:color="auto"/>
          </w:divBdr>
        </w:div>
        <w:div w:id="166601011">
          <w:marLeft w:val="446"/>
          <w:marRight w:val="0"/>
          <w:marTop w:val="0"/>
          <w:marBottom w:val="0"/>
          <w:divBdr>
            <w:top w:val="none" w:sz="0" w:space="0" w:color="auto"/>
            <w:left w:val="none" w:sz="0" w:space="0" w:color="auto"/>
            <w:bottom w:val="none" w:sz="0" w:space="0" w:color="auto"/>
            <w:right w:val="none" w:sz="0" w:space="0" w:color="auto"/>
          </w:divBdr>
        </w:div>
        <w:div w:id="410273866">
          <w:marLeft w:val="504"/>
          <w:marRight w:val="0"/>
          <w:marTop w:val="0"/>
          <w:marBottom w:val="0"/>
          <w:divBdr>
            <w:top w:val="none" w:sz="0" w:space="0" w:color="auto"/>
            <w:left w:val="none" w:sz="0" w:space="0" w:color="auto"/>
            <w:bottom w:val="none" w:sz="0" w:space="0" w:color="auto"/>
            <w:right w:val="none" w:sz="0" w:space="0" w:color="auto"/>
          </w:divBdr>
        </w:div>
        <w:div w:id="480929281">
          <w:marLeft w:val="504"/>
          <w:marRight w:val="0"/>
          <w:marTop w:val="0"/>
          <w:marBottom w:val="0"/>
          <w:divBdr>
            <w:top w:val="none" w:sz="0" w:space="0" w:color="auto"/>
            <w:left w:val="none" w:sz="0" w:space="0" w:color="auto"/>
            <w:bottom w:val="none" w:sz="0" w:space="0" w:color="auto"/>
            <w:right w:val="none" w:sz="0" w:space="0" w:color="auto"/>
          </w:divBdr>
        </w:div>
        <w:div w:id="596016010">
          <w:marLeft w:val="446"/>
          <w:marRight w:val="0"/>
          <w:marTop w:val="0"/>
          <w:marBottom w:val="0"/>
          <w:divBdr>
            <w:top w:val="none" w:sz="0" w:space="0" w:color="auto"/>
            <w:left w:val="none" w:sz="0" w:space="0" w:color="auto"/>
            <w:bottom w:val="none" w:sz="0" w:space="0" w:color="auto"/>
            <w:right w:val="none" w:sz="0" w:space="0" w:color="auto"/>
          </w:divBdr>
        </w:div>
        <w:div w:id="760102825">
          <w:marLeft w:val="446"/>
          <w:marRight w:val="0"/>
          <w:marTop w:val="0"/>
          <w:marBottom w:val="0"/>
          <w:divBdr>
            <w:top w:val="none" w:sz="0" w:space="0" w:color="auto"/>
            <w:left w:val="none" w:sz="0" w:space="0" w:color="auto"/>
            <w:bottom w:val="none" w:sz="0" w:space="0" w:color="auto"/>
            <w:right w:val="none" w:sz="0" w:space="0" w:color="auto"/>
          </w:divBdr>
        </w:div>
        <w:div w:id="845704263">
          <w:marLeft w:val="504"/>
          <w:marRight w:val="0"/>
          <w:marTop w:val="0"/>
          <w:marBottom w:val="0"/>
          <w:divBdr>
            <w:top w:val="none" w:sz="0" w:space="0" w:color="auto"/>
            <w:left w:val="none" w:sz="0" w:space="0" w:color="auto"/>
            <w:bottom w:val="none" w:sz="0" w:space="0" w:color="auto"/>
            <w:right w:val="none" w:sz="0" w:space="0" w:color="auto"/>
          </w:divBdr>
        </w:div>
        <w:div w:id="899249082">
          <w:marLeft w:val="432"/>
          <w:marRight w:val="0"/>
          <w:marTop w:val="0"/>
          <w:marBottom w:val="0"/>
          <w:divBdr>
            <w:top w:val="none" w:sz="0" w:space="0" w:color="auto"/>
            <w:left w:val="none" w:sz="0" w:space="0" w:color="auto"/>
            <w:bottom w:val="none" w:sz="0" w:space="0" w:color="auto"/>
            <w:right w:val="none" w:sz="0" w:space="0" w:color="auto"/>
          </w:divBdr>
        </w:div>
        <w:div w:id="1075710050">
          <w:marLeft w:val="432"/>
          <w:marRight w:val="0"/>
          <w:marTop w:val="0"/>
          <w:marBottom w:val="0"/>
          <w:divBdr>
            <w:top w:val="none" w:sz="0" w:space="0" w:color="auto"/>
            <w:left w:val="none" w:sz="0" w:space="0" w:color="auto"/>
            <w:bottom w:val="none" w:sz="0" w:space="0" w:color="auto"/>
            <w:right w:val="none" w:sz="0" w:space="0" w:color="auto"/>
          </w:divBdr>
        </w:div>
        <w:div w:id="1138885225">
          <w:marLeft w:val="446"/>
          <w:marRight w:val="0"/>
          <w:marTop w:val="0"/>
          <w:marBottom w:val="0"/>
          <w:divBdr>
            <w:top w:val="none" w:sz="0" w:space="0" w:color="auto"/>
            <w:left w:val="none" w:sz="0" w:space="0" w:color="auto"/>
            <w:bottom w:val="none" w:sz="0" w:space="0" w:color="auto"/>
            <w:right w:val="none" w:sz="0" w:space="0" w:color="auto"/>
          </w:divBdr>
        </w:div>
        <w:div w:id="1188637245">
          <w:marLeft w:val="432"/>
          <w:marRight w:val="0"/>
          <w:marTop w:val="0"/>
          <w:marBottom w:val="0"/>
          <w:divBdr>
            <w:top w:val="none" w:sz="0" w:space="0" w:color="auto"/>
            <w:left w:val="none" w:sz="0" w:space="0" w:color="auto"/>
            <w:bottom w:val="none" w:sz="0" w:space="0" w:color="auto"/>
            <w:right w:val="none" w:sz="0" w:space="0" w:color="auto"/>
          </w:divBdr>
        </w:div>
        <w:div w:id="1223909195">
          <w:marLeft w:val="446"/>
          <w:marRight w:val="0"/>
          <w:marTop w:val="0"/>
          <w:marBottom w:val="0"/>
          <w:divBdr>
            <w:top w:val="none" w:sz="0" w:space="0" w:color="auto"/>
            <w:left w:val="none" w:sz="0" w:space="0" w:color="auto"/>
            <w:bottom w:val="none" w:sz="0" w:space="0" w:color="auto"/>
            <w:right w:val="none" w:sz="0" w:space="0" w:color="auto"/>
          </w:divBdr>
        </w:div>
        <w:div w:id="1284001468">
          <w:marLeft w:val="446"/>
          <w:marRight w:val="0"/>
          <w:marTop w:val="0"/>
          <w:marBottom w:val="0"/>
          <w:divBdr>
            <w:top w:val="none" w:sz="0" w:space="0" w:color="auto"/>
            <w:left w:val="none" w:sz="0" w:space="0" w:color="auto"/>
            <w:bottom w:val="none" w:sz="0" w:space="0" w:color="auto"/>
            <w:right w:val="none" w:sz="0" w:space="0" w:color="auto"/>
          </w:divBdr>
        </w:div>
        <w:div w:id="1327126220">
          <w:marLeft w:val="432"/>
          <w:marRight w:val="0"/>
          <w:marTop w:val="0"/>
          <w:marBottom w:val="0"/>
          <w:divBdr>
            <w:top w:val="none" w:sz="0" w:space="0" w:color="auto"/>
            <w:left w:val="none" w:sz="0" w:space="0" w:color="auto"/>
            <w:bottom w:val="none" w:sz="0" w:space="0" w:color="auto"/>
            <w:right w:val="none" w:sz="0" w:space="0" w:color="auto"/>
          </w:divBdr>
        </w:div>
        <w:div w:id="1375543751">
          <w:marLeft w:val="446"/>
          <w:marRight w:val="0"/>
          <w:marTop w:val="0"/>
          <w:marBottom w:val="0"/>
          <w:divBdr>
            <w:top w:val="none" w:sz="0" w:space="0" w:color="auto"/>
            <w:left w:val="none" w:sz="0" w:space="0" w:color="auto"/>
            <w:bottom w:val="none" w:sz="0" w:space="0" w:color="auto"/>
            <w:right w:val="none" w:sz="0" w:space="0" w:color="auto"/>
          </w:divBdr>
        </w:div>
        <w:div w:id="1544751003">
          <w:marLeft w:val="432"/>
          <w:marRight w:val="0"/>
          <w:marTop w:val="0"/>
          <w:marBottom w:val="0"/>
          <w:divBdr>
            <w:top w:val="none" w:sz="0" w:space="0" w:color="auto"/>
            <w:left w:val="none" w:sz="0" w:space="0" w:color="auto"/>
            <w:bottom w:val="none" w:sz="0" w:space="0" w:color="auto"/>
            <w:right w:val="none" w:sz="0" w:space="0" w:color="auto"/>
          </w:divBdr>
        </w:div>
        <w:div w:id="1620330278">
          <w:marLeft w:val="0"/>
          <w:marRight w:val="0"/>
          <w:marTop w:val="0"/>
          <w:marBottom w:val="20"/>
          <w:divBdr>
            <w:top w:val="none" w:sz="0" w:space="0" w:color="auto"/>
            <w:left w:val="none" w:sz="0" w:space="0" w:color="auto"/>
            <w:bottom w:val="none" w:sz="0" w:space="0" w:color="auto"/>
            <w:right w:val="none" w:sz="0" w:space="0" w:color="auto"/>
          </w:divBdr>
        </w:div>
        <w:div w:id="1622030155">
          <w:marLeft w:val="504"/>
          <w:marRight w:val="0"/>
          <w:marTop w:val="0"/>
          <w:marBottom w:val="0"/>
          <w:divBdr>
            <w:top w:val="none" w:sz="0" w:space="0" w:color="auto"/>
            <w:left w:val="none" w:sz="0" w:space="0" w:color="auto"/>
            <w:bottom w:val="none" w:sz="0" w:space="0" w:color="auto"/>
            <w:right w:val="none" w:sz="0" w:space="0" w:color="auto"/>
          </w:divBdr>
        </w:div>
        <w:div w:id="1659532624">
          <w:marLeft w:val="0"/>
          <w:marRight w:val="0"/>
          <w:marTop w:val="0"/>
          <w:marBottom w:val="20"/>
          <w:divBdr>
            <w:top w:val="none" w:sz="0" w:space="0" w:color="auto"/>
            <w:left w:val="none" w:sz="0" w:space="0" w:color="auto"/>
            <w:bottom w:val="none" w:sz="0" w:space="0" w:color="auto"/>
            <w:right w:val="none" w:sz="0" w:space="0" w:color="auto"/>
          </w:divBdr>
        </w:div>
        <w:div w:id="1762989719">
          <w:marLeft w:val="446"/>
          <w:marRight w:val="0"/>
          <w:marTop w:val="0"/>
          <w:marBottom w:val="0"/>
          <w:divBdr>
            <w:top w:val="none" w:sz="0" w:space="0" w:color="auto"/>
            <w:left w:val="none" w:sz="0" w:space="0" w:color="auto"/>
            <w:bottom w:val="none" w:sz="0" w:space="0" w:color="auto"/>
            <w:right w:val="none" w:sz="0" w:space="0" w:color="auto"/>
          </w:divBdr>
        </w:div>
        <w:div w:id="1837569412">
          <w:marLeft w:val="446"/>
          <w:marRight w:val="0"/>
          <w:marTop w:val="0"/>
          <w:marBottom w:val="0"/>
          <w:divBdr>
            <w:top w:val="none" w:sz="0" w:space="0" w:color="auto"/>
            <w:left w:val="none" w:sz="0" w:space="0" w:color="auto"/>
            <w:bottom w:val="none" w:sz="0" w:space="0" w:color="auto"/>
            <w:right w:val="none" w:sz="0" w:space="0" w:color="auto"/>
          </w:divBdr>
        </w:div>
        <w:div w:id="1841656239">
          <w:marLeft w:val="504"/>
          <w:marRight w:val="0"/>
          <w:marTop w:val="0"/>
          <w:marBottom w:val="0"/>
          <w:divBdr>
            <w:top w:val="none" w:sz="0" w:space="0" w:color="auto"/>
            <w:left w:val="none" w:sz="0" w:space="0" w:color="auto"/>
            <w:bottom w:val="none" w:sz="0" w:space="0" w:color="auto"/>
            <w:right w:val="none" w:sz="0" w:space="0" w:color="auto"/>
          </w:divBdr>
        </w:div>
        <w:div w:id="1924485957">
          <w:marLeft w:val="446"/>
          <w:marRight w:val="0"/>
          <w:marTop w:val="0"/>
          <w:marBottom w:val="0"/>
          <w:divBdr>
            <w:top w:val="none" w:sz="0" w:space="0" w:color="auto"/>
            <w:left w:val="none" w:sz="0" w:space="0" w:color="auto"/>
            <w:bottom w:val="none" w:sz="0" w:space="0" w:color="auto"/>
            <w:right w:val="none" w:sz="0" w:space="0" w:color="auto"/>
          </w:divBdr>
        </w:div>
        <w:div w:id="1975864357">
          <w:marLeft w:val="432"/>
          <w:marRight w:val="0"/>
          <w:marTop w:val="0"/>
          <w:marBottom w:val="0"/>
          <w:divBdr>
            <w:top w:val="none" w:sz="0" w:space="0" w:color="auto"/>
            <w:left w:val="none" w:sz="0" w:space="0" w:color="auto"/>
            <w:bottom w:val="none" w:sz="0" w:space="0" w:color="auto"/>
            <w:right w:val="none" w:sz="0" w:space="0" w:color="auto"/>
          </w:divBdr>
        </w:div>
        <w:div w:id="2023626860">
          <w:marLeft w:val="432"/>
          <w:marRight w:val="0"/>
          <w:marTop w:val="0"/>
          <w:marBottom w:val="0"/>
          <w:divBdr>
            <w:top w:val="none" w:sz="0" w:space="0" w:color="auto"/>
            <w:left w:val="none" w:sz="0" w:space="0" w:color="auto"/>
            <w:bottom w:val="none" w:sz="0" w:space="0" w:color="auto"/>
            <w:right w:val="none" w:sz="0" w:space="0" w:color="auto"/>
          </w:divBdr>
        </w:div>
      </w:divsChild>
    </w:div>
    <w:div w:id="203254789">
      <w:bodyDiv w:val="1"/>
      <w:marLeft w:val="0"/>
      <w:marRight w:val="0"/>
      <w:marTop w:val="0"/>
      <w:marBottom w:val="0"/>
      <w:divBdr>
        <w:top w:val="none" w:sz="0" w:space="0" w:color="auto"/>
        <w:left w:val="none" w:sz="0" w:space="0" w:color="auto"/>
        <w:bottom w:val="none" w:sz="0" w:space="0" w:color="auto"/>
        <w:right w:val="none" w:sz="0" w:space="0" w:color="auto"/>
      </w:divBdr>
    </w:div>
    <w:div w:id="210188296">
      <w:bodyDiv w:val="1"/>
      <w:marLeft w:val="0"/>
      <w:marRight w:val="0"/>
      <w:marTop w:val="0"/>
      <w:marBottom w:val="0"/>
      <w:divBdr>
        <w:top w:val="none" w:sz="0" w:space="0" w:color="auto"/>
        <w:left w:val="none" w:sz="0" w:space="0" w:color="auto"/>
        <w:bottom w:val="none" w:sz="0" w:space="0" w:color="auto"/>
        <w:right w:val="none" w:sz="0" w:space="0" w:color="auto"/>
      </w:divBdr>
    </w:div>
    <w:div w:id="213321232">
      <w:bodyDiv w:val="1"/>
      <w:marLeft w:val="0"/>
      <w:marRight w:val="0"/>
      <w:marTop w:val="0"/>
      <w:marBottom w:val="0"/>
      <w:divBdr>
        <w:top w:val="none" w:sz="0" w:space="0" w:color="auto"/>
        <w:left w:val="none" w:sz="0" w:space="0" w:color="auto"/>
        <w:bottom w:val="none" w:sz="0" w:space="0" w:color="auto"/>
        <w:right w:val="none" w:sz="0" w:space="0" w:color="auto"/>
      </w:divBdr>
    </w:div>
    <w:div w:id="214390421">
      <w:bodyDiv w:val="1"/>
      <w:marLeft w:val="0"/>
      <w:marRight w:val="0"/>
      <w:marTop w:val="0"/>
      <w:marBottom w:val="0"/>
      <w:divBdr>
        <w:top w:val="none" w:sz="0" w:space="0" w:color="auto"/>
        <w:left w:val="none" w:sz="0" w:space="0" w:color="auto"/>
        <w:bottom w:val="none" w:sz="0" w:space="0" w:color="auto"/>
        <w:right w:val="none" w:sz="0" w:space="0" w:color="auto"/>
      </w:divBdr>
      <w:divsChild>
        <w:div w:id="919949501">
          <w:marLeft w:val="274"/>
          <w:marRight w:val="0"/>
          <w:marTop w:val="0"/>
          <w:marBottom w:val="0"/>
          <w:divBdr>
            <w:top w:val="none" w:sz="0" w:space="0" w:color="auto"/>
            <w:left w:val="none" w:sz="0" w:space="0" w:color="auto"/>
            <w:bottom w:val="none" w:sz="0" w:space="0" w:color="auto"/>
            <w:right w:val="none" w:sz="0" w:space="0" w:color="auto"/>
          </w:divBdr>
        </w:div>
      </w:divsChild>
    </w:div>
    <w:div w:id="218517653">
      <w:bodyDiv w:val="1"/>
      <w:marLeft w:val="0"/>
      <w:marRight w:val="0"/>
      <w:marTop w:val="0"/>
      <w:marBottom w:val="0"/>
      <w:divBdr>
        <w:top w:val="none" w:sz="0" w:space="0" w:color="auto"/>
        <w:left w:val="none" w:sz="0" w:space="0" w:color="auto"/>
        <w:bottom w:val="none" w:sz="0" w:space="0" w:color="auto"/>
        <w:right w:val="none" w:sz="0" w:space="0" w:color="auto"/>
      </w:divBdr>
      <w:divsChild>
        <w:div w:id="180896289">
          <w:marLeft w:val="461"/>
          <w:marRight w:val="0"/>
          <w:marTop w:val="0"/>
          <w:marBottom w:val="0"/>
          <w:divBdr>
            <w:top w:val="none" w:sz="0" w:space="0" w:color="auto"/>
            <w:left w:val="none" w:sz="0" w:space="0" w:color="auto"/>
            <w:bottom w:val="none" w:sz="0" w:space="0" w:color="auto"/>
            <w:right w:val="none" w:sz="0" w:space="0" w:color="auto"/>
          </w:divBdr>
        </w:div>
        <w:div w:id="696124062">
          <w:marLeft w:val="461"/>
          <w:marRight w:val="0"/>
          <w:marTop w:val="0"/>
          <w:marBottom w:val="0"/>
          <w:divBdr>
            <w:top w:val="none" w:sz="0" w:space="0" w:color="auto"/>
            <w:left w:val="none" w:sz="0" w:space="0" w:color="auto"/>
            <w:bottom w:val="none" w:sz="0" w:space="0" w:color="auto"/>
            <w:right w:val="none" w:sz="0" w:space="0" w:color="auto"/>
          </w:divBdr>
        </w:div>
        <w:div w:id="701788700">
          <w:marLeft w:val="461"/>
          <w:marRight w:val="0"/>
          <w:marTop w:val="0"/>
          <w:marBottom w:val="0"/>
          <w:divBdr>
            <w:top w:val="none" w:sz="0" w:space="0" w:color="auto"/>
            <w:left w:val="none" w:sz="0" w:space="0" w:color="auto"/>
            <w:bottom w:val="none" w:sz="0" w:space="0" w:color="auto"/>
            <w:right w:val="none" w:sz="0" w:space="0" w:color="auto"/>
          </w:divBdr>
        </w:div>
        <w:div w:id="750010919">
          <w:marLeft w:val="461"/>
          <w:marRight w:val="0"/>
          <w:marTop w:val="0"/>
          <w:marBottom w:val="0"/>
          <w:divBdr>
            <w:top w:val="none" w:sz="0" w:space="0" w:color="auto"/>
            <w:left w:val="none" w:sz="0" w:space="0" w:color="auto"/>
            <w:bottom w:val="none" w:sz="0" w:space="0" w:color="auto"/>
            <w:right w:val="none" w:sz="0" w:space="0" w:color="auto"/>
          </w:divBdr>
        </w:div>
        <w:div w:id="1508399634">
          <w:marLeft w:val="461"/>
          <w:marRight w:val="0"/>
          <w:marTop w:val="0"/>
          <w:marBottom w:val="0"/>
          <w:divBdr>
            <w:top w:val="none" w:sz="0" w:space="0" w:color="auto"/>
            <w:left w:val="none" w:sz="0" w:space="0" w:color="auto"/>
            <w:bottom w:val="none" w:sz="0" w:space="0" w:color="auto"/>
            <w:right w:val="none" w:sz="0" w:space="0" w:color="auto"/>
          </w:divBdr>
        </w:div>
        <w:div w:id="1567497813">
          <w:marLeft w:val="461"/>
          <w:marRight w:val="0"/>
          <w:marTop w:val="0"/>
          <w:marBottom w:val="0"/>
          <w:divBdr>
            <w:top w:val="none" w:sz="0" w:space="0" w:color="auto"/>
            <w:left w:val="none" w:sz="0" w:space="0" w:color="auto"/>
            <w:bottom w:val="none" w:sz="0" w:space="0" w:color="auto"/>
            <w:right w:val="none" w:sz="0" w:space="0" w:color="auto"/>
          </w:divBdr>
        </w:div>
        <w:div w:id="1980262149">
          <w:marLeft w:val="461"/>
          <w:marRight w:val="0"/>
          <w:marTop w:val="0"/>
          <w:marBottom w:val="0"/>
          <w:divBdr>
            <w:top w:val="none" w:sz="0" w:space="0" w:color="auto"/>
            <w:left w:val="none" w:sz="0" w:space="0" w:color="auto"/>
            <w:bottom w:val="none" w:sz="0" w:space="0" w:color="auto"/>
            <w:right w:val="none" w:sz="0" w:space="0" w:color="auto"/>
          </w:divBdr>
        </w:div>
        <w:div w:id="2068382290">
          <w:marLeft w:val="461"/>
          <w:marRight w:val="0"/>
          <w:marTop w:val="0"/>
          <w:marBottom w:val="0"/>
          <w:divBdr>
            <w:top w:val="none" w:sz="0" w:space="0" w:color="auto"/>
            <w:left w:val="none" w:sz="0" w:space="0" w:color="auto"/>
            <w:bottom w:val="none" w:sz="0" w:space="0" w:color="auto"/>
            <w:right w:val="none" w:sz="0" w:space="0" w:color="auto"/>
          </w:divBdr>
        </w:div>
        <w:div w:id="2108231132">
          <w:marLeft w:val="461"/>
          <w:marRight w:val="0"/>
          <w:marTop w:val="0"/>
          <w:marBottom w:val="0"/>
          <w:divBdr>
            <w:top w:val="none" w:sz="0" w:space="0" w:color="auto"/>
            <w:left w:val="none" w:sz="0" w:space="0" w:color="auto"/>
            <w:bottom w:val="none" w:sz="0" w:space="0" w:color="auto"/>
            <w:right w:val="none" w:sz="0" w:space="0" w:color="auto"/>
          </w:divBdr>
        </w:div>
      </w:divsChild>
    </w:div>
    <w:div w:id="225116352">
      <w:bodyDiv w:val="1"/>
      <w:marLeft w:val="0"/>
      <w:marRight w:val="0"/>
      <w:marTop w:val="0"/>
      <w:marBottom w:val="0"/>
      <w:divBdr>
        <w:top w:val="none" w:sz="0" w:space="0" w:color="auto"/>
        <w:left w:val="none" w:sz="0" w:space="0" w:color="auto"/>
        <w:bottom w:val="none" w:sz="0" w:space="0" w:color="auto"/>
        <w:right w:val="none" w:sz="0" w:space="0" w:color="auto"/>
      </w:divBdr>
      <w:divsChild>
        <w:div w:id="26486580">
          <w:marLeft w:val="288"/>
          <w:marRight w:val="0"/>
          <w:marTop w:val="0"/>
          <w:marBottom w:val="120"/>
          <w:divBdr>
            <w:top w:val="none" w:sz="0" w:space="0" w:color="auto"/>
            <w:left w:val="none" w:sz="0" w:space="0" w:color="auto"/>
            <w:bottom w:val="none" w:sz="0" w:space="0" w:color="auto"/>
            <w:right w:val="none" w:sz="0" w:space="0" w:color="auto"/>
          </w:divBdr>
        </w:div>
        <w:div w:id="94599734">
          <w:marLeft w:val="288"/>
          <w:marRight w:val="0"/>
          <w:marTop w:val="0"/>
          <w:marBottom w:val="120"/>
          <w:divBdr>
            <w:top w:val="none" w:sz="0" w:space="0" w:color="auto"/>
            <w:left w:val="none" w:sz="0" w:space="0" w:color="auto"/>
            <w:bottom w:val="none" w:sz="0" w:space="0" w:color="auto"/>
            <w:right w:val="none" w:sz="0" w:space="0" w:color="auto"/>
          </w:divBdr>
        </w:div>
        <w:div w:id="387387371">
          <w:marLeft w:val="288"/>
          <w:marRight w:val="0"/>
          <w:marTop w:val="0"/>
          <w:marBottom w:val="120"/>
          <w:divBdr>
            <w:top w:val="none" w:sz="0" w:space="0" w:color="auto"/>
            <w:left w:val="none" w:sz="0" w:space="0" w:color="auto"/>
            <w:bottom w:val="none" w:sz="0" w:space="0" w:color="auto"/>
            <w:right w:val="none" w:sz="0" w:space="0" w:color="auto"/>
          </w:divBdr>
        </w:div>
        <w:div w:id="828062687">
          <w:marLeft w:val="288"/>
          <w:marRight w:val="0"/>
          <w:marTop w:val="0"/>
          <w:marBottom w:val="120"/>
          <w:divBdr>
            <w:top w:val="none" w:sz="0" w:space="0" w:color="auto"/>
            <w:left w:val="none" w:sz="0" w:space="0" w:color="auto"/>
            <w:bottom w:val="none" w:sz="0" w:space="0" w:color="auto"/>
            <w:right w:val="none" w:sz="0" w:space="0" w:color="auto"/>
          </w:divBdr>
        </w:div>
        <w:div w:id="989022394">
          <w:marLeft w:val="288"/>
          <w:marRight w:val="0"/>
          <w:marTop w:val="0"/>
          <w:marBottom w:val="120"/>
          <w:divBdr>
            <w:top w:val="none" w:sz="0" w:space="0" w:color="auto"/>
            <w:left w:val="none" w:sz="0" w:space="0" w:color="auto"/>
            <w:bottom w:val="none" w:sz="0" w:space="0" w:color="auto"/>
            <w:right w:val="none" w:sz="0" w:space="0" w:color="auto"/>
          </w:divBdr>
        </w:div>
        <w:div w:id="1499348326">
          <w:marLeft w:val="288"/>
          <w:marRight w:val="0"/>
          <w:marTop w:val="0"/>
          <w:marBottom w:val="120"/>
          <w:divBdr>
            <w:top w:val="none" w:sz="0" w:space="0" w:color="auto"/>
            <w:left w:val="none" w:sz="0" w:space="0" w:color="auto"/>
            <w:bottom w:val="none" w:sz="0" w:space="0" w:color="auto"/>
            <w:right w:val="none" w:sz="0" w:space="0" w:color="auto"/>
          </w:divBdr>
        </w:div>
        <w:div w:id="1775320383">
          <w:marLeft w:val="288"/>
          <w:marRight w:val="0"/>
          <w:marTop w:val="0"/>
          <w:marBottom w:val="120"/>
          <w:divBdr>
            <w:top w:val="none" w:sz="0" w:space="0" w:color="auto"/>
            <w:left w:val="none" w:sz="0" w:space="0" w:color="auto"/>
            <w:bottom w:val="none" w:sz="0" w:space="0" w:color="auto"/>
            <w:right w:val="none" w:sz="0" w:space="0" w:color="auto"/>
          </w:divBdr>
        </w:div>
        <w:div w:id="1982685316">
          <w:marLeft w:val="288"/>
          <w:marRight w:val="0"/>
          <w:marTop w:val="0"/>
          <w:marBottom w:val="120"/>
          <w:divBdr>
            <w:top w:val="none" w:sz="0" w:space="0" w:color="auto"/>
            <w:left w:val="none" w:sz="0" w:space="0" w:color="auto"/>
            <w:bottom w:val="none" w:sz="0" w:space="0" w:color="auto"/>
            <w:right w:val="none" w:sz="0" w:space="0" w:color="auto"/>
          </w:divBdr>
        </w:div>
        <w:div w:id="2013801751">
          <w:marLeft w:val="288"/>
          <w:marRight w:val="0"/>
          <w:marTop w:val="0"/>
          <w:marBottom w:val="120"/>
          <w:divBdr>
            <w:top w:val="none" w:sz="0" w:space="0" w:color="auto"/>
            <w:left w:val="none" w:sz="0" w:space="0" w:color="auto"/>
            <w:bottom w:val="none" w:sz="0" w:space="0" w:color="auto"/>
            <w:right w:val="none" w:sz="0" w:space="0" w:color="auto"/>
          </w:divBdr>
        </w:div>
      </w:divsChild>
    </w:div>
    <w:div w:id="233244525">
      <w:bodyDiv w:val="1"/>
      <w:marLeft w:val="0"/>
      <w:marRight w:val="0"/>
      <w:marTop w:val="0"/>
      <w:marBottom w:val="0"/>
      <w:divBdr>
        <w:top w:val="none" w:sz="0" w:space="0" w:color="auto"/>
        <w:left w:val="none" w:sz="0" w:space="0" w:color="auto"/>
        <w:bottom w:val="none" w:sz="0" w:space="0" w:color="auto"/>
        <w:right w:val="none" w:sz="0" w:space="0" w:color="auto"/>
      </w:divBdr>
    </w:div>
    <w:div w:id="237058999">
      <w:bodyDiv w:val="1"/>
      <w:marLeft w:val="0"/>
      <w:marRight w:val="0"/>
      <w:marTop w:val="0"/>
      <w:marBottom w:val="0"/>
      <w:divBdr>
        <w:top w:val="none" w:sz="0" w:space="0" w:color="auto"/>
        <w:left w:val="none" w:sz="0" w:space="0" w:color="auto"/>
        <w:bottom w:val="none" w:sz="0" w:space="0" w:color="auto"/>
        <w:right w:val="none" w:sz="0" w:space="0" w:color="auto"/>
      </w:divBdr>
    </w:div>
    <w:div w:id="242226786">
      <w:bodyDiv w:val="1"/>
      <w:marLeft w:val="0"/>
      <w:marRight w:val="0"/>
      <w:marTop w:val="0"/>
      <w:marBottom w:val="0"/>
      <w:divBdr>
        <w:top w:val="none" w:sz="0" w:space="0" w:color="auto"/>
        <w:left w:val="none" w:sz="0" w:space="0" w:color="auto"/>
        <w:bottom w:val="none" w:sz="0" w:space="0" w:color="auto"/>
        <w:right w:val="none" w:sz="0" w:space="0" w:color="auto"/>
      </w:divBdr>
    </w:div>
    <w:div w:id="244801593">
      <w:bodyDiv w:val="1"/>
      <w:marLeft w:val="0"/>
      <w:marRight w:val="0"/>
      <w:marTop w:val="0"/>
      <w:marBottom w:val="0"/>
      <w:divBdr>
        <w:top w:val="none" w:sz="0" w:space="0" w:color="auto"/>
        <w:left w:val="none" w:sz="0" w:space="0" w:color="auto"/>
        <w:bottom w:val="none" w:sz="0" w:space="0" w:color="auto"/>
        <w:right w:val="none" w:sz="0" w:space="0" w:color="auto"/>
      </w:divBdr>
    </w:div>
    <w:div w:id="257179441">
      <w:bodyDiv w:val="1"/>
      <w:marLeft w:val="0"/>
      <w:marRight w:val="0"/>
      <w:marTop w:val="0"/>
      <w:marBottom w:val="0"/>
      <w:divBdr>
        <w:top w:val="none" w:sz="0" w:space="0" w:color="auto"/>
        <w:left w:val="none" w:sz="0" w:space="0" w:color="auto"/>
        <w:bottom w:val="none" w:sz="0" w:space="0" w:color="auto"/>
        <w:right w:val="none" w:sz="0" w:space="0" w:color="auto"/>
      </w:divBdr>
    </w:div>
    <w:div w:id="262303542">
      <w:bodyDiv w:val="1"/>
      <w:marLeft w:val="0"/>
      <w:marRight w:val="0"/>
      <w:marTop w:val="0"/>
      <w:marBottom w:val="0"/>
      <w:divBdr>
        <w:top w:val="none" w:sz="0" w:space="0" w:color="auto"/>
        <w:left w:val="none" w:sz="0" w:space="0" w:color="auto"/>
        <w:bottom w:val="none" w:sz="0" w:space="0" w:color="auto"/>
        <w:right w:val="none" w:sz="0" w:space="0" w:color="auto"/>
      </w:divBdr>
    </w:div>
    <w:div w:id="268322683">
      <w:bodyDiv w:val="1"/>
      <w:marLeft w:val="0"/>
      <w:marRight w:val="0"/>
      <w:marTop w:val="0"/>
      <w:marBottom w:val="0"/>
      <w:divBdr>
        <w:top w:val="none" w:sz="0" w:space="0" w:color="auto"/>
        <w:left w:val="none" w:sz="0" w:space="0" w:color="auto"/>
        <w:bottom w:val="none" w:sz="0" w:space="0" w:color="auto"/>
        <w:right w:val="none" w:sz="0" w:space="0" w:color="auto"/>
      </w:divBdr>
    </w:div>
    <w:div w:id="268850785">
      <w:bodyDiv w:val="1"/>
      <w:marLeft w:val="0"/>
      <w:marRight w:val="0"/>
      <w:marTop w:val="0"/>
      <w:marBottom w:val="0"/>
      <w:divBdr>
        <w:top w:val="none" w:sz="0" w:space="0" w:color="auto"/>
        <w:left w:val="none" w:sz="0" w:space="0" w:color="auto"/>
        <w:bottom w:val="none" w:sz="0" w:space="0" w:color="auto"/>
        <w:right w:val="none" w:sz="0" w:space="0" w:color="auto"/>
      </w:divBdr>
    </w:div>
    <w:div w:id="270013875">
      <w:bodyDiv w:val="1"/>
      <w:marLeft w:val="0"/>
      <w:marRight w:val="0"/>
      <w:marTop w:val="0"/>
      <w:marBottom w:val="0"/>
      <w:divBdr>
        <w:top w:val="none" w:sz="0" w:space="0" w:color="auto"/>
        <w:left w:val="none" w:sz="0" w:space="0" w:color="auto"/>
        <w:bottom w:val="none" w:sz="0" w:space="0" w:color="auto"/>
        <w:right w:val="none" w:sz="0" w:space="0" w:color="auto"/>
      </w:divBdr>
    </w:div>
    <w:div w:id="270548435">
      <w:bodyDiv w:val="1"/>
      <w:marLeft w:val="0"/>
      <w:marRight w:val="0"/>
      <w:marTop w:val="0"/>
      <w:marBottom w:val="0"/>
      <w:divBdr>
        <w:top w:val="none" w:sz="0" w:space="0" w:color="auto"/>
        <w:left w:val="none" w:sz="0" w:space="0" w:color="auto"/>
        <w:bottom w:val="none" w:sz="0" w:space="0" w:color="auto"/>
        <w:right w:val="none" w:sz="0" w:space="0" w:color="auto"/>
      </w:divBdr>
      <w:divsChild>
        <w:div w:id="1837844819">
          <w:marLeft w:val="302"/>
          <w:marRight w:val="0"/>
          <w:marTop w:val="0"/>
          <w:marBottom w:val="0"/>
          <w:divBdr>
            <w:top w:val="none" w:sz="0" w:space="0" w:color="auto"/>
            <w:left w:val="none" w:sz="0" w:space="0" w:color="auto"/>
            <w:bottom w:val="none" w:sz="0" w:space="0" w:color="auto"/>
            <w:right w:val="none" w:sz="0" w:space="0" w:color="auto"/>
          </w:divBdr>
        </w:div>
      </w:divsChild>
    </w:div>
    <w:div w:id="284580518">
      <w:bodyDiv w:val="1"/>
      <w:marLeft w:val="0"/>
      <w:marRight w:val="0"/>
      <w:marTop w:val="0"/>
      <w:marBottom w:val="0"/>
      <w:divBdr>
        <w:top w:val="none" w:sz="0" w:space="0" w:color="auto"/>
        <w:left w:val="none" w:sz="0" w:space="0" w:color="auto"/>
        <w:bottom w:val="none" w:sz="0" w:space="0" w:color="auto"/>
        <w:right w:val="none" w:sz="0" w:space="0" w:color="auto"/>
      </w:divBdr>
      <w:divsChild>
        <w:div w:id="978075366">
          <w:marLeft w:val="1267"/>
          <w:marRight w:val="0"/>
          <w:marTop w:val="0"/>
          <w:marBottom w:val="0"/>
          <w:divBdr>
            <w:top w:val="none" w:sz="0" w:space="0" w:color="auto"/>
            <w:left w:val="none" w:sz="0" w:space="0" w:color="auto"/>
            <w:bottom w:val="none" w:sz="0" w:space="0" w:color="auto"/>
            <w:right w:val="none" w:sz="0" w:space="0" w:color="auto"/>
          </w:divBdr>
        </w:div>
        <w:div w:id="1275021539">
          <w:marLeft w:val="1267"/>
          <w:marRight w:val="0"/>
          <w:marTop w:val="0"/>
          <w:marBottom w:val="0"/>
          <w:divBdr>
            <w:top w:val="none" w:sz="0" w:space="0" w:color="auto"/>
            <w:left w:val="none" w:sz="0" w:space="0" w:color="auto"/>
            <w:bottom w:val="none" w:sz="0" w:space="0" w:color="auto"/>
            <w:right w:val="none" w:sz="0" w:space="0" w:color="auto"/>
          </w:divBdr>
        </w:div>
        <w:div w:id="1454209273">
          <w:marLeft w:val="1267"/>
          <w:marRight w:val="0"/>
          <w:marTop w:val="0"/>
          <w:marBottom w:val="0"/>
          <w:divBdr>
            <w:top w:val="none" w:sz="0" w:space="0" w:color="auto"/>
            <w:left w:val="none" w:sz="0" w:space="0" w:color="auto"/>
            <w:bottom w:val="none" w:sz="0" w:space="0" w:color="auto"/>
            <w:right w:val="none" w:sz="0" w:space="0" w:color="auto"/>
          </w:divBdr>
        </w:div>
        <w:div w:id="1728524692">
          <w:marLeft w:val="1267"/>
          <w:marRight w:val="0"/>
          <w:marTop w:val="0"/>
          <w:marBottom w:val="0"/>
          <w:divBdr>
            <w:top w:val="none" w:sz="0" w:space="0" w:color="auto"/>
            <w:left w:val="none" w:sz="0" w:space="0" w:color="auto"/>
            <w:bottom w:val="none" w:sz="0" w:space="0" w:color="auto"/>
            <w:right w:val="none" w:sz="0" w:space="0" w:color="auto"/>
          </w:divBdr>
        </w:div>
        <w:div w:id="1999186081">
          <w:marLeft w:val="1267"/>
          <w:marRight w:val="0"/>
          <w:marTop w:val="0"/>
          <w:marBottom w:val="0"/>
          <w:divBdr>
            <w:top w:val="none" w:sz="0" w:space="0" w:color="auto"/>
            <w:left w:val="none" w:sz="0" w:space="0" w:color="auto"/>
            <w:bottom w:val="none" w:sz="0" w:space="0" w:color="auto"/>
            <w:right w:val="none" w:sz="0" w:space="0" w:color="auto"/>
          </w:divBdr>
        </w:div>
        <w:div w:id="2031489149">
          <w:marLeft w:val="1267"/>
          <w:marRight w:val="0"/>
          <w:marTop w:val="0"/>
          <w:marBottom w:val="0"/>
          <w:divBdr>
            <w:top w:val="none" w:sz="0" w:space="0" w:color="auto"/>
            <w:left w:val="none" w:sz="0" w:space="0" w:color="auto"/>
            <w:bottom w:val="none" w:sz="0" w:space="0" w:color="auto"/>
            <w:right w:val="none" w:sz="0" w:space="0" w:color="auto"/>
          </w:divBdr>
        </w:div>
      </w:divsChild>
    </w:div>
    <w:div w:id="289359903">
      <w:bodyDiv w:val="1"/>
      <w:marLeft w:val="0"/>
      <w:marRight w:val="0"/>
      <w:marTop w:val="0"/>
      <w:marBottom w:val="0"/>
      <w:divBdr>
        <w:top w:val="none" w:sz="0" w:space="0" w:color="auto"/>
        <w:left w:val="none" w:sz="0" w:space="0" w:color="auto"/>
        <w:bottom w:val="none" w:sz="0" w:space="0" w:color="auto"/>
        <w:right w:val="none" w:sz="0" w:space="0" w:color="auto"/>
      </w:divBdr>
    </w:div>
    <w:div w:id="290786741">
      <w:bodyDiv w:val="1"/>
      <w:marLeft w:val="0"/>
      <w:marRight w:val="0"/>
      <w:marTop w:val="0"/>
      <w:marBottom w:val="0"/>
      <w:divBdr>
        <w:top w:val="none" w:sz="0" w:space="0" w:color="auto"/>
        <w:left w:val="none" w:sz="0" w:space="0" w:color="auto"/>
        <w:bottom w:val="none" w:sz="0" w:space="0" w:color="auto"/>
        <w:right w:val="none" w:sz="0" w:space="0" w:color="auto"/>
      </w:divBdr>
    </w:div>
    <w:div w:id="294262684">
      <w:bodyDiv w:val="1"/>
      <w:marLeft w:val="0"/>
      <w:marRight w:val="0"/>
      <w:marTop w:val="0"/>
      <w:marBottom w:val="0"/>
      <w:divBdr>
        <w:top w:val="none" w:sz="0" w:space="0" w:color="auto"/>
        <w:left w:val="none" w:sz="0" w:space="0" w:color="auto"/>
        <w:bottom w:val="none" w:sz="0" w:space="0" w:color="auto"/>
        <w:right w:val="none" w:sz="0" w:space="0" w:color="auto"/>
      </w:divBdr>
      <w:divsChild>
        <w:div w:id="481628081">
          <w:marLeft w:val="302"/>
          <w:marRight w:val="0"/>
          <w:marTop w:val="0"/>
          <w:marBottom w:val="0"/>
          <w:divBdr>
            <w:top w:val="none" w:sz="0" w:space="0" w:color="auto"/>
            <w:left w:val="none" w:sz="0" w:space="0" w:color="auto"/>
            <w:bottom w:val="none" w:sz="0" w:space="0" w:color="auto"/>
            <w:right w:val="none" w:sz="0" w:space="0" w:color="auto"/>
          </w:divBdr>
        </w:div>
        <w:div w:id="1797331053">
          <w:marLeft w:val="302"/>
          <w:marRight w:val="0"/>
          <w:marTop w:val="0"/>
          <w:marBottom w:val="0"/>
          <w:divBdr>
            <w:top w:val="none" w:sz="0" w:space="0" w:color="auto"/>
            <w:left w:val="none" w:sz="0" w:space="0" w:color="auto"/>
            <w:bottom w:val="none" w:sz="0" w:space="0" w:color="auto"/>
            <w:right w:val="none" w:sz="0" w:space="0" w:color="auto"/>
          </w:divBdr>
        </w:div>
      </w:divsChild>
    </w:div>
    <w:div w:id="298153013">
      <w:bodyDiv w:val="1"/>
      <w:marLeft w:val="0"/>
      <w:marRight w:val="0"/>
      <w:marTop w:val="0"/>
      <w:marBottom w:val="0"/>
      <w:divBdr>
        <w:top w:val="none" w:sz="0" w:space="0" w:color="auto"/>
        <w:left w:val="none" w:sz="0" w:space="0" w:color="auto"/>
        <w:bottom w:val="none" w:sz="0" w:space="0" w:color="auto"/>
        <w:right w:val="none" w:sz="0" w:space="0" w:color="auto"/>
      </w:divBdr>
    </w:div>
    <w:div w:id="302009363">
      <w:bodyDiv w:val="1"/>
      <w:marLeft w:val="0"/>
      <w:marRight w:val="0"/>
      <w:marTop w:val="0"/>
      <w:marBottom w:val="0"/>
      <w:divBdr>
        <w:top w:val="none" w:sz="0" w:space="0" w:color="auto"/>
        <w:left w:val="none" w:sz="0" w:space="0" w:color="auto"/>
        <w:bottom w:val="none" w:sz="0" w:space="0" w:color="auto"/>
        <w:right w:val="none" w:sz="0" w:space="0" w:color="auto"/>
      </w:divBdr>
    </w:div>
    <w:div w:id="305817045">
      <w:bodyDiv w:val="1"/>
      <w:marLeft w:val="0"/>
      <w:marRight w:val="0"/>
      <w:marTop w:val="0"/>
      <w:marBottom w:val="0"/>
      <w:divBdr>
        <w:top w:val="none" w:sz="0" w:space="0" w:color="auto"/>
        <w:left w:val="none" w:sz="0" w:space="0" w:color="auto"/>
        <w:bottom w:val="none" w:sz="0" w:space="0" w:color="auto"/>
        <w:right w:val="none" w:sz="0" w:space="0" w:color="auto"/>
      </w:divBdr>
    </w:div>
    <w:div w:id="310839981">
      <w:bodyDiv w:val="1"/>
      <w:marLeft w:val="0"/>
      <w:marRight w:val="0"/>
      <w:marTop w:val="0"/>
      <w:marBottom w:val="0"/>
      <w:divBdr>
        <w:top w:val="none" w:sz="0" w:space="0" w:color="auto"/>
        <w:left w:val="none" w:sz="0" w:space="0" w:color="auto"/>
        <w:bottom w:val="none" w:sz="0" w:space="0" w:color="auto"/>
        <w:right w:val="none" w:sz="0" w:space="0" w:color="auto"/>
      </w:divBdr>
      <w:divsChild>
        <w:div w:id="318925979">
          <w:marLeft w:val="302"/>
          <w:marRight w:val="0"/>
          <w:marTop w:val="0"/>
          <w:marBottom w:val="0"/>
          <w:divBdr>
            <w:top w:val="none" w:sz="0" w:space="0" w:color="auto"/>
            <w:left w:val="none" w:sz="0" w:space="0" w:color="auto"/>
            <w:bottom w:val="none" w:sz="0" w:space="0" w:color="auto"/>
            <w:right w:val="none" w:sz="0" w:space="0" w:color="auto"/>
          </w:divBdr>
        </w:div>
        <w:div w:id="628701795">
          <w:marLeft w:val="302"/>
          <w:marRight w:val="0"/>
          <w:marTop w:val="0"/>
          <w:marBottom w:val="0"/>
          <w:divBdr>
            <w:top w:val="none" w:sz="0" w:space="0" w:color="auto"/>
            <w:left w:val="none" w:sz="0" w:space="0" w:color="auto"/>
            <w:bottom w:val="none" w:sz="0" w:space="0" w:color="auto"/>
            <w:right w:val="none" w:sz="0" w:space="0" w:color="auto"/>
          </w:divBdr>
        </w:div>
        <w:div w:id="977611685">
          <w:marLeft w:val="302"/>
          <w:marRight w:val="0"/>
          <w:marTop w:val="0"/>
          <w:marBottom w:val="0"/>
          <w:divBdr>
            <w:top w:val="none" w:sz="0" w:space="0" w:color="auto"/>
            <w:left w:val="none" w:sz="0" w:space="0" w:color="auto"/>
            <w:bottom w:val="none" w:sz="0" w:space="0" w:color="auto"/>
            <w:right w:val="none" w:sz="0" w:space="0" w:color="auto"/>
          </w:divBdr>
        </w:div>
        <w:div w:id="1615792164">
          <w:marLeft w:val="302"/>
          <w:marRight w:val="0"/>
          <w:marTop w:val="0"/>
          <w:marBottom w:val="0"/>
          <w:divBdr>
            <w:top w:val="none" w:sz="0" w:space="0" w:color="auto"/>
            <w:left w:val="none" w:sz="0" w:space="0" w:color="auto"/>
            <w:bottom w:val="none" w:sz="0" w:space="0" w:color="auto"/>
            <w:right w:val="none" w:sz="0" w:space="0" w:color="auto"/>
          </w:divBdr>
        </w:div>
        <w:div w:id="2020766363">
          <w:marLeft w:val="302"/>
          <w:marRight w:val="0"/>
          <w:marTop w:val="0"/>
          <w:marBottom w:val="0"/>
          <w:divBdr>
            <w:top w:val="none" w:sz="0" w:space="0" w:color="auto"/>
            <w:left w:val="none" w:sz="0" w:space="0" w:color="auto"/>
            <w:bottom w:val="none" w:sz="0" w:space="0" w:color="auto"/>
            <w:right w:val="none" w:sz="0" w:space="0" w:color="auto"/>
          </w:divBdr>
        </w:div>
        <w:div w:id="2105567338">
          <w:marLeft w:val="302"/>
          <w:marRight w:val="0"/>
          <w:marTop w:val="0"/>
          <w:marBottom w:val="0"/>
          <w:divBdr>
            <w:top w:val="none" w:sz="0" w:space="0" w:color="auto"/>
            <w:left w:val="none" w:sz="0" w:space="0" w:color="auto"/>
            <w:bottom w:val="none" w:sz="0" w:space="0" w:color="auto"/>
            <w:right w:val="none" w:sz="0" w:space="0" w:color="auto"/>
          </w:divBdr>
        </w:div>
      </w:divsChild>
    </w:div>
    <w:div w:id="313066501">
      <w:bodyDiv w:val="1"/>
      <w:marLeft w:val="0"/>
      <w:marRight w:val="0"/>
      <w:marTop w:val="0"/>
      <w:marBottom w:val="0"/>
      <w:divBdr>
        <w:top w:val="none" w:sz="0" w:space="0" w:color="auto"/>
        <w:left w:val="none" w:sz="0" w:space="0" w:color="auto"/>
        <w:bottom w:val="none" w:sz="0" w:space="0" w:color="auto"/>
        <w:right w:val="none" w:sz="0" w:space="0" w:color="auto"/>
      </w:divBdr>
    </w:div>
    <w:div w:id="317341653">
      <w:bodyDiv w:val="1"/>
      <w:marLeft w:val="0"/>
      <w:marRight w:val="0"/>
      <w:marTop w:val="0"/>
      <w:marBottom w:val="0"/>
      <w:divBdr>
        <w:top w:val="none" w:sz="0" w:space="0" w:color="auto"/>
        <w:left w:val="none" w:sz="0" w:space="0" w:color="auto"/>
        <w:bottom w:val="none" w:sz="0" w:space="0" w:color="auto"/>
        <w:right w:val="none" w:sz="0" w:space="0" w:color="auto"/>
      </w:divBdr>
    </w:div>
    <w:div w:id="319382878">
      <w:bodyDiv w:val="1"/>
      <w:marLeft w:val="0"/>
      <w:marRight w:val="0"/>
      <w:marTop w:val="0"/>
      <w:marBottom w:val="0"/>
      <w:divBdr>
        <w:top w:val="none" w:sz="0" w:space="0" w:color="auto"/>
        <w:left w:val="none" w:sz="0" w:space="0" w:color="auto"/>
        <w:bottom w:val="none" w:sz="0" w:space="0" w:color="auto"/>
        <w:right w:val="none" w:sz="0" w:space="0" w:color="auto"/>
      </w:divBdr>
      <w:divsChild>
        <w:div w:id="679627152">
          <w:marLeft w:val="274"/>
          <w:marRight w:val="0"/>
          <w:marTop w:val="0"/>
          <w:marBottom w:val="0"/>
          <w:divBdr>
            <w:top w:val="none" w:sz="0" w:space="0" w:color="auto"/>
            <w:left w:val="none" w:sz="0" w:space="0" w:color="auto"/>
            <w:bottom w:val="none" w:sz="0" w:space="0" w:color="auto"/>
            <w:right w:val="none" w:sz="0" w:space="0" w:color="auto"/>
          </w:divBdr>
        </w:div>
        <w:div w:id="1375807375">
          <w:marLeft w:val="274"/>
          <w:marRight w:val="0"/>
          <w:marTop w:val="0"/>
          <w:marBottom w:val="0"/>
          <w:divBdr>
            <w:top w:val="none" w:sz="0" w:space="0" w:color="auto"/>
            <w:left w:val="none" w:sz="0" w:space="0" w:color="auto"/>
            <w:bottom w:val="none" w:sz="0" w:space="0" w:color="auto"/>
            <w:right w:val="none" w:sz="0" w:space="0" w:color="auto"/>
          </w:divBdr>
        </w:div>
        <w:div w:id="1534532767">
          <w:marLeft w:val="274"/>
          <w:marRight w:val="0"/>
          <w:marTop w:val="0"/>
          <w:marBottom w:val="0"/>
          <w:divBdr>
            <w:top w:val="none" w:sz="0" w:space="0" w:color="auto"/>
            <w:left w:val="none" w:sz="0" w:space="0" w:color="auto"/>
            <w:bottom w:val="none" w:sz="0" w:space="0" w:color="auto"/>
            <w:right w:val="none" w:sz="0" w:space="0" w:color="auto"/>
          </w:divBdr>
        </w:div>
      </w:divsChild>
    </w:div>
    <w:div w:id="324865345">
      <w:bodyDiv w:val="1"/>
      <w:marLeft w:val="0"/>
      <w:marRight w:val="0"/>
      <w:marTop w:val="0"/>
      <w:marBottom w:val="0"/>
      <w:divBdr>
        <w:top w:val="none" w:sz="0" w:space="0" w:color="auto"/>
        <w:left w:val="none" w:sz="0" w:space="0" w:color="auto"/>
        <w:bottom w:val="none" w:sz="0" w:space="0" w:color="auto"/>
        <w:right w:val="none" w:sz="0" w:space="0" w:color="auto"/>
      </w:divBdr>
    </w:div>
    <w:div w:id="332995686">
      <w:bodyDiv w:val="1"/>
      <w:marLeft w:val="0"/>
      <w:marRight w:val="0"/>
      <w:marTop w:val="0"/>
      <w:marBottom w:val="0"/>
      <w:divBdr>
        <w:top w:val="none" w:sz="0" w:space="0" w:color="auto"/>
        <w:left w:val="none" w:sz="0" w:space="0" w:color="auto"/>
        <w:bottom w:val="none" w:sz="0" w:space="0" w:color="auto"/>
        <w:right w:val="none" w:sz="0" w:space="0" w:color="auto"/>
      </w:divBdr>
    </w:div>
    <w:div w:id="338890772">
      <w:bodyDiv w:val="1"/>
      <w:marLeft w:val="0"/>
      <w:marRight w:val="0"/>
      <w:marTop w:val="0"/>
      <w:marBottom w:val="0"/>
      <w:divBdr>
        <w:top w:val="none" w:sz="0" w:space="0" w:color="auto"/>
        <w:left w:val="none" w:sz="0" w:space="0" w:color="auto"/>
        <w:bottom w:val="none" w:sz="0" w:space="0" w:color="auto"/>
        <w:right w:val="none" w:sz="0" w:space="0" w:color="auto"/>
      </w:divBdr>
    </w:div>
    <w:div w:id="34309482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3167">
      <w:bodyDiv w:val="1"/>
      <w:marLeft w:val="0"/>
      <w:marRight w:val="0"/>
      <w:marTop w:val="0"/>
      <w:marBottom w:val="0"/>
      <w:divBdr>
        <w:top w:val="none" w:sz="0" w:space="0" w:color="auto"/>
        <w:left w:val="none" w:sz="0" w:space="0" w:color="auto"/>
        <w:bottom w:val="none" w:sz="0" w:space="0" w:color="auto"/>
        <w:right w:val="none" w:sz="0" w:space="0" w:color="auto"/>
      </w:divBdr>
      <w:divsChild>
        <w:div w:id="1410881846">
          <w:marLeft w:val="302"/>
          <w:marRight w:val="0"/>
          <w:marTop w:val="0"/>
          <w:marBottom w:val="0"/>
          <w:divBdr>
            <w:top w:val="none" w:sz="0" w:space="0" w:color="auto"/>
            <w:left w:val="none" w:sz="0" w:space="0" w:color="auto"/>
            <w:bottom w:val="none" w:sz="0" w:space="0" w:color="auto"/>
            <w:right w:val="none" w:sz="0" w:space="0" w:color="auto"/>
          </w:divBdr>
        </w:div>
      </w:divsChild>
    </w:div>
    <w:div w:id="365057324">
      <w:bodyDiv w:val="1"/>
      <w:marLeft w:val="0"/>
      <w:marRight w:val="0"/>
      <w:marTop w:val="0"/>
      <w:marBottom w:val="0"/>
      <w:divBdr>
        <w:top w:val="none" w:sz="0" w:space="0" w:color="auto"/>
        <w:left w:val="none" w:sz="0" w:space="0" w:color="auto"/>
        <w:bottom w:val="none" w:sz="0" w:space="0" w:color="auto"/>
        <w:right w:val="none" w:sz="0" w:space="0" w:color="auto"/>
      </w:divBdr>
    </w:div>
    <w:div w:id="368800387">
      <w:bodyDiv w:val="1"/>
      <w:marLeft w:val="0"/>
      <w:marRight w:val="0"/>
      <w:marTop w:val="0"/>
      <w:marBottom w:val="0"/>
      <w:divBdr>
        <w:top w:val="none" w:sz="0" w:space="0" w:color="auto"/>
        <w:left w:val="none" w:sz="0" w:space="0" w:color="auto"/>
        <w:bottom w:val="none" w:sz="0" w:space="0" w:color="auto"/>
        <w:right w:val="none" w:sz="0" w:space="0" w:color="auto"/>
      </w:divBdr>
      <w:divsChild>
        <w:div w:id="337663423">
          <w:marLeft w:val="274"/>
          <w:marRight w:val="0"/>
          <w:marTop w:val="0"/>
          <w:marBottom w:val="60"/>
          <w:divBdr>
            <w:top w:val="none" w:sz="0" w:space="0" w:color="auto"/>
            <w:left w:val="none" w:sz="0" w:space="0" w:color="auto"/>
            <w:bottom w:val="none" w:sz="0" w:space="0" w:color="auto"/>
            <w:right w:val="none" w:sz="0" w:space="0" w:color="auto"/>
          </w:divBdr>
        </w:div>
      </w:divsChild>
    </w:div>
    <w:div w:id="376004850">
      <w:bodyDiv w:val="1"/>
      <w:marLeft w:val="0"/>
      <w:marRight w:val="0"/>
      <w:marTop w:val="0"/>
      <w:marBottom w:val="0"/>
      <w:divBdr>
        <w:top w:val="none" w:sz="0" w:space="0" w:color="auto"/>
        <w:left w:val="none" w:sz="0" w:space="0" w:color="auto"/>
        <w:bottom w:val="none" w:sz="0" w:space="0" w:color="auto"/>
        <w:right w:val="none" w:sz="0" w:space="0" w:color="auto"/>
      </w:divBdr>
    </w:div>
    <w:div w:id="391513440">
      <w:bodyDiv w:val="1"/>
      <w:marLeft w:val="0"/>
      <w:marRight w:val="0"/>
      <w:marTop w:val="0"/>
      <w:marBottom w:val="0"/>
      <w:divBdr>
        <w:top w:val="none" w:sz="0" w:space="0" w:color="auto"/>
        <w:left w:val="none" w:sz="0" w:space="0" w:color="auto"/>
        <w:bottom w:val="none" w:sz="0" w:space="0" w:color="auto"/>
        <w:right w:val="none" w:sz="0" w:space="0" w:color="auto"/>
      </w:divBdr>
    </w:div>
    <w:div w:id="391854554">
      <w:bodyDiv w:val="1"/>
      <w:marLeft w:val="0"/>
      <w:marRight w:val="0"/>
      <w:marTop w:val="0"/>
      <w:marBottom w:val="0"/>
      <w:divBdr>
        <w:top w:val="none" w:sz="0" w:space="0" w:color="auto"/>
        <w:left w:val="none" w:sz="0" w:space="0" w:color="auto"/>
        <w:bottom w:val="none" w:sz="0" w:space="0" w:color="auto"/>
        <w:right w:val="none" w:sz="0" w:space="0" w:color="auto"/>
      </w:divBdr>
      <w:divsChild>
        <w:div w:id="225184669">
          <w:marLeft w:val="302"/>
          <w:marRight w:val="0"/>
          <w:marTop w:val="0"/>
          <w:marBottom w:val="0"/>
          <w:divBdr>
            <w:top w:val="none" w:sz="0" w:space="0" w:color="auto"/>
            <w:left w:val="none" w:sz="0" w:space="0" w:color="auto"/>
            <w:bottom w:val="none" w:sz="0" w:space="0" w:color="auto"/>
            <w:right w:val="none" w:sz="0" w:space="0" w:color="auto"/>
          </w:divBdr>
        </w:div>
        <w:div w:id="265969680">
          <w:marLeft w:val="302"/>
          <w:marRight w:val="0"/>
          <w:marTop w:val="0"/>
          <w:marBottom w:val="0"/>
          <w:divBdr>
            <w:top w:val="none" w:sz="0" w:space="0" w:color="auto"/>
            <w:left w:val="none" w:sz="0" w:space="0" w:color="auto"/>
            <w:bottom w:val="none" w:sz="0" w:space="0" w:color="auto"/>
            <w:right w:val="none" w:sz="0" w:space="0" w:color="auto"/>
          </w:divBdr>
        </w:div>
        <w:div w:id="841513161">
          <w:marLeft w:val="302"/>
          <w:marRight w:val="0"/>
          <w:marTop w:val="0"/>
          <w:marBottom w:val="0"/>
          <w:divBdr>
            <w:top w:val="none" w:sz="0" w:space="0" w:color="auto"/>
            <w:left w:val="none" w:sz="0" w:space="0" w:color="auto"/>
            <w:bottom w:val="none" w:sz="0" w:space="0" w:color="auto"/>
            <w:right w:val="none" w:sz="0" w:space="0" w:color="auto"/>
          </w:divBdr>
        </w:div>
        <w:div w:id="2028672045">
          <w:marLeft w:val="302"/>
          <w:marRight w:val="0"/>
          <w:marTop w:val="0"/>
          <w:marBottom w:val="0"/>
          <w:divBdr>
            <w:top w:val="none" w:sz="0" w:space="0" w:color="auto"/>
            <w:left w:val="none" w:sz="0" w:space="0" w:color="auto"/>
            <w:bottom w:val="none" w:sz="0" w:space="0" w:color="auto"/>
            <w:right w:val="none" w:sz="0" w:space="0" w:color="auto"/>
          </w:divBdr>
        </w:div>
      </w:divsChild>
    </w:div>
    <w:div w:id="412435011">
      <w:bodyDiv w:val="1"/>
      <w:marLeft w:val="0"/>
      <w:marRight w:val="0"/>
      <w:marTop w:val="0"/>
      <w:marBottom w:val="0"/>
      <w:divBdr>
        <w:top w:val="none" w:sz="0" w:space="0" w:color="auto"/>
        <w:left w:val="none" w:sz="0" w:space="0" w:color="auto"/>
        <w:bottom w:val="none" w:sz="0" w:space="0" w:color="auto"/>
        <w:right w:val="none" w:sz="0" w:space="0" w:color="auto"/>
      </w:divBdr>
    </w:div>
    <w:div w:id="414476147">
      <w:bodyDiv w:val="1"/>
      <w:marLeft w:val="0"/>
      <w:marRight w:val="0"/>
      <w:marTop w:val="0"/>
      <w:marBottom w:val="0"/>
      <w:divBdr>
        <w:top w:val="none" w:sz="0" w:space="0" w:color="auto"/>
        <w:left w:val="none" w:sz="0" w:space="0" w:color="auto"/>
        <w:bottom w:val="none" w:sz="0" w:space="0" w:color="auto"/>
        <w:right w:val="none" w:sz="0" w:space="0" w:color="auto"/>
      </w:divBdr>
      <w:divsChild>
        <w:div w:id="77560492">
          <w:marLeft w:val="432"/>
          <w:marRight w:val="0"/>
          <w:marTop w:val="0"/>
          <w:marBottom w:val="0"/>
          <w:divBdr>
            <w:top w:val="none" w:sz="0" w:space="0" w:color="auto"/>
            <w:left w:val="none" w:sz="0" w:space="0" w:color="auto"/>
            <w:bottom w:val="none" w:sz="0" w:space="0" w:color="auto"/>
            <w:right w:val="none" w:sz="0" w:space="0" w:color="auto"/>
          </w:divBdr>
        </w:div>
        <w:div w:id="1197305791">
          <w:marLeft w:val="432"/>
          <w:marRight w:val="0"/>
          <w:marTop w:val="0"/>
          <w:marBottom w:val="0"/>
          <w:divBdr>
            <w:top w:val="none" w:sz="0" w:space="0" w:color="auto"/>
            <w:left w:val="none" w:sz="0" w:space="0" w:color="auto"/>
            <w:bottom w:val="none" w:sz="0" w:space="0" w:color="auto"/>
            <w:right w:val="none" w:sz="0" w:space="0" w:color="auto"/>
          </w:divBdr>
        </w:div>
        <w:div w:id="2128426500">
          <w:marLeft w:val="432"/>
          <w:marRight w:val="0"/>
          <w:marTop w:val="0"/>
          <w:marBottom w:val="0"/>
          <w:divBdr>
            <w:top w:val="none" w:sz="0" w:space="0" w:color="auto"/>
            <w:left w:val="none" w:sz="0" w:space="0" w:color="auto"/>
            <w:bottom w:val="none" w:sz="0" w:space="0" w:color="auto"/>
            <w:right w:val="none" w:sz="0" w:space="0" w:color="auto"/>
          </w:divBdr>
        </w:div>
      </w:divsChild>
    </w:div>
    <w:div w:id="415369367">
      <w:bodyDiv w:val="1"/>
      <w:marLeft w:val="0"/>
      <w:marRight w:val="0"/>
      <w:marTop w:val="0"/>
      <w:marBottom w:val="0"/>
      <w:divBdr>
        <w:top w:val="none" w:sz="0" w:space="0" w:color="auto"/>
        <w:left w:val="none" w:sz="0" w:space="0" w:color="auto"/>
        <w:bottom w:val="none" w:sz="0" w:space="0" w:color="auto"/>
        <w:right w:val="none" w:sz="0" w:space="0" w:color="auto"/>
      </w:divBdr>
    </w:div>
    <w:div w:id="418868985">
      <w:bodyDiv w:val="1"/>
      <w:marLeft w:val="0"/>
      <w:marRight w:val="0"/>
      <w:marTop w:val="0"/>
      <w:marBottom w:val="0"/>
      <w:divBdr>
        <w:top w:val="none" w:sz="0" w:space="0" w:color="auto"/>
        <w:left w:val="none" w:sz="0" w:space="0" w:color="auto"/>
        <w:bottom w:val="none" w:sz="0" w:space="0" w:color="auto"/>
        <w:right w:val="none" w:sz="0" w:space="0" w:color="auto"/>
      </w:divBdr>
    </w:div>
    <w:div w:id="42326067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489899">
      <w:bodyDiv w:val="1"/>
      <w:marLeft w:val="0"/>
      <w:marRight w:val="0"/>
      <w:marTop w:val="0"/>
      <w:marBottom w:val="0"/>
      <w:divBdr>
        <w:top w:val="none" w:sz="0" w:space="0" w:color="auto"/>
        <w:left w:val="none" w:sz="0" w:space="0" w:color="auto"/>
        <w:bottom w:val="none" w:sz="0" w:space="0" w:color="auto"/>
        <w:right w:val="none" w:sz="0" w:space="0" w:color="auto"/>
      </w:divBdr>
    </w:div>
    <w:div w:id="445076354">
      <w:bodyDiv w:val="1"/>
      <w:marLeft w:val="0"/>
      <w:marRight w:val="0"/>
      <w:marTop w:val="0"/>
      <w:marBottom w:val="0"/>
      <w:divBdr>
        <w:top w:val="none" w:sz="0" w:space="0" w:color="auto"/>
        <w:left w:val="none" w:sz="0" w:space="0" w:color="auto"/>
        <w:bottom w:val="none" w:sz="0" w:space="0" w:color="auto"/>
        <w:right w:val="none" w:sz="0" w:space="0" w:color="auto"/>
      </w:divBdr>
    </w:div>
    <w:div w:id="453327861">
      <w:bodyDiv w:val="1"/>
      <w:marLeft w:val="0"/>
      <w:marRight w:val="0"/>
      <w:marTop w:val="0"/>
      <w:marBottom w:val="0"/>
      <w:divBdr>
        <w:top w:val="none" w:sz="0" w:space="0" w:color="auto"/>
        <w:left w:val="none" w:sz="0" w:space="0" w:color="auto"/>
        <w:bottom w:val="none" w:sz="0" w:space="0" w:color="auto"/>
        <w:right w:val="none" w:sz="0" w:space="0" w:color="auto"/>
      </w:divBdr>
    </w:div>
    <w:div w:id="457795224">
      <w:bodyDiv w:val="1"/>
      <w:marLeft w:val="0"/>
      <w:marRight w:val="0"/>
      <w:marTop w:val="0"/>
      <w:marBottom w:val="0"/>
      <w:divBdr>
        <w:top w:val="none" w:sz="0" w:space="0" w:color="auto"/>
        <w:left w:val="none" w:sz="0" w:space="0" w:color="auto"/>
        <w:bottom w:val="none" w:sz="0" w:space="0" w:color="auto"/>
        <w:right w:val="none" w:sz="0" w:space="0" w:color="auto"/>
      </w:divBdr>
    </w:div>
    <w:div w:id="458307276">
      <w:bodyDiv w:val="1"/>
      <w:marLeft w:val="0"/>
      <w:marRight w:val="0"/>
      <w:marTop w:val="0"/>
      <w:marBottom w:val="0"/>
      <w:divBdr>
        <w:top w:val="none" w:sz="0" w:space="0" w:color="auto"/>
        <w:left w:val="none" w:sz="0" w:space="0" w:color="auto"/>
        <w:bottom w:val="none" w:sz="0" w:space="0" w:color="auto"/>
        <w:right w:val="none" w:sz="0" w:space="0" w:color="auto"/>
      </w:divBdr>
    </w:div>
    <w:div w:id="471557161">
      <w:bodyDiv w:val="1"/>
      <w:marLeft w:val="0"/>
      <w:marRight w:val="0"/>
      <w:marTop w:val="0"/>
      <w:marBottom w:val="0"/>
      <w:divBdr>
        <w:top w:val="none" w:sz="0" w:space="0" w:color="auto"/>
        <w:left w:val="none" w:sz="0" w:space="0" w:color="auto"/>
        <w:bottom w:val="none" w:sz="0" w:space="0" w:color="auto"/>
        <w:right w:val="none" w:sz="0" w:space="0" w:color="auto"/>
      </w:divBdr>
    </w:div>
    <w:div w:id="478034287">
      <w:bodyDiv w:val="1"/>
      <w:marLeft w:val="0"/>
      <w:marRight w:val="0"/>
      <w:marTop w:val="0"/>
      <w:marBottom w:val="0"/>
      <w:divBdr>
        <w:top w:val="none" w:sz="0" w:space="0" w:color="auto"/>
        <w:left w:val="none" w:sz="0" w:space="0" w:color="auto"/>
        <w:bottom w:val="none" w:sz="0" w:space="0" w:color="auto"/>
        <w:right w:val="none" w:sz="0" w:space="0" w:color="auto"/>
      </w:divBdr>
    </w:div>
    <w:div w:id="492333368">
      <w:bodyDiv w:val="1"/>
      <w:marLeft w:val="0"/>
      <w:marRight w:val="0"/>
      <w:marTop w:val="0"/>
      <w:marBottom w:val="0"/>
      <w:divBdr>
        <w:top w:val="none" w:sz="0" w:space="0" w:color="auto"/>
        <w:left w:val="none" w:sz="0" w:space="0" w:color="auto"/>
        <w:bottom w:val="none" w:sz="0" w:space="0" w:color="auto"/>
        <w:right w:val="none" w:sz="0" w:space="0" w:color="auto"/>
      </w:divBdr>
    </w:div>
    <w:div w:id="503589757">
      <w:bodyDiv w:val="1"/>
      <w:marLeft w:val="0"/>
      <w:marRight w:val="0"/>
      <w:marTop w:val="0"/>
      <w:marBottom w:val="0"/>
      <w:divBdr>
        <w:top w:val="none" w:sz="0" w:space="0" w:color="auto"/>
        <w:left w:val="none" w:sz="0" w:space="0" w:color="auto"/>
        <w:bottom w:val="none" w:sz="0" w:space="0" w:color="auto"/>
        <w:right w:val="none" w:sz="0" w:space="0" w:color="auto"/>
      </w:divBdr>
    </w:div>
    <w:div w:id="513501276">
      <w:bodyDiv w:val="1"/>
      <w:marLeft w:val="0"/>
      <w:marRight w:val="0"/>
      <w:marTop w:val="0"/>
      <w:marBottom w:val="0"/>
      <w:divBdr>
        <w:top w:val="none" w:sz="0" w:space="0" w:color="auto"/>
        <w:left w:val="none" w:sz="0" w:space="0" w:color="auto"/>
        <w:bottom w:val="none" w:sz="0" w:space="0" w:color="auto"/>
        <w:right w:val="none" w:sz="0" w:space="0" w:color="auto"/>
      </w:divBdr>
    </w:div>
    <w:div w:id="521473302">
      <w:bodyDiv w:val="1"/>
      <w:marLeft w:val="0"/>
      <w:marRight w:val="0"/>
      <w:marTop w:val="0"/>
      <w:marBottom w:val="0"/>
      <w:divBdr>
        <w:top w:val="none" w:sz="0" w:space="0" w:color="auto"/>
        <w:left w:val="none" w:sz="0" w:space="0" w:color="auto"/>
        <w:bottom w:val="none" w:sz="0" w:space="0" w:color="auto"/>
        <w:right w:val="none" w:sz="0" w:space="0" w:color="auto"/>
      </w:divBdr>
    </w:div>
    <w:div w:id="526066787">
      <w:bodyDiv w:val="1"/>
      <w:marLeft w:val="0"/>
      <w:marRight w:val="0"/>
      <w:marTop w:val="0"/>
      <w:marBottom w:val="0"/>
      <w:divBdr>
        <w:top w:val="none" w:sz="0" w:space="0" w:color="auto"/>
        <w:left w:val="none" w:sz="0" w:space="0" w:color="auto"/>
        <w:bottom w:val="none" w:sz="0" w:space="0" w:color="auto"/>
        <w:right w:val="none" w:sz="0" w:space="0" w:color="auto"/>
      </w:divBdr>
      <w:divsChild>
        <w:div w:id="829179019">
          <w:marLeft w:val="274"/>
          <w:marRight w:val="0"/>
          <w:marTop w:val="0"/>
          <w:marBottom w:val="0"/>
          <w:divBdr>
            <w:top w:val="none" w:sz="0" w:space="0" w:color="auto"/>
            <w:left w:val="none" w:sz="0" w:space="0" w:color="auto"/>
            <w:bottom w:val="none" w:sz="0" w:space="0" w:color="auto"/>
            <w:right w:val="none" w:sz="0" w:space="0" w:color="auto"/>
          </w:divBdr>
        </w:div>
      </w:divsChild>
    </w:div>
    <w:div w:id="527648414">
      <w:bodyDiv w:val="1"/>
      <w:marLeft w:val="0"/>
      <w:marRight w:val="0"/>
      <w:marTop w:val="0"/>
      <w:marBottom w:val="0"/>
      <w:divBdr>
        <w:top w:val="none" w:sz="0" w:space="0" w:color="auto"/>
        <w:left w:val="none" w:sz="0" w:space="0" w:color="auto"/>
        <w:bottom w:val="none" w:sz="0" w:space="0" w:color="auto"/>
        <w:right w:val="none" w:sz="0" w:space="0" w:color="auto"/>
      </w:divBdr>
      <w:divsChild>
        <w:div w:id="153571539">
          <w:marLeft w:val="0"/>
          <w:marRight w:val="0"/>
          <w:marTop w:val="80"/>
          <w:marBottom w:val="0"/>
          <w:divBdr>
            <w:top w:val="none" w:sz="0" w:space="0" w:color="auto"/>
            <w:left w:val="none" w:sz="0" w:space="0" w:color="auto"/>
            <w:bottom w:val="none" w:sz="0" w:space="0" w:color="auto"/>
            <w:right w:val="none" w:sz="0" w:space="0" w:color="auto"/>
          </w:divBdr>
        </w:div>
        <w:div w:id="281159484">
          <w:marLeft w:val="0"/>
          <w:marRight w:val="0"/>
          <w:marTop w:val="80"/>
          <w:marBottom w:val="0"/>
          <w:divBdr>
            <w:top w:val="none" w:sz="0" w:space="0" w:color="auto"/>
            <w:left w:val="none" w:sz="0" w:space="0" w:color="auto"/>
            <w:bottom w:val="none" w:sz="0" w:space="0" w:color="auto"/>
            <w:right w:val="none" w:sz="0" w:space="0" w:color="auto"/>
          </w:divBdr>
        </w:div>
        <w:div w:id="496070039">
          <w:marLeft w:val="0"/>
          <w:marRight w:val="0"/>
          <w:marTop w:val="80"/>
          <w:marBottom w:val="0"/>
          <w:divBdr>
            <w:top w:val="none" w:sz="0" w:space="0" w:color="auto"/>
            <w:left w:val="none" w:sz="0" w:space="0" w:color="auto"/>
            <w:bottom w:val="none" w:sz="0" w:space="0" w:color="auto"/>
            <w:right w:val="none" w:sz="0" w:space="0" w:color="auto"/>
          </w:divBdr>
        </w:div>
        <w:div w:id="1092165916">
          <w:marLeft w:val="0"/>
          <w:marRight w:val="0"/>
          <w:marTop w:val="80"/>
          <w:marBottom w:val="0"/>
          <w:divBdr>
            <w:top w:val="none" w:sz="0" w:space="0" w:color="auto"/>
            <w:left w:val="none" w:sz="0" w:space="0" w:color="auto"/>
            <w:bottom w:val="none" w:sz="0" w:space="0" w:color="auto"/>
            <w:right w:val="none" w:sz="0" w:space="0" w:color="auto"/>
          </w:divBdr>
        </w:div>
        <w:div w:id="1787965341">
          <w:marLeft w:val="0"/>
          <w:marRight w:val="0"/>
          <w:marTop w:val="80"/>
          <w:marBottom w:val="0"/>
          <w:divBdr>
            <w:top w:val="none" w:sz="0" w:space="0" w:color="auto"/>
            <w:left w:val="none" w:sz="0" w:space="0" w:color="auto"/>
            <w:bottom w:val="none" w:sz="0" w:space="0" w:color="auto"/>
            <w:right w:val="none" w:sz="0" w:space="0" w:color="auto"/>
          </w:divBdr>
        </w:div>
      </w:divsChild>
    </w:div>
    <w:div w:id="536550912">
      <w:bodyDiv w:val="1"/>
      <w:marLeft w:val="0"/>
      <w:marRight w:val="0"/>
      <w:marTop w:val="0"/>
      <w:marBottom w:val="0"/>
      <w:divBdr>
        <w:top w:val="none" w:sz="0" w:space="0" w:color="auto"/>
        <w:left w:val="none" w:sz="0" w:space="0" w:color="auto"/>
        <w:bottom w:val="none" w:sz="0" w:space="0" w:color="auto"/>
        <w:right w:val="none" w:sz="0" w:space="0" w:color="auto"/>
      </w:divBdr>
    </w:div>
    <w:div w:id="538934827">
      <w:bodyDiv w:val="1"/>
      <w:marLeft w:val="0"/>
      <w:marRight w:val="0"/>
      <w:marTop w:val="0"/>
      <w:marBottom w:val="0"/>
      <w:divBdr>
        <w:top w:val="none" w:sz="0" w:space="0" w:color="auto"/>
        <w:left w:val="none" w:sz="0" w:space="0" w:color="auto"/>
        <w:bottom w:val="none" w:sz="0" w:space="0" w:color="auto"/>
        <w:right w:val="none" w:sz="0" w:space="0" w:color="auto"/>
      </w:divBdr>
      <w:divsChild>
        <w:div w:id="569658067">
          <w:marLeft w:val="360"/>
          <w:marRight w:val="0"/>
          <w:marTop w:val="0"/>
          <w:marBottom w:val="0"/>
          <w:divBdr>
            <w:top w:val="none" w:sz="0" w:space="0" w:color="auto"/>
            <w:left w:val="none" w:sz="0" w:space="0" w:color="auto"/>
            <w:bottom w:val="none" w:sz="0" w:space="0" w:color="auto"/>
            <w:right w:val="none" w:sz="0" w:space="0" w:color="auto"/>
          </w:divBdr>
        </w:div>
        <w:div w:id="705906778">
          <w:marLeft w:val="360"/>
          <w:marRight w:val="0"/>
          <w:marTop w:val="0"/>
          <w:marBottom w:val="0"/>
          <w:divBdr>
            <w:top w:val="none" w:sz="0" w:space="0" w:color="auto"/>
            <w:left w:val="none" w:sz="0" w:space="0" w:color="auto"/>
            <w:bottom w:val="none" w:sz="0" w:space="0" w:color="auto"/>
            <w:right w:val="none" w:sz="0" w:space="0" w:color="auto"/>
          </w:divBdr>
        </w:div>
        <w:div w:id="1359773364">
          <w:marLeft w:val="360"/>
          <w:marRight w:val="0"/>
          <w:marTop w:val="0"/>
          <w:marBottom w:val="0"/>
          <w:divBdr>
            <w:top w:val="none" w:sz="0" w:space="0" w:color="auto"/>
            <w:left w:val="none" w:sz="0" w:space="0" w:color="auto"/>
            <w:bottom w:val="none" w:sz="0" w:space="0" w:color="auto"/>
            <w:right w:val="none" w:sz="0" w:space="0" w:color="auto"/>
          </w:divBdr>
        </w:div>
        <w:div w:id="1412197388">
          <w:marLeft w:val="360"/>
          <w:marRight w:val="0"/>
          <w:marTop w:val="0"/>
          <w:marBottom w:val="0"/>
          <w:divBdr>
            <w:top w:val="none" w:sz="0" w:space="0" w:color="auto"/>
            <w:left w:val="none" w:sz="0" w:space="0" w:color="auto"/>
            <w:bottom w:val="none" w:sz="0" w:space="0" w:color="auto"/>
            <w:right w:val="none" w:sz="0" w:space="0" w:color="auto"/>
          </w:divBdr>
        </w:div>
        <w:div w:id="1889031799">
          <w:marLeft w:val="360"/>
          <w:marRight w:val="0"/>
          <w:marTop w:val="0"/>
          <w:marBottom w:val="0"/>
          <w:divBdr>
            <w:top w:val="none" w:sz="0" w:space="0" w:color="auto"/>
            <w:left w:val="none" w:sz="0" w:space="0" w:color="auto"/>
            <w:bottom w:val="none" w:sz="0" w:space="0" w:color="auto"/>
            <w:right w:val="none" w:sz="0" w:space="0" w:color="auto"/>
          </w:divBdr>
        </w:div>
      </w:divsChild>
    </w:div>
    <w:div w:id="556210835">
      <w:bodyDiv w:val="1"/>
      <w:marLeft w:val="0"/>
      <w:marRight w:val="0"/>
      <w:marTop w:val="0"/>
      <w:marBottom w:val="0"/>
      <w:divBdr>
        <w:top w:val="none" w:sz="0" w:space="0" w:color="auto"/>
        <w:left w:val="none" w:sz="0" w:space="0" w:color="auto"/>
        <w:bottom w:val="none" w:sz="0" w:space="0" w:color="auto"/>
        <w:right w:val="none" w:sz="0" w:space="0" w:color="auto"/>
      </w:divBdr>
    </w:div>
    <w:div w:id="563834694">
      <w:bodyDiv w:val="1"/>
      <w:marLeft w:val="0"/>
      <w:marRight w:val="0"/>
      <w:marTop w:val="0"/>
      <w:marBottom w:val="0"/>
      <w:divBdr>
        <w:top w:val="none" w:sz="0" w:space="0" w:color="auto"/>
        <w:left w:val="none" w:sz="0" w:space="0" w:color="auto"/>
        <w:bottom w:val="none" w:sz="0" w:space="0" w:color="auto"/>
        <w:right w:val="none" w:sz="0" w:space="0" w:color="auto"/>
      </w:divBdr>
    </w:div>
    <w:div w:id="567888202">
      <w:bodyDiv w:val="1"/>
      <w:marLeft w:val="0"/>
      <w:marRight w:val="0"/>
      <w:marTop w:val="0"/>
      <w:marBottom w:val="0"/>
      <w:divBdr>
        <w:top w:val="none" w:sz="0" w:space="0" w:color="auto"/>
        <w:left w:val="none" w:sz="0" w:space="0" w:color="auto"/>
        <w:bottom w:val="none" w:sz="0" w:space="0" w:color="auto"/>
        <w:right w:val="none" w:sz="0" w:space="0" w:color="auto"/>
      </w:divBdr>
      <w:divsChild>
        <w:div w:id="1857765451">
          <w:marLeft w:val="432"/>
          <w:marRight w:val="0"/>
          <w:marTop w:val="0"/>
          <w:marBottom w:val="0"/>
          <w:divBdr>
            <w:top w:val="none" w:sz="0" w:space="0" w:color="auto"/>
            <w:left w:val="none" w:sz="0" w:space="0" w:color="auto"/>
            <w:bottom w:val="none" w:sz="0" w:space="0" w:color="auto"/>
            <w:right w:val="none" w:sz="0" w:space="0" w:color="auto"/>
          </w:divBdr>
        </w:div>
        <w:div w:id="2099249165">
          <w:marLeft w:val="432"/>
          <w:marRight w:val="0"/>
          <w:marTop w:val="0"/>
          <w:marBottom w:val="0"/>
          <w:divBdr>
            <w:top w:val="none" w:sz="0" w:space="0" w:color="auto"/>
            <w:left w:val="none" w:sz="0" w:space="0" w:color="auto"/>
            <w:bottom w:val="none" w:sz="0" w:space="0" w:color="auto"/>
            <w:right w:val="none" w:sz="0" w:space="0" w:color="auto"/>
          </w:divBdr>
        </w:div>
      </w:divsChild>
    </w:div>
    <w:div w:id="571163795">
      <w:bodyDiv w:val="1"/>
      <w:marLeft w:val="0"/>
      <w:marRight w:val="0"/>
      <w:marTop w:val="0"/>
      <w:marBottom w:val="0"/>
      <w:divBdr>
        <w:top w:val="none" w:sz="0" w:space="0" w:color="auto"/>
        <w:left w:val="none" w:sz="0" w:space="0" w:color="auto"/>
        <w:bottom w:val="none" w:sz="0" w:space="0" w:color="auto"/>
        <w:right w:val="none" w:sz="0" w:space="0" w:color="auto"/>
      </w:divBdr>
      <w:divsChild>
        <w:div w:id="1138962046">
          <w:marLeft w:val="302"/>
          <w:marRight w:val="0"/>
          <w:marTop w:val="0"/>
          <w:marBottom w:val="0"/>
          <w:divBdr>
            <w:top w:val="none" w:sz="0" w:space="0" w:color="auto"/>
            <w:left w:val="none" w:sz="0" w:space="0" w:color="auto"/>
            <w:bottom w:val="none" w:sz="0" w:space="0" w:color="auto"/>
            <w:right w:val="none" w:sz="0" w:space="0" w:color="auto"/>
          </w:divBdr>
        </w:div>
        <w:div w:id="1142119881">
          <w:marLeft w:val="302"/>
          <w:marRight w:val="0"/>
          <w:marTop w:val="0"/>
          <w:marBottom w:val="0"/>
          <w:divBdr>
            <w:top w:val="none" w:sz="0" w:space="0" w:color="auto"/>
            <w:left w:val="none" w:sz="0" w:space="0" w:color="auto"/>
            <w:bottom w:val="none" w:sz="0" w:space="0" w:color="auto"/>
            <w:right w:val="none" w:sz="0" w:space="0" w:color="auto"/>
          </w:divBdr>
        </w:div>
        <w:div w:id="1266352586">
          <w:marLeft w:val="302"/>
          <w:marRight w:val="0"/>
          <w:marTop w:val="0"/>
          <w:marBottom w:val="0"/>
          <w:divBdr>
            <w:top w:val="none" w:sz="0" w:space="0" w:color="auto"/>
            <w:left w:val="none" w:sz="0" w:space="0" w:color="auto"/>
            <w:bottom w:val="none" w:sz="0" w:space="0" w:color="auto"/>
            <w:right w:val="none" w:sz="0" w:space="0" w:color="auto"/>
          </w:divBdr>
        </w:div>
        <w:div w:id="1948661256">
          <w:marLeft w:val="302"/>
          <w:marRight w:val="0"/>
          <w:marTop w:val="0"/>
          <w:marBottom w:val="0"/>
          <w:divBdr>
            <w:top w:val="none" w:sz="0" w:space="0" w:color="auto"/>
            <w:left w:val="none" w:sz="0" w:space="0" w:color="auto"/>
            <w:bottom w:val="none" w:sz="0" w:space="0" w:color="auto"/>
            <w:right w:val="none" w:sz="0" w:space="0" w:color="auto"/>
          </w:divBdr>
        </w:div>
      </w:divsChild>
    </w:div>
    <w:div w:id="574317002">
      <w:bodyDiv w:val="1"/>
      <w:marLeft w:val="0"/>
      <w:marRight w:val="0"/>
      <w:marTop w:val="0"/>
      <w:marBottom w:val="0"/>
      <w:divBdr>
        <w:top w:val="none" w:sz="0" w:space="0" w:color="auto"/>
        <w:left w:val="none" w:sz="0" w:space="0" w:color="auto"/>
        <w:bottom w:val="none" w:sz="0" w:space="0" w:color="auto"/>
        <w:right w:val="none" w:sz="0" w:space="0" w:color="auto"/>
      </w:divBdr>
      <w:divsChild>
        <w:div w:id="721753374">
          <w:marLeft w:val="274"/>
          <w:marRight w:val="0"/>
          <w:marTop w:val="0"/>
          <w:marBottom w:val="120"/>
          <w:divBdr>
            <w:top w:val="none" w:sz="0" w:space="0" w:color="auto"/>
            <w:left w:val="none" w:sz="0" w:space="0" w:color="auto"/>
            <w:bottom w:val="none" w:sz="0" w:space="0" w:color="auto"/>
            <w:right w:val="none" w:sz="0" w:space="0" w:color="auto"/>
          </w:divBdr>
        </w:div>
        <w:div w:id="729234525">
          <w:marLeft w:val="274"/>
          <w:marRight w:val="0"/>
          <w:marTop w:val="0"/>
          <w:marBottom w:val="120"/>
          <w:divBdr>
            <w:top w:val="none" w:sz="0" w:space="0" w:color="auto"/>
            <w:left w:val="none" w:sz="0" w:space="0" w:color="auto"/>
            <w:bottom w:val="none" w:sz="0" w:space="0" w:color="auto"/>
            <w:right w:val="none" w:sz="0" w:space="0" w:color="auto"/>
          </w:divBdr>
        </w:div>
        <w:div w:id="792554433">
          <w:marLeft w:val="274"/>
          <w:marRight w:val="0"/>
          <w:marTop w:val="0"/>
          <w:marBottom w:val="120"/>
          <w:divBdr>
            <w:top w:val="none" w:sz="0" w:space="0" w:color="auto"/>
            <w:left w:val="none" w:sz="0" w:space="0" w:color="auto"/>
            <w:bottom w:val="none" w:sz="0" w:space="0" w:color="auto"/>
            <w:right w:val="none" w:sz="0" w:space="0" w:color="auto"/>
          </w:divBdr>
        </w:div>
        <w:div w:id="930550749">
          <w:marLeft w:val="274"/>
          <w:marRight w:val="0"/>
          <w:marTop w:val="0"/>
          <w:marBottom w:val="120"/>
          <w:divBdr>
            <w:top w:val="none" w:sz="0" w:space="0" w:color="auto"/>
            <w:left w:val="none" w:sz="0" w:space="0" w:color="auto"/>
            <w:bottom w:val="none" w:sz="0" w:space="0" w:color="auto"/>
            <w:right w:val="none" w:sz="0" w:space="0" w:color="auto"/>
          </w:divBdr>
        </w:div>
        <w:div w:id="1471823384">
          <w:marLeft w:val="274"/>
          <w:marRight w:val="0"/>
          <w:marTop w:val="0"/>
          <w:marBottom w:val="120"/>
          <w:divBdr>
            <w:top w:val="none" w:sz="0" w:space="0" w:color="auto"/>
            <w:left w:val="none" w:sz="0" w:space="0" w:color="auto"/>
            <w:bottom w:val="none" w:sz="0" w:space="0" w:color="auto"/>
            <w:right w:val="none" w:sz="0" w:space="0" w:color="auto"/>
          </w:divBdr>
        </w:div>
        <w:div w:id="1610772846">
          <w:marLeft w:val="274"/>
          <w:marRight w:val="0"/>
          <w:marTop w:val="0"/>
          <w:marBottom w:val="120"/>
          <w:divBdr>
            <w:top w:val="none" w:sz="0" w:space="0" w:color="auto"/>
            <w:left w:val="none" w:sz="0" w:space="0" w:color="auto"/>
            <w:bottom w:val="none" w:sz="0" w:space="0" w:color="auto"/>
            <w:right w:val="none" w:sz="0" w:space="0" w:color="auto"/>
          </w:divBdr>
        </w:div>
        <w:div w:id="1892569988">
          <w:marLeft w:val="274"/>
          <w:marRight w:val="0"/>
          <w:marTop w:val="0"/>
          <w:marBottom w:val="120"/>
          <w:divBdr>
            <w:top w:val="none" w:sz="0" w:space="0" w:color="auto"/>
            <w:left w:val="none" w:sz="0" w:space="0" w:color="auto"/>
            <w:bottom w:val="none" w:sz="0" w:space="0" w:color="auto"/>
            <w:right w:val="none" w:sz="0" w:space="0" w:color="auto"/>
          </w:divBdr>
        </w:div>
        <w:div w:id="2088501467">
          <w:marLeft w:val="274"/>
          <w:marRight w:val="0"/>
          <w:marTop w:val="0"/>
          <w:marBottom w:val="120"/>
          <w:divBdr>
            <w:top w:val="none" w:sz="0" w:space="0" w:color="auto"/>
            <w:left w:val="none" w:sz="0" w:space="0" w:color="auto"/>
            <w:bottom w:val="none" w:sz="0" w:space="0" w:color="auto"/>
            <w:right w:val="none" w:sz="0" w:space="0" w:color="auto"/>
          </w:divBdr>
        </w:div>
      </w:divsChild>
    </w:div>
    <w:div w:id="574513556">
      <w:bodyDiv w:val="1"/>
      <w:marLeft w:val="0"/>
      <w:marRight w:val="0"/>
      <w:marTop w:val="0"/>
      <w:marBottom w:val="0"/>
      <w:divBdr>
        <w:top w:val="none" w:sz="0" w:space="0" w:color="auto"/>
        <w:left w:val="none" w:sz="0" w:space="0" w:color="auto"/>
        <w:bottom w:val="none" w:sz="0" w:space="0" w:color="auto"/>
        <w:right w:val="none" w:sz="0" w:space="0" w:color="auto"/>
      </w:divBdr>
      <w:divsChild>
        <w:div w:id="110125167">
          <w:marLeft w:val="274"/>
          <w:marRight w:val="0"/>
          <w:marTop w:val="0"/>
          <w:marBottom w:val="0"/>
          <w:divBdr>
            <w:top w:val="none" w:sz="0" w:space="0" w:color="auto"/>
            <w:left w:val="none" w:sz="0" w:space="0" w:color="auto"/>
            <w:bottom w:val="none" w:sz="0" w:space="0" w:color="auto"/>
            <w:right w:val="none" w:sz="0" w:space="0" w:color="auto"/>
          </w:divBdr>
        </w:div>
        <w:div w:id="809056713">
          <w:marLeft w:val="274"/>
          <w:marRight w:val="0"/>
          <w:marTop w:val="0"/>
          <w:marBottom w:val="0"/>
          <w:divBdr>
            <w:top w:val="none" w:sz="0" w:space="0" w:color="auto"/>
            <w:left w:val="none" w:sz="0" w:space="0" w:color="auto"/>
            <w:bottom w:val="none" w:sz="0" w:space="0" w:color="auto"/>
            <w:right w:val="none" w:sz="0" w:space="0" w:color="auto"/>
          </w:divBdr>
        </w:div>
        <w:div w:id="1576743518">
          <w:marLeft w:val="274"/>
          <w:marRight w:val="0"/>
          <w:marTop w:val="0"/>
          <w:marBottom w:val="0"/>
          <w:divBdr>
            <w:top w:val="none" w:sz="0" w:space="0" w:color="auto"/>
            <w:left w:val="none" w:sz="0" w:space="0" w:color="auto"/>
            <w:bottom w:val="none" w:sz="0" w:space="0" w:color="auto"/>
            <w:right w:val="none" w:sz="0" w:space="0" w:color="auto"/>
          </w:divBdr>
        </w:div>
      </w:divsChild>
    </w:div>
    <w:div w:id="576138334">
      <w:bodyDiv w:val="1"/>
      <w:marLeft w:val="0"/>
      <w:marRight w:val="0"/>
      <w:marTop w:val="0"/>
      <w:marBottom w:val="0"/>
      <w:divBdr>
        <w:top w:val="none" w:sz="0" w:space="0" w:color="auto"/>
        <w:left w:val="none" w:sz="0" w:space="0" w:color="auto"/>
        <w:bottom w:val="none" w:sz="0" w:space="0" w:color="auto"/>
        <w:right w:val="none" w:sz="0" w:space="0" w:color="auto"/>
      </w:divBdr>
    </w:div>
    <w:div w:id="577789951">
      <w:bodyDiv w:val="1"/>
      <w:marLeft w:val="0"/>
      <w:marRight w:val="0"/>
      <w:marTop w:val="0"/>
      <w:marBottom w:val="0"/>
      <w:divBdr>
        <w:top w:val="none" w:sz="0" w:space="0" w:color="auto"/>
        <w:left w:val="none" w:sz="0" w:space="0" w:color="auto"/>
        <w:bottom w:val="none" w:sz="0" w:space="0" w:color="auto"/>
        <w:right w:val="none" w:sz="0" w:space="0" w:color="auto"/>
      </w:divBdr>
    </w:div>
    <w:div w:id="578290880">
      <w:bodyDiv w:val="1"/>
      <w:marLeft w:val="0"/>
      <w:marRight w:val="0"/>
      <w:marTop w:val="0"/>
      <w:marBottom w:val="0"/>
      <w:divBdr>
        <w:top w:val="none" w:sz="0" w:space="0" w:color="auto"/>
        <w:left w:val="none" w:sz="0" w:space="0" w:color="auto"/>
        <w:bottom w:val="none" w:sz="0" w:space="0" w:color="auto"/>
        <w:right w:val="none" w:sz="0" w:space="0" w:color="auto"/>
      </w:divBdr>
    </w:div>
    <w:div w:id="581837488">
      <w:bodyDiv w:val="1"/>
      <w:marLeft w:val="0"/>
      <w:marRight w:val="0"/>
      <w:marTop w:val="0"/>
      <w:marBottom w:val="0"/>
      <w:divBdr>
        <w:top w:val="none" w:sz="0" w:space="0" w:color="auto"/>
        <w:left w:val="none" w:sz="0" w:space="0" w:color="auto"/>
        <w:bottom w:val="none" w:sz="0" w:space="0" w:color="auto"/>
        <w:right w:val="none" w:sz="0" w:space="0" w:color="auto"/>
      </w:divBdr>
      <w:divsChild>
        <w:div w:id="148593588">
          <w:marLeft w:val="288"/>
          <w:marRight w:val="0"/>
          <w:marTop w:val="0"/>
          <w:marBottom w:val="60"/>
          <w:divBdr>
            <w:top w:val="none" w:sz="0" w:space="0" w:color="auto"/>
            <w:left w:val="none" w:sz="0" w:space="0" w:color="auto"/>
            <w:bottom w:val="none" w:sz="0" w:space="0" w:color="auto"/>
            <w:right w:val="none" w:sz="0" w:space="0" w:color="auto"/>
          </w:divBdr>
        </w:div>
        <w:div w:id="372119882">
          <w:marLeft w:val="288"/>
          <w:marRight w:val="0"/>
          <w:marTop w:val="0"/>
          <w:marBottom w:val="60"/>
          <w:divBdr>
            <w:top w:val="none" w:sz="0" w:space="0" w:color="auto"/>
            <w:left w:val="none" w:sz="0" w:space="0" w:color="auto"/>
            <w:bottom w:val="none" w:sz="0" w:space="0" w:color="auto"/>
            <w:right w:val="none" w:sz="0" w:space="0" w:color="auto"/>
          </w:divBdr>
        </w:div>
        <w:div w:id="620770428">
          <w:marLeft w:val="288"/>
          <w:marRight w:val="0"/>
          <w:marTop w:val="0"/>
          <w:marBottom w:val="60"/>
          <w:divBdr>
            <w:top w:val="none" w:sz="0" w:space="0" w:color="auto"/>
            <w:left w:val="none" w:sz="0" w:space="0" w:color="auto"/>
            <w:bottom w:val="none" w:sz="0" w:space="0" w:color="auto"/>
            <w:right w:val="none" w:sz="0" w:space="0" w:color="auto"/>
          </w:divBdr>
        </w:div>
        <w:div w:id="640813661">
          <w:marLeft w:val="288"/>
          <w:marRight w:val="0"/>
          <w:marTop w:val="0"/>
          <w:marBottom w:val="60"/>
          <w:divBdr>
            <w:top w:val="none" w:sz="0" w:space="0" w:color="auto"/>
            <w:left w:val="none" w:sz="0" w:space="0" w:color="auto"/>
            <w:bottom w:val="none" w:sz="0" w:space="0" w:color="auto"/>
            <w:right w:val="none" w:sz="0" w:space="0" w:color="auto"/>
          </w:divBdr>
        </w:div>
        <w:div w:id="754866234">
          <w:marLeft w:val="288"/>
          <w:marRight w:val="0"/>
          <w:marTop w:val="0"/>
          <w:marBottom w:val="60"/>
          <w:divBdr>
            <w:top w:val="none" w:sz="0" w:space="0" w:color="auto"/>
            <w:left w:val="none" w:sz="0" w:space="0" w:color="auto"/>
            <w:bottom w:val="none" w:sz="0" w:space="0" w:color="auto"/>
            <w:right w:val="none" w:sz="0" w:space="0" w:color="auto"/>
          </w:divBdr>
        </w:div>
        <w:div w:id="999894672">
          <w:marLeft w:val="288"/>
          <w:marRight w:val="0"/>
          <w:marTop w:val="0"/>
          <w:marBottom w:val="60"/>
          <w:divBdr>
            <w:top w:val="none" w:sz="0" w:space="0" w:color="auto"/>
            <w:left w:val="none" w:sz="0" w:space="0" w:color="auto"/>
            <w:bottom w:val="none" w:sz="0" w:space="0" w:color="auto"/>
            <w:right w:val="none" w:sz="0" w:space="0" w:color="auto"/>
          </w:divBdr>
        </w:div>
        <w:div w:id="1113329484">
          <w:marLeft w:val="288"/>
          <w:marRight w:val="0"/>
          <w:marTop w:val="0"/>
          <w:marBottom w:val="60"/>
          <w:divBdr>
            <w:top w:val="none" w:sz="0" w:space="0" w:color="auto"/>
            <w:left w:val="none" w:sz="0" w:space="0" w:color="auto"/>
            <w:bottom w:val="none" w:sz="0" w:space="0" w:color="auto"/>
            <w:right w:val="none" w:sz="0" w:space="0" w:color="auto"/>
          </w:divBdr>
        </w:div>
        <w:div w:id="1174224935">
          <w:marLeft w:val="288"/>
          <w:marRight w:val="0"/>
          <w:marTop w:val="0"/>
          <w:marBottom w:val="60"/>
          <w:divBdr>
            <w:top w:val="none" w:sz="0" w:space="0" w:color="auto"/>
            <w:left w:val="none" w:sz="0" w:space="0" w:color="auto"/>
            <w:bottom w:val="none" w:sz="0" w:space="0" w:color="auto"/>
            <w:right w:val="none" w:sz="0" w:space="0" w:color="auto"/>
          </w:divBdr>
        </w:div>
        <w:div w:id="1318606296">
          <w:marLeft w:val="288"/>
          <w:marRight w:val="0"/>
          <w:marTop w:val="0"/>
          <w:marBottom w:val="60"/>
          <w:divBdr>
            <w:top w:val="none" w:sz="0" w:space="0" w:color="auto"/>
            <w:left w:val="none" w:sz="0" w:space="0" w:color="auto"/>
            <w:bottom w:val="none" w:sz="0" w:space="0" w:color="auto"/>
            <w:right w:val="none" w:sz="0" w:space="0" w:color="auto"/>
          </w:divBdr>
        </w:div>
      </w:divsChild>
    </w:div>
    <w:div w:id="583882493">
      <w:bodyDiv w:val="1"/>
      <w:marLeft w:val="0"/>
      <w:marRight w:val="0"/>
      <w:marTop w:val="0"/>
      <w:marBottom w:val="0"/>
      <w:divBdr>
        <w:top w:val="none" w:sz="0" w:space="0" w:color="auto"/>
        <w:left w:val="none" w:sz="0" w:space="0" w:color="auto"/>
        <w:bottom w:val="none" w:sz="0" w:space="0" w:color="auto"/>
        <w:right w:val="none" w:sz="0" w:space="0" w:color="auto"/>
      </w:divBdr>
    </w:div>
    <w:div w:id="584416033">
      <w:bodyDiv w:val="1"/>
      <w:marLeft w:val="0"/>
      <w:marRight w:val="0"/>
      <w:marTop w:val="0"/>
      <w:marBottom w:val="0"/>
      <w:divBdr>
        <w:top w:val="none" w:sz="0" w:space="0" w:color="auto"/>
        <w:left w:val="none" w:sz="0" w:space="0" w:color="auto"/>
        <w:bottom w:val="none" w:sz="0" w:space="0" w:color="auto"/>
        <w:right w:val="none" w:sz="0" w:space="0" w:color="auto"/>
      </w:divBdr>
    </w:div>
    <w:div w:id="589581679">
      <w:bodyDiv w:val="1"/>
      <w:marLeft w:val="0"/>
      <w:marRight w:val="0"/>
      <w:marTop w:val="0"/>
      <w:marBottom w:val="0"/>
      <w:divBdr>
        <w:top w:val="none" w:sz="0" w:space="0" w:color="auto"/>
        <w:left w:val="none" w:sz="0" w:space="0" w:color="auto"/>
        <w:bottom w:val="none" w:sz="0" w:space="0" w:color="auto"/>
        <w:right w:val="none" w:sz="0" w:space="0" w:color="auto"/>
      </w:divBdr>
    </w:div>
    <w:div w:id="593175547">
      <w:bodyDiv w:val="1"/>
      <w:marLeft w:val="0"/>
      <w:marRight w:val="0"/>
      <w:marTop w:val="0"/>
      <w:marBottom w:val="0"/>
      <w:divBdr>
        <w:top w:val="none" w:sz="0" w:space="0" w:color="auto"/>
        <w:left w:val="none" w:sz="0" w:space="0" w:color="auto"/>
        <w:bottom w:val="none" w:sz="0" w:space="0" w:color="auto"/>
        <w:right w:val="none" w:sz="0" w:space="0" w:color="auto"/>
      </w:divBdr>
    </w:div>
    <w:div w:id="597131136">
      <w:bodyDiv w:val="1"/>
      <w:marLeft w:val="0"/>
      <w:marRight w:val="0"/>
      <w:marTop w:val="0"/>
      <w:marBottom w:val="0"/>
      <w:divBdr>
        <w:top w:val="none" w:sz="0" w:space="0" w:color="auto"/>
        <w:left w:val="none" w:sz="0" w:space="0" w:color="auto"/>
        <w:bottom w:val="none" w:sz="0" w:space="0" w:color="auto"/>
        <w:right w:val="none" w:sz="0" w:space="0" w:color="auto"/>
      </w:divBdr>
      <w:divsChild>
        <w:div w:id="104203679">
          <w:marLeft w:val="274"/>
          <w:marRight w:val="0"/>
          <w:marTop w:val="0"/>
          <w:marBottom w:val="20"/>
          <w:divBdr>
            <w:top w:val="none" w:sz="0" w:space="0" w:color="auto"/>
            <w:left w:val="none" w:sz="0" w:space="0" w:color="auto"/>
            <w:bottom w:val="none" w:sz="0" w:space="0" w:color="auto"/>
            <w:right w:val="none" w:sz="0" w:space="0" w:color="auto"/>
          </w:divBdr>
        </w:div>
        <w:div w:id="183633512">
          <w:marLeft w:val="274"/>
          <w:marRight w:val="0"/>
          <w:marTop w:val="0"/>
          <w:marBottom w:val="20"/>
          <w:divBdr>
            <w:top w:val="none" w:sz="0" w:space="0" w:color="auto"/>
            <w:left w:val="none" w:sz="0" w:space="0" w:color="auto"/>
            <w:bottom w:val="none" w:sz="0" w:space="0" w:color="auto"/>
            <w:right w:val="none" w:sz="0" w:space="0" w:color="auto"/>
          </w:divBdr>
        </w:div>
        <w:div w:id="287980212">
          <w:marLeft w:val="274"/>
          <w:marRight w:val="0"/>
          <w:marTop w:val="0"/>
          <w:marBottom w:val="20"/>
          <w:divBdr>
            <w:top w:val="none" w:sz="0" w:space="0" w:color="auto"/>
            <w:left w:val="none" w:sz="0" w:space="0" w:color="auto"/>
            <w:bottom w:val="none" w:sz="0" w:space="0" w:color="auto"/>
            <w:right w:val="none" w:sz="0" w:space="0" w:color="auto"/>
          </w:divBdr>
        </w:div>
        <w:div w:id="372535505">
          <w:marLeft w:val="274"/>
          <w:marRight w:val="0"/>
          <w:marTop w:val="0"/>
          <w:marBottom w:val="20"/>
          <w:divBdr>
            <w:top w:val="none" w:sz="0" w:space="0" w:color="auto"/>
            <w:left w:val="none" w:sz="0" w:space="0" w:color="auto"/>
            <w:bottom w:val="none" w:sz="0" w:space="0" w:color="auto"/>
            <w:right w:val="none" w:sz="0" w:space="0" w:color="auto"/>
          </w:divBdr>
        </w:div>
        <w:div w:id="440995726">
          <w:marLeft w:val="274"/>
          <w:marRight w:val="0"/>
          <w:marTop w:val="0"/>
          <w:marBottom w:val="20"/>
          <w:divBdr>
            <w:top w:val="none" w:sz="0" w:space="0" w:color="auto"/>
            <w:left w:val="none" w:sz="0" w:space="0" w:color="auto"/>
            <w:bottom w:val="none" w:sz="0" w:space="0" w:color="auto"/>
            <w:right w:val="none" w:sz="0" w:space="0" w:color="auto"/>
          </w:divBdr>
        </w:div>
        <w:div w:id="610091632">
          <w:marLeft w:val="274"/>
          <w:marRight w:val="0"/>
          <w:marTop w:val="0"/>
          <w:marBottom w:val="20"/>
          <w:divBdr>
            <w:top w:val="none" w:sz="0" w:space="0" w:color="auto"/>
            <w:left w:val="none" w:sz="0" w:space="0" w:color="auto"/>
            <w:bottom w:val="none" w:sz="0" w:space="0" w:color="auto"/>
            <w:right w:val="none" w:sz="0" w:space="0" w:color="auto"/>
          </w:divBdr>
        </w:div>
        <w:div w:id="1374378242">
          <w:marLeft w:val="274"/>
          <w:marRight w:val="0"/>
          <w:marTop w:val="0"/>
          <w:marBottom w:val="20"/>
          <w:divBdr>
            <w:top w:val="none" w:sz="0" w:space="0" w:color="auto"/>
            <w:left w:val="none" w:sz="0" w:space="0" w:color="auto"/>
            <w:bottom w:val="none" w:sz="0" w:space="0" w:color="auto"/>
            <w:right w:val="none" w:sz="0" w:space="0" w:color="auto"/>
          </w:divBdr>
        </w:div>
        <w:div w:id="1519848722">
          <w:marLeft w:val="274"/>
          <w:marRight w:val="0"/>
          <w:marTop w:val="0"/>
          <w:marBottom w:val="20"/>
          <w:divBdr>
            <w:top w:val="none" w:sz="0" w:space="0" w:color="auto"/>
            <w:left w:val="none" w:sz="0" w:space="0" w:color="auto"/>
            <w:bottom w:val="none" w:sz="0" w:space="0" w:color="auto"/>
            <w:right w:val="none" w:sz="0" w:space="0" w:color="auto"/>
          </w:divBdr>
        </w:div>
        <w:div w:id="1527716428">
          <w:marLeft w:val="274"/>
          <w:marRight w:val="0"/>
          <w:marTop w:val="0"/>
          <w:marBottom w:val="20"/>
          <w:divBdr>
            <w:top w:val="none" w:sz="0" w:space="0" w:color="auto"/>
            <w:left w:val="none" w:sz="0" w:space="0" w:color="auto"/>
            <w:bottom w:val="none" w:sz="0" w:space="0" w:color="auto"/>
            <w:right w:val="none" w:sz="0" w:space="0" w:color="auto"/>
          </w:divBdr>
        </w:div>
        <w:div w:id="1855998634">
          <w:marLeft w:val="274"/>
          <w:marRight w:val="0"/>
          <w:marTop w:val="0"/>
          <w:marBottom w:val="20"/>
          <w:divBdr>
            <w:top w:val="none" w:sz="0" w:space="0" w:color="auto"/>
            <w:left w:val="none" w:sz="0" w:space="0" w:color="auto"/>
            <w:bottom w:val="none" w:sz="0" w:space="0" w:color="auto"/>
            <w:right w:val="none" w:sz="0" w:space="0" w:color="auto"/>
          </w:divBdr>
        </w:div>
        <w:div w:id="2124156347">
          <w:marLeft w:val="274"/>
          <w:marRight w:val="0"/>
          <w:marTop w:val="0"/>
          <w:marBottom w:val="20"/>
          <w:divBdr>
            <w:top w:val="none" w:sz="0" w:space="0" w:color="auto"/>
            <w:left w:val="none" w:sz="0" w:space="0" w:color="auto"/>
            <w:bottom w:val="none" w:sz="0" w:space="0" w:color="auto"/>
            <w:right w:val="none" w:sz="0" w:space="0" w:color="auto"/>
          </w:divBdr>
        </w:div>
        <w:div w:id="2126347616">
          <w:marLeft w:val="274"/>
          <w:marRight w:val="0"/>
          <w:marTop w:val="0"/>
          <w:marBottom w:val="20"/>
          <w:divBdr>
            <w:top w:val="none" w:sz="0" w:space="0" w:color="auto"/>
            <w:left w:val="none" w:sz="0" w:space="0" w:color="auto"/>
            <w:bottom w:val="none" w:sz="0" w:space="0" w:color="auto"/>
            <w:right w:val="none" w:sz="0" w:space="0" w:color="auto"/>
          </w:divBdr>
        </w:div>
      </w:divsChild>
    </w:div>
    <w:div w:id="602034378">
      <w:bodyDiv w:val="1"/>
      <w:marLeft w:val="0"/>
      <w:marRight w:val="0"/>
      <w:marTop w:val="0"/>
      <w:marBottom w:val="0"/>
      <w:divBdr>
        <w:top w:val="none" w:sz="0" w:space="0" w:color="auto"/>
        <w:left w:val="none" w:sz="0" w:space="0" w:color="auto"/>
        <w:bottom w:val="none" w:sz="0" w:space="0" w:color="auto"/>
        <w:right w:val="none" w:sz="0" w:space="0" w:color="auto"/>
      </w:divBdr>
      <w:divsChild>
        <w:div w:id="227955750">
          <w:marLeft w:val="0"/>
          <w:marRight w:val="0"/>
          <w:marTop w:val="80"/>
          <w:marBottom w:val="0"/>
          <w:divBdr>
            <w:top w:val="none" w:sz="0" w:space="0" w:color="auto"/>
            <w:left w:val="none" w:sz="0" w:space="0" w:color="auto"/>
            <w:bottom w:val="none" w:sz="0" w:space="0" w:color="auto"/>
            <w:right w:val="none" w:sz="0" w:space="0" w:color="auto"/>
          </w:divBdr>
        </w:div>
        <w:div w:id="384456414">
          <w:marLeft w:val="504"/>
          <w:marRight w:val="0"/>
          <w:marTop w:val="80"/>
          <w:marBottom w:val="0"/>
          <w:divBdr>
            <w:top w:val="none" w:sz="0" w:space="0" w:color="auto"/>
            <w:left w:val="none" w:sz="0" w:space="0" w:color="auto"/>
            <w:bottom w:val="none" w:sz="0" w:space="0" w:color="auto"/>
            <w:right w:val="none" w:sz="0" w:space="0" w:color="auto"/>
          </w:divBdr>
        </w:div>
        <w:div w:id="1407149761">
          <w:marLeft w:val="504"/>
          <w:marRight w:val="0"/>
          <w:marTop w:val="80"/>
          <w:marBottom w:val="0"/>
          <w:divBdr>
            <w:top w:val="none" w:sz="0" w:space="0" w:color="auto"/>
            <w:left w:val="none" w:sz="0" w:space="0" w:color="auto"/>
            <w:bottom w:val="none" w:sz="0" w:space="0" w:color="auto"/>
            <w:right w:val="none" w:sz="0" w:space="0" w:color="auto"/>
          </w:divBdr>
        </w:div>
        <w:div w:id="1429345614">
          <w:marLeft w:val="0"/>
          <w:marRight w:val="0"/>
          <w:marTop w:val="80"/>
          <w:marBottom w:val="0"/>
          <w:divBdr>
            <w:top w:val="none" w:sz="0" w:space="0" w:color="auto"/>
            <w:left w:val="none" w:sz="0" w:space="0" w:color="auto"/>
            <w:bottom w:val="none" w:sz="0" w:space="0" w:color="auto"/>
            <w:right w:val="none" w:sz="0" w:space="0" w:color="auto"/>
          </w:divBdr>
        </w:div>
        <w:div w:id="1626353850">
          <w:marLeft w:val="504"/>
          <w:marRight w:val="0"/>
          <w:marTop w:val="80"/>
          <w:marBottom w:val="0"/>
          <w:divBdr>
            <w:top w:val="none" w:sz="0" w:space="0" w:color="auto"/>
            <w:left w:val="none" w:sz="0" w:space="0" w:color="auto"/>
            <w:bottom w:val="none" w:sz="0" w:space="0" w:color="auto"/>
            <w:right w:val="none" w:sz="0" w:space="0" w:color="auto"/>
          </w:divBdr>
        </w:div>
        <w:div w:id="1911959595">
          <w:marLeft w:val="504"/>
          <w:marRight w:val="0"/>
          <w:marTop w:val="80"/>
          <w:marBottom w:val="0"/>
          <w:divBdr>
            <w:top w:val="none" w:sz="0" w:space="0" w:color="auto"/>
            <w:left w:val="none" w:sz="0" w:space="0" w:color="auto"/>
            <w:bottom w:val="none" w:sz="0" w:space="0" w:color="auto"/>
            <w:right w:val="none" w:sz="0" w:space="0" w:color="auto"/>
          </w:divBdr>
        </w:div>
      </w:divsChild>
    </w:div>
    <w:div w:id="602421778">
      <w:bodyDiv w:val="1"/>
      <w:marLeft w:val="0"/>
      <w:marRight w:val="0"/>
      <w:marTop w:val="0"/>
      <w:marBottom w:val="0"/>
      <w:divBdr>
        <w:top w:val="none" w:sz="0" w:space="0" w:color="auto"/>
        <w:left w:val="none" w:sz="0" w:space="0" w:color="auto"/>
        <w:bottom w:val="none" w:sz="0" w:space="0" w:color="auto"/>
        <w:right w:val="none" w:sz="0" w:space="0" w:color="auto"/>
      </w:divBdr>
      <w:divsChild>
        <w:div w:id="846292073">
          <w:marLeft w:val="302"/>
          <w:marRight w:val="0"/>
          <w:marTop w:val="0"/>
          <w:marBottom w:val="0"/>
          <w:divBdr>
            <w:top w:val="none" w:sz="0" w:space="0" w:color="auto"/>
            <w:left w:val="none" w:sz="0" w:space="0" w:color="auto"/>
            <w:bottom w:val="none" w:sz="0" w:space="0" w:color="auto"/>
            <w:right w:val="none" w:sz="0" w:space="0" w:color="auto"/>
          </w:divBdr>
        </w:div>
      </w:divsChild>
    </w:div>
    <w:div w:id="602538070">
      <w:bodyDiv w:val="1"/>
      <w:marLeft w:val="0"/>
      <w:marRight w:val="0"/>
      <w:marTop w:val="0"/>
      <w:marBottom w:val="0"/>
      <w:divBdr>
        <w:top w:val="none" w:sz="0" w:space="0" w:color="auto"/>
        <w:left w:val="none" w:sz="0" w:space="0" w:color="auto"/>
        <w:bottom w:val="none" w:sz="0" w:space="0" w:color="auto"/>
        <w:right w:val="none" w:sz="0" w:space="0" w:color="auto"/>
      </w:divBdr>
    </w:div>
    <w:div w:id="604120990">
      <w:bodyDiv w:val="1"/>
      <w:marLeft w:val="0"/>
      <w:marRight w:val="0"/>
      <w:marTop w:val="0"/>
      <w:marBottom w:val="0"/>
      <w:divBdr>
        <w:top w:val="none" w:sz="0" w:space="0" w:color="auto"/>
        <w:left w:val="none" w:sz="0" w:space="0" w:color="auto"/>
        <w:bottom w:val="none" w:sz="0" w:space="0" w:color="auto"/>
        <w:right w:val="none" w:sz="0" w:space="0" w:color="auto"/>
      </w:divBdr>
    </w:div>
    <w:div w:id="609435114">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5714341">
      <w:bodyDiv w:val="1"/>
      <w:marLeft w:val="0"/>
      <w:marRight w:val="0"/>
      <w:marTop w:val="0"/>
      <w:marBottom w:val="0"/>
      <w:divBdr>
        <w:top w:val="none" w:sz="0" w:space="0" w:color="auto"/>
        <w:left w:val="none" w:sz="0" w:space="0" w:color="auto"/>
        <w:bottom w:val="none" w:sz="0" w:space="0" w:color="auto"/>
        <w:right w:val="none" w:sz="0" w:space="0" w:color="auto"/>
      </w:divBdr>
      <w:divsChild>
        <w:div w:id="1812552094">
          <w:marLeft w:val="346"/>
          <w:marRight w:val="0"/>
          <w:marTop w:val="0"/>
          <w:marBottom w:val="60"/>
          <w:divBdr>
            <w:top w:val="none" w:sz="0" w:space="0" w:color="auto"/>
            <w:left w:val="none" w:sz="0" w:space="0" w:color="auto"/>
            <w:bottom w:val="none" w:sz="0" w:space="0" w:color="auto"/>
            <w:right w:val="none" w:sz="0" w:space="0" w:color="auto"/>
          </w:divBdr>
        </w:div>
      </w:divsChild>
    </w:div>
    <w:div w:id="615865599">
      <w:bodyDiv w:val="1"/>
      <w:marLeft w:val="0"/>
      <w:marRight w:val="0"/>
      <w:marTop w:val="0"/>
      <w:marBottom w:val="0"/>
      <w:divBdr>
        <w:top w:val="none" w:sz="0" w:space="0" w:color="auto"/>
        <w:left w:val="none" w:sz="0" w:space="0" w:color="auto"/>
        <w:bottom w:val="none" w:sz="0" w:space="0" w:color="auto"/>
        <w:right w:val="none" w:sz="0" w:space="0" w:color="auto"/>
      </w:divBdr>
    </w:div>
    <w:div w:id="616985526">
      <w:bodyDiv w:val="1"/>
      <w:marLeft w:val="0"/>
      <w:marRight w:val="0"/>
      <w:marTop w:val="0"/>
      <w:marBottom w:val="0"/>
      <w:divBdr>
        <w:top w:val="none" w:sz="0" w:space="0" w:color="auto"/>
        <w:left w:val="none" w:sz="0" w:space="0" w:color="auto"/>
        <w:bottom w:val="none" w:sz="0" w:space="0" w:color="auto"/>
        <w:right w:val="none" w:sz="0" w:space="0" w:color="auto"/>
      </w:divBdr>
    </w:div>
    <w:div w:id="623997385">
      <w:bodyDiv w:val="1"/>
      <w:marLeft w:val="0"/>
      <w:marRight w:val="0"/>
      <w:marTop w:val="0"/>
      <w:marBottom w:val="0"/>
      <w:divBdr>
        <w:top w:val="none" w:sz="0" w:space="0" w:color="auto"/>
        <w:left w:val="none" w:sz="0" w:space="0" w:color="auto"/>
        <w:bottom w:val="none" w:sz="0" w:space="0" w:color="auto"/>
        <w:right w:val="none" w:sz="0" w:space="0" w:color="auto"/>
      </w:divBdr>
    </w:div>
    <w:div w:id="625164695">
      <w:bodyDiv w:val="1"/>
      <w:marLeft w:val="0"/>
      <w:marRight w:val="0"/>
      <w:marTop w:val="0"/>
      <w:marBottom w:val="0"/>
      <w:divBdr>
        <w:top w:val="none" w:sz="0" w:space="0" w:color="auto"/>
        <w:left w:val="none" w:sz="0" w:space="0" w:color="auto"/>
        <w:bottom w:val="none" w:sz="0" w:space="0" w:color="auto"/>
        <w:right w:val="none" w:sz="0" w:space="0" w:color="auto"/>
      </w:divBdr>
    </w:div>
    <w:div w:id="625283651">
      <w:bodyDiv w:val="1"/>
      <w:marLeft w:val="0"/>
      <w:marRight w:val="0"/>
      <w:marTop w:val="0"/>
      <w:marBottom w:val="0"/>
      <w:divBdr>
        <w:top w:val="none" w:sz="0" w:space="0" w:color="auto"/>
        <w:left w:val="none" w:sz="0" w:space="0" w:color="auto"/>
        <w:bottom w:val="none" w:sz="0" w:space="0" w:color="auto"/>
        <w:right w:val="none" w:sz="0" w:space="0" w:color="auto"/>
      </w:divBdr>
      <w:divsChild>
        <w:div w:id="476336488">
          <w:marLeft w:val="302"/>
          <w:marRight w:val="0"/>
          <w:marTop w:val="0"/>
          <w:marBottom w:val="0"/>
          <w:divBdr>
            <w:top w:val="none" w:sz="0" w:space="0" w:color="auto"/>
            <w:left w:val="none" w:sz="0" w:space="0" w:color="auto"/>
            <w:bottom w:val="none" w:sz="0" w:space="0" w:color="auto"/>
            <w:right w:val="none" w:sz="0" w:space="0" w:color="auto"/>
          </w:divBdr>
        </w:div>
      </w:divsChild>
    </w:div>
    <w:div w:id="640229360">
      <w:bodyDiv w:val="1"/>
      <w:marLeft w:val="0"/>
      <w:marRight w:val="0"/>
      <w:marTop w:val="0"/>
      <w:marBottom w:val="0"/>
      <w:divBdr>
        <w:top w:val="none" w:sz="0" w:space="0" w:color="auto"/>
        <w:left w:val="none" w:sz="0" w:space="0" w:color="auto"/>
        <w:bottom w:val="none" w:sz="0" w:space="0" w:color="auto"/>
        <w:right w:val="none" w:sz="0" w:space="0" w:color="auto"/>
      </w:divBdr>
      <w:divsChild>
        <w:div w:id="1241480939">
          <w:marLeft w:val="720"/>
          <w:marRight w:val="0"/>
          <w:marTop w:val="0"/>
          <w:marBottom w:val="0"/>
          <w:divBdr>
            <w:top w:val="none" w:sz="0" w:space="0" w:color="auto"/>
            <w:left w:val="none" w:sz="0" w:space="0" w:color="auto"/>
            <w:bottom w:val="none" w:sz="0" w:space="0" w:color="auto"/>
            <w:right w:val="none" w:sz="0" w:space="0" w:color="auto"/>
          </w:divBdr>
        </w:div>
      </w:divsChild>
    </w:div>
    <w:div w:id="642999853">
      <w:bodyDiv w:val="1"/>
      <w:marLeft w:val="0"/>
      <w:marRight w:val="0"/>
      <w:marTop w:val="0"/>
      <w:marBottom w:val="0"/>
      <w:divBdr>
        <w:top w:val="none" w:sz="0" w:space="0" w:color="auto"/>
        <w:left w:val="none" w:sz="0" w:space="0" w:color="auto"/>
        <w:bottom w:val="none" w:sz="0" w:space="0" w:color="auto"/>
        <w:right w:val="none" w:sz="0" w:space="0" w:color="auto"/>
      </w:divBdr>
    </w:div>
    <w:div w:id="645545633">
      <w:bodyDiv w:val="1"/>
      <w:marLeft w:val="0"/>
      <w:marRight w:val="0"/>
      <w:marTop w:val="0"/>
      <w:marBottom w:val="0"/>
      <w:divBdr>
        <w:top w:val="none" w:sz="0" w:space="0" w:color="auto"/>
        <w:left w:val="none" w:sz="0" w:space="0" w:color="auto"/>
        <w:bottom w:val="none" w:sz="0" w:space="0" w:color="auto"/>
        <w:right w:val="none" w:sz="0" w:space="0" w:color="auto"/>
      </w:divBdr>
    </w:div>
    <w:div w:id="648167969">
      <w:bodyDiv w:val="1"/>
      <w:marLeft w:val="0"/>
      <w:marRight w:val="0"/>
      <w:marTop w:val="0"/>
      <w:marBottom w:val="0"/>
      <w:divBdr>
        <w:top w:val="none" w:sz="0" w:space="0" w:color="auto"/>
        <w:left w:val="none" w:sz="0" w:space="0" w:color="auto"/>
        <w:bottom w:val="none" w:sz="0" w:space="0" w:color="auto"/>
        <w:right w:val="none" w:sz="0" w:space="0" w:color="auto"/>
      </w:divBdr>
      <w:divsChild>
        <w:div w:id="613558899">
          <w:marLeft w:val="446"/>
          <w:marRight w:val="0"/>
          <w:marTop w:val="0"/>
          <w:marBottom w:val="0"/>
          <w:divBdr>
            <w:top w:val="none" w:sz="0" w:space="0" w:color="auto"/>
            <w:left w:val="none" w:sz="0" w:space="0" w:color="auto"/>
            <w:bottom w:val="none" w:sz="0" w:space="0" w:color="auto"/>
            <w:right w:val="none" w:sz="0" w:space="0" w:color="auto"/>
          </w:divBdr>
        </w:div>
        <w:div w:id="1220632878">
          <w:marLeft w:val="446"/>
          <w:marRight w:val="0"/>
          <w:marTop w:val="0"/>
          <w:marBottom w:val="0"/>
          <w:divBdr>
            <w:top w:val="none" w:sz="0" w:space="0" w:color="auto"/>
            <w:left w:val="none" w:sz="0" w:space="0" w:color="auto"/>
            <w:bottom w:val="none" w:sz="0" w:space="0" w:color="auto"/>
            <w:right w:val="none" w:sz="0" w:space="0" w:color="auto"/>
          </w:divBdr>
        </w:div>
        <w:div w:id="1745030136">
          <w:marLeft w:val="446"/>
          <w:marRight w:val="0"/>
          <w:marTop w:val="0"/>
          <w:marBottom w:val="0"/>
          <w:divBdr>
            <w:top w:val="none" w:sz="0" w:space="0" w:color="auto"/>
            <w:left w:val="none" w:sz="0" w:space="0" w:color="auto"/>
            <w:bottom w:val="none" w:sz="0" w:space="0" w:color="auto"/>
            <w:right w:val="none" w:sz="0" w:space="0" w:color="auto"/>
          </w:divBdr>
        </w:div>
        <w:div w:id="1766339376">
          <w:marLeft w:val="446"/>
          <w:marRight w:val="0"/>
          <w:marTop w:val="0"/>
          <w:marBottom w:val="0"/>
          <w:divBdr>
            <w:top w:val="none" w:sz="0" w:space="0" w:color="auto"/>
            <w:left w:val="none" w:sz="0" w:space="0" w:color="auto"/>
            <w:bottom w:val="none" w:sz="0" w:space="0" w:color="auto"/>
            <w:right w:val="none" w:sz="0" w:space="0" w:color="auto"/>
          </w:divBdr>
        </w:div>
      </w:divsChild>
    </w:div>
    <w:div w:id="650642600">
      <w:bodyDiv w:val="1"/>
      <w:marLeft w:val="0"/>
      <w:marRight w:val="0"/>
      <w:marTop w:val="0"/>
      <w:marBottom w:val="0"/>
      <w:divBdr>
        <w:top w:val="none" w:sz="0" w:space="0" w:color="auto"/>
        <w:left w:val="none" w:sz="0" w:space="0" w:color="auto"/>
        <w:bottom w:val="none" w:sz="0" w:space="0" w:color="auto"/>
        <w:right w:val="none" w:sz="0" w:space="0" w:color="auto"/>
      </w:divBdr>
    </w:div>
    <w:div w:id="654840263">
      <w:bodyDiv w:val="1"/>
      <w:marLeft w:val="0"/>
      <w:marRight w:val="0"/>
      <w:marTop w:val="0"/>
      <w:marBottom w:val="0"/>
      <w:divBdr>
        <w:top w:val="none" w:sz="0" w:space="0" w:color="auto"/>
        <w:left w:val="none" w:sz="0" w:space="0" w:color="auto"/>
        <w:bottom w:val="none" w:sz="0" w:space="0" w:color="auto"/>
        <w:right w:val="none" w:sz="0" w:space="0" w:color="auto"/>
      </w:divBdr>
    </w:div>
    <w:div w:id="655383446">
      <w:bodyDiv w:val="1"/>
      <w:marLeft w:val="0"/>
      <w:marRight w:val="0"/>
      <w:marTop w:val="0"/>
      <w:marBottom w:val="0"/>
      <w:divBdr>
        <w:top w:val="none" w:sz="0" w:space="0" w:color="auto"/>
        <w:left w:val="none" w:sz="0" w:space="0" w:color="auto"/>
        <w:bottom w:val="none" w:sz="0" w:space="0" w:color="auto"/>
        <w:right w:val="none" w:sz="0" w:space="0" w:color="auto"/>
      </w:divBdr>
    </w:div>
    <w:div w:id="659040455">
      <w:bodyDiv w:val="1"/>
      <w:marLeft w:val="0"/>
      <w:marRight w:val="0"/>
      <w:marTop w:val="0"/>
      <w:marBottom w:val="0"/>
      <w:divBdr>
        <w:top w:val="none" w:sz="0" w:space="0" w:color="auto"/>
        <w:left w:val="none" w:sz="0" w:space="0" w:color="auto"/>
        <w:bottom w:val="none" w:sz="0" w:space="0" w:color="auto"/>
        <w:right w:val="none" w:sz="0" w:space="0" w:color="auto"/>
      </w:divBdr>
    </w:div>
    <w:div w:id="666204914">
      <w:bodyDiv w:val="1"/>
      <w:marLeft w:val="0"/>
      <w:marRight w:val="0"/>
      <w:marTop w:val="0"/>
      <w:marBottom w:val="0"/>
      <w:divBdr>
        <w:top w:val="none" w:sz="0" w:space="0" w:color="auto"/>
        <w:left w:val="none" w:sz="0" w:space="0" w:color="auto"/>
        <w:bottom w:val="none" w:sz="0" w:space="0" w:color="auto"/>
        <w:right w:val="none" w:sz="0" w:space="0" w:color="auto"/>
      </w:divBdr>
    </w:div>
    <w:div w:id="667054364">
      <w:bodyDiv w:val="1"/>
      <w:marLeft w:val="0"/>
      <w:marRight w:val="0"/>
      <w:marTop w:val="0"/>
      <w:marBottom w:val="0"/>
      <w:divBdr>
        <w:top w:val="none" w:sz="0" w:space="0" w:color="auto"/>
        <w:left w:val="none" w:sz="0" w:space="0" w:color="auto"/>
        <w:bottom w:val="none" w:sz="0" w:space="0" w:color="auto"/>
        <w:right w:val="none" w:sz="0" w:space="0" w:color="auto"/>
      </w:divBdr>
    </w:div>
    <w:div w:id="671223745">
      <w:bodyDiv w:val="1"/>
      <w:marLeft w:val="0"/>
      <w:marRight w:val="0"/>
      <w:marTop w:val="0"/>
      <w:marBottom w:val="0"/>
      <w:divBdr>
        <w:top w:val="none" w:sz="0" w:space="0" w:color="auto"/>
        <w:left w:val="none" w:sz="0" w:space="0" w:color="auto"/>
        <w:bottom w:val="none" w:sz="0" w:space="0" w:color="auto"/>
        <w:right w:val="none" w:sz="0" w:space="0" w:color="auto"/>
      </w:divBdr>
    </w:div>
    <w:div w:id="684745682">
      <w:bodyDiv w:val="1"/>
      <w:marLeft w:val="0"/>
      <w:marRight w:val="0"/>
      <w:marTop w:val="0"/>
      <w:marBottom w:val="0"/>
      <w:divBdr>
        <w:top w:val="none" w:sz="0" w:space="0" w:color="auto"/>
        <w:left w:val="none" w:sz="0" w:space="0" w:color="auto"/>
        <w:bottom w:val="none" w:sz="0" w:space="0" w:color="auto"/>
        <w:right w:val="none" w:sz="0" w:space="0" w:color="auto"/>
      </w:divBdr>
      <w:divsChild>
        <w:div w:id="95516520">
          <w:marLeft w:val="360"/>
          <w:marRight w:val="0"/>
          <w:marTop w:val="0"/>
          <w:marBottom w:val="0"/>
          <w:divBdr>
            <w:top w:val="none" w:sz="0" w:space="0" w:color="auto"/>
            <w:left w:val="none" w:sz="0" w:space="0" w:color="auto"/>
            <w:bottom w:val="none" w:sz="0" w:space="0" w:color="auto"/>
            <w:right w:val="none" w:sz="0" w:space="0" w:color="auto"/>
          </w:divBdr>
        </w:div>
        <w:div w:id="210576985">
          <w:marLeft w:val="360"/>
          <w:marRight w:val="0"/>
          <w:marTop w:val="0"/>
          <w:marBottom w:val="0"/>
          <w:divBdr>
            <w:top w:val="none" w:sz="0" w:space="0" w:color="auto"/>
            <w:left w:val="none" w:sz="0" w:space="0" w:color="auto"/>
            <w:bottom w:val="none" w:sz="0" w:space="0" w:color="auto"/>
            <w:right w:val="none" w:sz="0" w:space="0" w:color="auto"/>
          </w:divBdr>
        </w:div>
        <w:div w:id="470027264">
          <w:marLeft w:val="360"/>
          <w:marRight w:val="0"/>
          <w:marTop w:val="0"/>
          <w:marBottom w:val="0"/>
          <w:divBdr>
            <w:top w:val="none" w:sz="0" w:space="0" w:color="auto"/>
            <w:left w:val="none" w:sz="0" w:space="0" w:color="auto"/>
            <w:bottom w:val="none" w:sz="0" w:space="0" w:color="auto"/>
            <w:right w:val="none" w:sz="0" w:space="0" w:color="auto"/>
          </w:divBdr>
        </w:div>
        <w:div w:id="739209720">
          <w:marLeft w:val="360"/>
          <w:marRight w:val="0"/>
          <w:marTop w:val="0"/>
          <w:marBottom w:val="0"/>
          <w:divBdr>
            <w:top w:val="none" w:sz="0" w:space="0" w:color="auto"/>
            <w:left w:val="none" w:sz="0" w:space="0" w:color="auto"/>
            <w:bottom w:val="none" w:sz="0" w:space="0" w:color="auto"/>
            <w:right w:val="none" w:sz="0" w:space="0" w:color="auto"/>
          </w:divBdr>
        </w:div>
        <w:div w:id="1132945809">
          <w:marLeft w:val="360"/>
          <w:marRight w:val="0"/>
          <w:marTop w:val="0"/>
          <w:marBottom w:val="0"/>
          <w:divBdr>
            <w:top w:val="none" w:sz="0" w:space="0" w:color="auto"/>
            <w:left w:val="none" w:sz="0" w:space="0" w:color="auto"/>
            <w:bottom w:val="none" w:sz="0" w:space="0" w:color="auto"/>
            <w:right w:val="none" w:sz="0" w:space="0" w:color="auto"/>
          </w:divBdr>
        </w:div>
        <w:div w:id="1170175144">
          <w:marLeft w:val="274"/>
          <w:marRight w:val="0"/>
          <w:marTop w:val="0"/>
          <w:marBottom w:val="0"/>
          <w:divBdr>
            <w:top w:val="none" w:sz="0" w:space="0" w:color="auto"/>
            <w:left w:val="none" w:sz="0" w:space="0" w:color="auto"/>
            <w:bottom w:val="none" w:sz="0" w:space="0" w:color="auto"/>
            <w:right w:val="none" w:sz="0" w:space="0" w:color="auto"/>
          </w:divBdr>
        </w:div>
        <w:div w:id="1185632733">
          <w:marLeft w:val="360"/>
          <w:marRight w:val="0"/>
          <w:marTop w:val="0"/>
          <w:marBottom w:val="0"/>
          <w:divBdr>
            <w:top w:val="none" w:sz="0" w:space="0" w:color="auto"/>
            <w:left w:val="none" w:sz="0" w:space="0" w:color="auto"/>
            <w:bottom w:val="none" w:sz="0" w:space="0" w:color="auto"/>
            <w:right w:val="none" w:sz="0" w:space="0" w:color="auto"/>
          </w:divBdr>
        </w:div>
        <w:div w:id="1304314015">
          <w:marLeft w:val="360"/>
          <w:marRight w:val="0"/>
          <w:marTop w:val="0"/>
          <w:marBottom w:val="0"/>
          <w:divBdr>
            <w:top w:val="none" w:sz="0" w:space="0" w:color="auto"/>
            <w:left w:val="none" w:sz="0" w:space="0" w:color="auto"/>
            <w:bottom w:val="none" w:sz="0" w:space="0" w:color="auto"/>
            <w:right w:val="none" w:sz="0" w:space="0" w:color="auto"/>
          </w:divBdr>
        </w:div>
        <w:div w:id="1673876366">
          <w:marLeft w:val="274"/>
          <w:marRight w:val="0"/>
          <w:marTop w:val="0"/>
          <w:marBottom w:val="0"/>
          <w:divBdr>
            <w:top w:val="none" w:sz="0" w:space="0" w:color="auto"/>
            <w:left w:val="none" w:sz="0" w:space="0" w:color="auto"/>
            <w:bottom w:val="none" w:sz="0" w:space="0" w:color="auto"/>
            <w:right w:val="none" w:sz="0" w:space="0" w:color="auto"/>
          </w:divBdr>
        </w:div>
        <w:div w:id="1740051260">
          <w:marLeft w:val="274"/>
          <w:marRight w:val="0"/>
          <w:marTop w:val="0"/>
          <w:marBottom w:val="0"/>
          <w:divBdr>
            <w:top w:val="none" w:sz="0" w:space="0" w:color="auto"/>
            <w:left w:val="none" w:sz="0" w:space="0" w:color="auto"/>
            <w:bottom w:val="none" w:sz="0" w:space="0" w:color="auto"/>
            <w:right w:val="none" w:sz="0" w:space="0" w:color="auto"/>
          </w:divBdr>
        </w:div>
        <w:div w:id="2021463215">
          <w:marLeft w:val="360"/>
          <w:marRight w:val="0"/>
          <w:marTop w:val="0"/>
          <w:marBottom w:val="0"/>
          <w:divBdr>
            <w:top w:val="none" w:sz="0" w:space="0" w:color="auto"/>
            <w:left w:val="none" w:sz="0" w:space="0" w:color="auto"/>
            <w:bottom w:val="none" w:sz="0" w:space="0" w:color="auto"/>
            <w:right w:val="none" w:sz="0" w:space="0" w:color="auto"/>
          </w:divBdr>
        </w:div>
        <w:div w:id="2052457989">
          <w:marLeft w:val="360"/>
          <w:marRight w:val="0"/>
          <w:marTop w:val="0"/>
          <w:marBottom w:val="0"/>
          <w:divBdr>
            <w:top w:val="none" w:sz="0" w:space="0" w:color="auto"/>
            <w:left w:val="none" w:sz="0" w:space="0" w:color="auto"/>
            <w:bottom w:val="none" w:sz="0" w:space="0" w:color="auto"/>
            <w:right w:val="none" w:sz="0" w:space="0" w:color="auto"/>
          </w:divBdr>
        </w:div>
      </w:divsChild>
    </w:div>
    <w:div w:id="685794914">
      <w:bodyDiv w:val="1"/>
      <w:marLeft w:val="0"/>
      <w:marRight w:val="0"/>
      <w:marTop w:val="0"/>
      <w:marBottom w:val="0"/>
      <w:divBdr>
        <w:top w:val="none" w:sz="0" w:space="0" w:color="auto"/>
        <w:left w:val="none" w:sz="0" w:space="0" w:color="auto"/>
        <w:bottom w:val="none" w:sz="0" w:space="0" w:color="auto"/>
        <w:right w:val="none" w:sz="0" w:space="0" w:color="auto"/>
      </w:divBdr>
    </w:div>
    <w:div w:id="686295186">
      <w:bodyDiv w:val="1"/>
      <w:marLeft w:val="0"/>
      <w:marRight w:val="0"/>
      <w:marTop w:val="0"/>
      <w:marBottom w:val="0"/>
      <w:divBdr>
        <w:top w:val="none" w:sz="0" w:space="0" w:color="auto"/>
        <w:left w:val="none" w:sz="0" w:space="0" w:color="auto"/>
        <w:bottom w:val="none" w:sz="0" w:space="0" w:color="auto"/>
        <w:right w:val="none" w:sz="0" w:space="0" w:color="auto"/>
      </w:divBdr>
    </w:div>
    <w:div w:id="692223546">
      <w:bodyDiv w:val="1"/>
      <w:marLeft w:val="0"/>
      <w:marRight w:val="0"/>
      <w:marTop w:val="0"/>
      <w:marBottom w:val="0"/>
      <w:divBdr>
        <w:top w:val="none" w:sz="0" w:space="0" w:color="auto"/>
        <w:left w:val="none" w:sz="0" w:space="0" w:color="auto"/>
        <w:bottom w:val="none" w:sz="0" w:space="0" w:color="auto"/>
        <w:right w:val="none" w:sz="0" w:space="0" w:color="auto"/>
      </w:divBdr>
      <w:divsChild>
        <w:div w:id="179779253">
          <w:marLeft w:val="288"/>
          <w:marRight w:val="0"/>
          <w:marTop w:val="0"/>
          <w:marBottom w:val="120"/>
          <w:divBdr>
            <w:top w:val="none" w:sz="0" w:space="0" w:color="auto"/>
            <w:left w:val="none" w:sz="0" w:space="0" w:color="auto"/>
            <w:bottom w:val="none" w:sz="0" w:space="0" w:color="auto"/>
            <w:right w:val="none" w:sz="0" w:space="0" w:color="auto"/>
          </w:divBdr>
        </w:div>
        <w:div w:id="277420974">
          <w:marLeft w:val="288"/>
          <w:marRight w:val="0"/>
          <w:marTop w:val="0"/>
          <w:marBottom w:val="120"/>
          <w:divBdr>
            <w:top w:val="none" w:sz="0" w:space="0" w:color="auto"/>
            <w:left w:val="none" w:sz="0" w:space="0" w:color="auto"/>
            <w:bottom w:val="none" w:sz="0" w:space="0" w:color="auto"/>
            <w:right w:val="none" w:sz="0" w:space="0" w:color="auto"/>
          </w:divBdr>
        </w:div>
        <w:div w:id="450129503">
          <w:marLeft w:val="288"/>
          <w:marRight w:val="0"/>
          <w:marTop w:val="0"/>
          <w:marBottom w:val="120"/>
          <w:divBdr>
            <w:top w:val="none" w:sz="0" w:space="0" w:color="auto"/>
            <w:left w:val="none" w:sz="0" w:space="0" w:color="auto"/>
            <w:bottom w:val="none" w:sz="0" w:space="0" w:color="auto"/>
            <w:right w:val="none" w:sz="0" w:space="0" w:color="auto"/>
          </w:divBdr>
        </w:div>
        <w:div w:id="451703849">
          <w:marLeft w:val="288"/>
          <w:marRight w:val="0"/>
          <w:marTop w:val="0"/>
          <w:marBottom w:val="120"/>
          <w:divBdr>
            <w:top w:val="none" w:sz="0" w:space="0" w:color="auto"/>
            <w:left w:val="none" w:sz="0" w:space="0" w:color="auto"/>
            <w:bottom w:val="none" w:sz="0" w:space="0" w:color="auto"/>
            <w:right w:val="none" w:sz="0" w:space="0" w:color="auto"/>
          </w:divBdr>
        </w:div>
        <w:div w:id="466121317">
          <w:marLeft w:val="288"/>
          <w:marRight w:val="0"/>
          <w:marTop w:val="0"/>
          <w:marBottom w:val="120"/>
          <w:divBdr>
            <w:top w:val="none" w:sz="0" w:space="0" w:color="auto"/>
            <w:left w:val="none" w:sz="0" w:space="0" w:color="auto"/>
            <w:bottom w:val="none" w:sz="0" w:space="0" w:color="auto"/>
            <w:right w:val="none" w:sz="0" w:space="0" w:color="auto"/>
          </w:divBdr>
        </w:div>
        <w:div w:id="1727608191">
          <w:marLeft w:val="288"/>
          <w:marRight w:val="0"/>
          <w:marTop w:val="0"/>
          <w:marBottom w:val="120"/>
          <w:divBdr>
            <w:top w:val="none" w:sz="0" w:space="0" w:color="auto"/>
            <w:left w:val="none" w:sz="0" w:space="0" w:color="auto"/>
            <w:bottom w:val="none" w:sz="0" w:space="0" w:color="auto"/>
            <w:right w:val="none" w:sz="0" w:space="0" w:color="auto"/>
          </w:divBdr>
        </w:div>
        <w:div w:id="1972904064">
          <w:marLeft w:val="288"/>
          <w:marRight w:val="0"/>
          <w:marTop w:val="0"/>
          <w:marBottom w:val="120"/>
          <w:divBdr>
            <w:top w:val="none" w:sz="0" w:space="0" w:color="auto"/>
            <w:left w:val="none" w:sz="0" w:space="0" w:color="auto"/>
            <w:bottom w:val="none" w:sz="0" w:space="0" w:color="auto"/>
            <w:right w:val="none" w:sz="0" w:space="0" w:color="auto"/>
          </w:divBdr>
        </w:div>
        <w:div w:id="2067290766">
          <w:marLeft w:val="288"/>
          <w:marRight w:val="0"/>
          <w:marTop w:val="0"/>
          <w:marBottom w:val="120"/>
          <w:divBdr>
            <w:top w:val="none" w:sz="0" w:space="0" w:color="auto"/>
            <w:left w:val="none" w:sz="0" w:space="0" w:color="auto"/>
            <w:bottom w:val="none" w:sz="0" w:space="0" w:color="auto"/>
            <w:right w:val="none" w:sz="0" w:space="0" w:color="auto"/>
          </w:divBdr>
        </w:div>
        <w:div w:id="2072121122">
          <w:marLeft w:val="288"/>
          <w:marRight w:val="0"/>
          <w:marTop w:val="0"/>
          <w:marBottom w:val="120"/>
          <w:divBdr>
            <w:top w:val="none" w:sz="0" w:space="0" w:color="auto"/>
            <w:left w:val="none" w:sz="0" w:space="0" w:color="auto"/>
            <w:bottom w:val="none" w:sz="0" w:space="0" w:color="auto"/>
            <w:right w:val="none" w:sz="0" w:space="0" w:color="auto"/>
          </w:divBdr>
        </w:div>
      </w:divsChild>
    </w:div>
    <w:div w:id="694036038">
      <w:bodyDiv w:val="1"/>
      <w:marLeft w:val="0"/>
      <w:marRight w:val="0"/>
      <w:marTop w:val="0"/>
      <w:marBottom w:val="0"/>
      <w:divBdr>
        <w:top w:val="none" w:sz="0" w:space="0" w:color="auto"/>
        <w:left w:val="none" w:sz="0" w:space="0" w:color="auto"/>
        <w:bottom w:val="none" w:sz="0" w:space="0" w:color="auto"/>
        <w:right w:val="none" w:sz="0" w:space="0" w:color="auto"/>
      </w:divBdr>
    </w:div>
    <w:div w:id="699018008">
      <w:bodyDiv w:val="1"/>
      <w:marLeft w:val="0"/>
      <w:marRight w:val="0"/>
      <w:marTop w:val="0"/>
      <w:marBottom w:val="0"/>
      <w:divBdr>
        <w:top w:val="none" w:sz="0" w:space="0" w:color="auto"/>
        <w:left w:val="none" w:sz="0" w:space="0" w:color="auto"/>
        <w:bottom w:val="none" w:sz="0" w:space="0" w:color="auto"/>
        <w:right w:val="none" w:sz="0" w:space="0" w:color="auto"/>
      </w:divBdr>
      <w:divsChild>
        <w:div w:id="353850781">
          <w:marLeft w:val="432"/>
          <w:marRight w:val="0"/>
          <w:marTop w:val="0"/>
          <w:marBottom w:val="0"/>
          <w:divBdr>
            <w:top w:val="none" w:sz="0" w:space="0" w:color="auto"/>
            <w:left w:val="none" w:sz="0" w:space="0" w:color="auto"/>
            <w:bottom w:val="none" w:sz="0" w:space="0" w:color="auto"/>
            <w:right w:val="none" w:sz="0" w:space="0" w:color="auto"/>
          </w:divBdr>
        </w:div>
        <w:div w:id="872423410">
          <w:marLeft w:val="432"/>
          <w:marRight w:val="0"/>
          <w:marTop w:val="0"/>
          <w:marBottom w:val="0"/>
          <w:divBdr>
            <w:top w:val="none" w:sz="0" w:space="0" w:color="auto"/>
            <w:left w:val="none" w:sz="0" w:space="0" w:color="auto"/>
            <w:bottom w:val="none" w:sz="0" w:space="0" w:color="auto"/>
            <w:right w:val="none" w:sz="0" w:space="0" w:color="auto"/>
          </w:divBdr>
        </w:div>
        <w:div w:id="949775892">
          <w:marLeft w:val="432"/>
          <w:marRight w:val="0"/>
          <w:marTop w:val="0"/>
          <w:marBottom w:val="0"/>
          <w:divBdr>
            <w:top w:val="none" w:sz="0" w:space="0" w:color="auto"/>
            <w:left w:val="none" w:sz="0" w:space="0" w:color="auto"/>
            <w:bottom w:val="none" w:sz="0" w:space="0" w:color="auto"/>
            <w:right w:val="none" w:sz="0" w:space="0" w:color="auto"/>
          </w:divBdr>
        </w:div>
      </w:divsChild>
    </w:div>
    <w:div w:id="699622642">
      <w:bodyDiv w:val="1"/>
      <w:marLeft w:val="0"/>
      <w:marRight w:val="0"/>
      <w:marTop w:val="0"/>
      <w:marBottom w:val="0"/>
      <w:divBdr>
        <w:top w:val="none" w:sz="0" w:space="0" w:color="auto"/>
        <w:left w:val="none" w:sz="0" w:space="0" w:color="auto"/>
        <w:bottom w:val="none" w:sz="0" w:space="0" w:color="auto"/>
        <w:right w:val="none" w:sz="0" w:space="0" w:color="auto"/>
      </w:divBdr>
    </w:div>
    <w:div w:id="727729314">
      <w:bodyDiv w:val="1"/>
      <w:marLeft w:val="0"/>
      <w:marRight w:val="0"/>
      <w:marTop w:val="0"/>
      <w:marBottom w:val="0"/>
      <w:divBdr>
        <w:top w:val="none" w:sz="0" w:space="0" w:color="auto"/>
        <w:left w:val="none" w:sz="0" w:space="0" w:color="auto"/>
        <w:bottom w:val="none" w:sz="0" w:space="0" w:color="auto"/>
        <w:right w:val="none" w:sz="0" w:space="0" w:color="auto"/>
      </w:divBdr>
    </w:div>
    <w:div w:id="728189709">
      <w:bodyDiv w:val="1"/>
      <w:marLeft w:val="0"/>
      <w:marRight w:val="0"/>
      <w:marTop w:val="0"/>
      <w:marBottom w:val="0"/>
      <w:divBdr>
        <w:top w:val="none" w:sz="0" w:space="0" w:color="auto"/>
        <w:left w:val="none" w:sz="0" w:space="0" w:color="auto"/>
        <w:bottom w:val="none" w:sz="0" w:space="0" w:color="auto"/>
        <w:right w:val="none" w:sz="0" w:space="0" w:color="auto"/>
      </w:divBdr>
      <w:divsChild>
        <w:div w:id="1927878779">
          <w:marLeft w:val="0"/>
          <w:marRight w:val="0"/>
          <w:marTop w:val="0"/>
          <w:marBottom w:val="0"/>
          <w:divBdr>
            <w:top w:val="none" w:sz="0" w:space="0" w:color="auto"/>
            <w:left w:val="none" w:sz="0" w:space="0" w:color="auto"/>
            <w:bottom w:val="none" w:sz="0" w:space="0" w:color="auto"/>
            <w:right w:val="none" w:sz="0" w:space="0" w:color="auto"/>
          </w:divBdr>
        </w:div>
      </w:divsChild>
    </w:div>
    <w:div w:id="73138952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359897">
      <w:bodyDiv w:val="1"/>
      <w:marLeft w:val="0"/>
      <w:marRight w:val="0"/>
      <w:marTop w:val="0"/>
      <w:marBottom w:val="0"/>
      <w:divBdr>
        <w:top w:val="none" w:sz="0" w:space="0" w:color="auto"/>
        <w:left w:val="none" w:sz="0" w:space="0" w:color="auto"/>
        <w:bottom w:val="none" w:sz="0" w:space="0" w:color="auto"/>
        <w:right w:val="none" w:sz="0" w:space="0" w:color="auto"/>
      </w:divBdr>
      <w:divsChild>
        <w:div w:id="52119912">
          <w:marLeft w:val="274"/>
          <w:marRight w:val="0"/>
          <w:marTop w:val="0"/>
          <w:marBottom w:val="0"/>
          <w:divBdr>
            <w:top w:val="none" w:sz="0" w:space="0" w:color="auto"/>
            <w:left w:val="none" w:sz="0" w:space="0" w:color="auto"/>
            <w:bottom w:val="none" w:sz="0" w:space="0" w:color="auto"/>
            <w:right w:val="none" w:sz="0" w:space="0" w:color="auto"/>
          </w:divBdr>
        </w:div>
        <w:div w:id="1916813031">
          <w:marLeft w:val="274"/>
          <w:marRight w:val="0"/>
          <w:marTop w:val="0"/>
          <w:marBottom w:val="0"/>
          <w:divBdr>
            <w:top w:val="none" w:sz="0" w:space="0" w:color="auto"/>
            <w:left w:val="none" w:sz="0" w:space="0" w:color="auto"/>
            <w:bottom w:val="none" w:sz="0" w:space="0" w:color="auto"/>
            <w:right w:val="none" w:sz="0" w:space="0" w:color="auto"/>
          </w:divBdr>
        </w:div>
      </w:divsChild>
    </w:div>
    <w:div w:id="740910818">
      <w:bodyDiv w:val="1"/>
      <w:marLeft w:val="0"/>
      <w:marRight w:val="0"/>
      <w:marTop w:val="0"/>
      <w:marBottom w:val="0"/>
      <w:divBdr>
        <w:top w:val="none" w:sz="0" w:space="0" w:color="auto"/>
        <w:left w:val="none" w:sz="0" w:space="0" w:color="auto"/>
        <w:bottom w:val="none" w:sz="0" w:space="0" w:color="auto"/>
        <w:right w:val="none" w:sz="0" w:space="0" w:color="auto"/>
      </w:divBdr>
    </w:div>
    <w:div w:id="741828721">
      <w:bodyDiv w:val="1"/>
      <w:marLeft w:val="0"/>
      <w:marRight w:val="0"/>
      <w:marTop w:val="0"/>
      <w:marBottom w:val="0"/>
      <w:divBdr>
        <w:top w:val="none" w:sz="0" w:space="0" w:color="auto"/>
        <w:left w:val="none" w:sz="0" w:space="0" w:color="auto"/>
        <w:bottom w:val="none" w:sz="0" w:space="0" w:color="auto"/>
        <w:right w:val="none" w:sz="0" w:space="0" w:color="auto"/>
      </w:divBdr>
      <w:divsChild>
        <w:div w:id="1661421741">
          <w:marLeft w:val="302"/>
          <w:marRight w:val="0"/>
          <w:marTop w:val="0"/>
          <w:marBottom w:val="0"/>
          <w:divBdr>
            <w:top w:val="none" w:sz="0" w:space="0" w:color="auto"/>
            <w:left w:val="none" w:sz="0" w:space="0" w:color="auto"/>
            <w:bottom w:val="none" w:sz="0" w:space="0" w:color="auto"/>
            <w:right w:val="none" w:sz="0" w:space="0" w:color="auto"/>
          </w:divBdr>
        </w:div>
      </w:divsChild>
    </w:div>
    <w:div w:id="744690935">
      <w:bodyDiv w:val="1"/>
      <w:marLeft w:val="0"/>
      <w:marRight w:val="0"/>
      <w:marTop w:val="0"/>
      <w:marBottom w:val="0"/>
      <w:divBdr>
        <w:top w:val="none" w:sz="0" w:space="0" w:color="auto"/>
        <w:left w:val="none" w:sz="0" w:space="0" w:color="auto"/>
        <w:bottom w:val="none" w:sz="0" w:space="0" w:color="auto"/>
        <w:right w:val="none" w:sz="0" w:space="0" w:color="auto"/>
      </w:divBdr>
      <w:divsChild>
        <w:div w:id="1767771341">
          <w:marLeft w:val="274"/>
          <w:marRight w:val="0"/>
          <w:marTop w:val="0"/>
          <w:marBottom w:val="0"/>
          <w:divBdr>
            <w:top w:val="none" w:sz="0" w:space="0" w:color="auto"/>
            <w:left w:val="none" w:sz="0" w:space="0" w:color="auto"/>
            <w:bottom w:val="none" w:sz="0" w:space="0" w:color="auto"/>
            <w:right w:val="none" w:sz="0" w:space="0" w:color="auto"/>
          </w:divBdr>
        </w:div>
      </w:divsChild>
    </w:div>
    <w:div w:id="752556506">
      <w:bodyDiv w:val="1"/>
      <w:marLeft w:val="0"/>
      <w:marRight w:val="0"/>
      <w:marTop w:val="0"/>
      <w:marBottom w:val="0"/>
      <w:divBdr>
        <w:top w:val="none" w:sz="0" w:space="0" w:color="auto"/>
        <w:left w:val="none" w:sz="0" w:space="0" w:color="auto"/>
        <w:bottom w:val="none" w:sz="0" w:space="0" w:color="auto"/>
        <w:right w:val="none" w:sz="0" w:space="0" w:color="auto"/>
      </w:divBdr>
      <w:divsChild>
        <w:div w:id="327564660">
          <w:marLeft w:val="432"/>
          <w:marRight w:val="0"/>
          <w:marTop w:val="0"/>
          <w:marBottom w:val="0"/>
          <w:divBdr>
            <w:top w:val="none" w:sz="0" w:space="0" w:color="auto"/>
            <w:left w:val="none" w:sz="0" w:space="0" w:color="auto"/>
            <w:bottom w:val="none" w:sz="0" w:space="0" w:color="auto"/>
            <w:right w:val="none" w:sz="0" w:space="0" w:color="auto"/>
          </w:divBdr>
        </w:div>
        <w:div w:id="523909003">
          <w:marLeft w:val="432"/>
          <w:marRight w:val="0"/>
          <w:marTop w:val="0"/>
          <w:marBottom w:val="0"/>
          <w:divBdr>
            <w:top w:val="none" w:sz="0" w:space="0" w:color="auto"/>
            <w:left w:val="none" w:sz="0" w:space="0" w:color="auto"/>
            <w:bottom w:val="none" w:sz="0" w:space="0" w:color="auto"/>
            <w:right w:val="none" w:sz="0" w:space="0" w:color="auto"/>
          </w:divBdr>
        </w:div>
        <w:div w:id="673383458">
          <w:marLeft w:val="432"/>
          <w:marRight w:val="0"/>
          <w:marTop w:val="0"/>
          <w:marBottom w:val="0"/>
          <w:divBdr>
            <w:top w:val="none" w:sz="0" w:space="0" w:color="auto"/>
            <w:left w:val="none" w:sz="0" w:space="0" w:color="auto"/>
            <w:bottom w:val="none" w:sz="0" w:space="0" w:color="auto"/>
            <w:right w:val="none" w:sz="0" w:space="0" w:color="auto"/>
          </w:divBdr>
        </w:div>
        <w:div w:id="758335760">
          <w:marLeft w:val="432"/>
          <w:marRight w:val="0"/>
          <w:marTop w:val="0"/>
          <w:marBottom w:val="0"/>
          <w:divBdr>
            <w:top w:val="none" w:sz="0" w:space="0" w:color="auto"/>
            <w:left w:val="none" w:sz="0" w:space="0" w:color="auto"/>
            <w:bottom w:val="none" w:sz="0" w:space="0" w:color="auto"/>
            <w:right w:val="none" w:sz="0" w:space="0" w:color="auto"/>
          </w:divBdr>
        </w:div>
        <w:div w:id="1025060334">
          <w:marLeft w:val="432"/>
          <w:marRight w:val="0"/>
          <w:marTop w:val="0"/>
          <w:marBottom w:val="0"/>
          <w:divBdr>
            <w:top w:val="none" w:sz="0" w:space="0" w:color="auto"/>
            <w:left w:val="none" w:sz="0" w:space="0" w:color="auto"/>
            <w:bottom w:val="none" w:sz="0" w:space="0" w:color="auto"/>
            <w:right w:val="none" w:sz="0" w:space="0" w:color="auto"/>
          </w:divBdr>
        </w:div>
        <w:div w:id="1076053387">
          <w:marLeft w:val="432"/>
          <w:marRight w:val="0"/>
          <w:marTop w:val="0"/>
          <w:marBottom w:val="0"/>
          <w:divBdr>
            <w:top w:val="none" w:sz="0" w:space="0" w:color="auto"/>
            <w:left w:val="none" w:sz="0" w:space="0" w:color="auto"/>
            <w:bottom w:val="none" w:sz="0" w:space="0" w:color="auto"/>
            <w:right w:val="none" w:sz="0" w:space="0" w:color="auto"/>
          </w:divBdr>
        </w:div>
        <w:div w:id="1378505535">
          <w:marLeft w:val="432"/>
          <w:marRight w:val="0"/>
          <w:marTop w:val="0"/>
          <w:marBottom w:val="0"/>
          <w:divBdr>
            <w:top w:val="none" w:sz="0" w:space="0" w:color="auto"/>
            <w:left w:val="none" w:sz="0" w:space="0" w:color="auto"/>
            <w:bottom w:val="none" w:sz="0" w:space="0" w:color="auto"/>
            <w:right w:val="none" w:sz="0" w:space="0" w:color="auto"/>
          </w:divBdr>
        </w:div>
        <w:div w:id="1523401080">
          <w:marLeft w:val="432"/>
          <w:marRight w:val="0"/>
          <w:marTop w:val="0"/>
          <w:marBottom w:val="0"/>
          <w:divBdr>
            <w:top w:val="none" w:sz="0" w:space="0" w:color="auto"/>
            <w:left w:val="none" w:sz="0" w:space="0" w:color="auto"/>
            <w:bottom w:val="none" w:sz="0" w:space="0" w:color="auto"/>
            <w:right w:val="none" w:sz="0" w:space="0" w:color="auto"/>
          </w:divBdr>
        </w:div>
        <w:div w:id="1581133115">
          <w:marLeft w:val="432"/>
          <w:marRight w:val="0"/>
          <w:marTop w:val="0"/>
          <w:marBottom w:val="0"/>
          <w:divBdr>
            <w:top w:val="none" w:sz="0" w:space="0" w:color="auto"/>
            <w:left w:val="none" w:sz="0" w:space="0" w:color="auto"/>
            <w:bottom w:val="none" w:sz="0" w:space="0" w:color="auto"/>
            <w:right w:val="none" w:sz="0" w:space="0" w:color="auto"/>
          </w:divBdr>
        </w:div>
        <w:div w:id="1588615349">
          <w:marLeft w:val="432"/>
          <w:marRight w:val="0"/>
          <w:marTop w:val="0"/>
          <w:marBottom w:val="0"/>
          <w:divBdr>
            <w:top w:val="none" w:sz="0" w:space="0" w:color="auto"/>
            <w:left w:val="none" w:sz="0" w:space="0" w:color="auto"/>
            <w:bottom w:val="none" w:sz="0" w:space="0" w:color="auto"/>
            <w:right w:val="none" w:sz="0" w:space="0" w:color="auto"/>
          </w:divBdr>
        </w:div>
        <w:div w:id="1715689520">
          <w:marLeft w:val="432"/>
          <w:marRight w:val="0"/>
          <w:marTop w:val="0"/>
          <w:marBottom w:val="0"/>
          <w:divBdr>
            <w:top w:val="none" w:sz="0" w:space="0" w:color="auto"/>
            <w:left w:val="none" w:sz="0" w:space="0" w:color="auto"/>
            <w:bottom w:val="none" w:sz="0" w:space="0" w:color="auto"/>
            <w:right w:val="none" w:sz="0" w:space="0" w:color="auto"/>
          </w:divBdr>
        </w:div>
        <w:div w:id="2045253441">
          <w:marLeft w:val="432"/>
          <w:marRight w:val="0"/>
          <w:marTop w:val="0"/>
          <w:marBottom w:val="0"/>
          <w:divBdr>
            <w:top w:val="none" w:sz="0" w:space="0" w:color="auto"/>
            <w:left w:val="none" w:sz="0" w:space="0" w:color="auto"/>
            <w:bottom w:val="none" w:sz="0" w:space="0" w:color="auto"/>
            <w:right w:val="none" w:sz="0" w:space="0" w:color="auto"/>
          </w:divBdr>
        </w:div>
      </w:divsChild>
    </w:div>
    <w:div w:id="762461473">
      <w:bodyDiv w:val="1"/>
      <w:marLeft w:val="0"/>
      <w:marRight w:val="0"/>
      <w:marTop w:val="0"/>
      <w:marBottom w:val="0"/>
      <w:divBdr>
        <w:top w:val="none" w:sz="0" w:space="0" w:color="auto"/>
        <w:left w:val="none" w:sz="0" w:space="0" w:color="auto"/>
        <w:bottom w:val="none" w:sz="0" w:space="0" w:color="auto"/>
        <w:right w:val="none" w:sz="0" w:space="0" w:color="auto"/>
      </w:divBdr>
    </w:div>
    <w:div w:id="763382962">
      <w:bodyDiv w:val="1"/>
      <w:marLeft w:val="0"/>
      <w:marRight w:val="0"/>
      <w:marTop w:val="0"/>
      <w:marBottom w:val="0"/>
      <w:divBdr>
        <w:top w:val="none" w:sz="0" w:space="0" w:color="auto"/>
        <w:left w:val="none" w:sz="0" w:space="0" w:color="auto"/>
        <w:bottom w:val="none" w:sz="0" w:space="0" w:color="auto"/>
        <w:right w:val="none" w:sz="0" w:space="0" w:color="auto"/>
      </w:divBdr>
    </w:div>
    <w:div w:id="764150800">
      <w:bodyDiv w:val="1"/>
      <w:marLeft w:val="0"/>
      <w:marRight w:val="0"/>
      <w:marTop w:val="0"/>
      <w:marBottom w:val="0"/>
      <w:divBdr>
        <w:top w:val="none" w:sz="0" w:space="0" w:color="auto"/>
        <w:left w:val="none" w:sz="0" w:space="0" w:color="auto"/>
        <w:bottom w:val="none" w:sz="0" w:space="0" w:color="auto"/>
        <w:right w:val="none" w:sz="0" w:space="0" w:color="auto"/>
      </w:divBdr>
      <w:divsChild>
        <w:div w:id="2106267574">
          <w:marLeft w:val="432"/>
          <w:marRight w:val="0"/>
          <w:marTop w:val="0"/>
          <w:marBottom w:val="0"/>
          <w:divBdr>
            <w:top w:val="none" w:sz="0" w:space="0" w:color="auto"/>
            <w:left w:val="none" w:sz="0" w:space="0" w:color="auto"/>
            <w:bottom w:val="none" w:sz="0" w:space="0" w:color="auto"/>
            <w:right w:val="none" w:sz="0" w:space="0" w:color="auto"/>
          </w:divBdr>
        </w:div>
      </w:divsChild>
    </w:div>
    <w:div w:id="767894987">
      <w:bodyDiv w:val="1"/>
      <w:marLeft w:val="0"/>
      <w:marRight w:val="0"/>
      <w:marTop w:val="0"/>
      <w:marBottom w:val="0"/>
      <w:divBdr>
        <w:top w:val="none" w:sz="0" w:space="0" w:color="auto"/>
        <w:left w:val="none" w:sz="0" w:space="0" w:color="auto"/>
        <w:bottom w:val="none" w:sz="0" w:space="0" w:color="auto"/>
        <w:right w:val="none" w:sz="0" w:space="0" w:color="auto"/>
      </w:divBdr>
      <w:divsChild>
        <w:div w:id="1210148682">
          <w:marLeft w:val="274"/>
          <w:marRight w:val="0"/>
          <w:marTop w:val="0"/>
          <w:marBottom w:val="0"/>
          <w:divBdr>
            <w:top w:val="none" w:sz="0" w:space="0" w:color="auto"/>
            <w:left w:val="none" w:sz="0" w:space="0" w:color="auto"/>
            <w:bottom w:val="none" w:sz="0" w:space="0" w:color="auto"/>
            <w:right w:val="none" w:sz="0" w:space="0" w:color="auto"/>
          </w:divBdr>
        </w:div>
      </w:divsChild>
    </w:div>
    <w:div w:id="768424979">
      <w:bodyDiv w:val="1"/>
      <w:marLeft w:val="0"/>
      <w:marRight w:val="0"/>
      <w:marTop w:val="0"/>
      <w:marBottom w:val="0"/>
      <w:divBdr>
        <w:top w:val="none" w:sz="0" w:space="0" w:color="auto"/>
        <w:left w:val="none" w:sz="0" w:space="0" w:color="auto"/>
        <w:bottom w:val="none" w:sz="0" w:space="0" w:color="auto"/>
        <w:right w:val="none" w:sz="0" w:space="0" w:color="auto"/>
      </w:divBdr>
      <w:divsChild>
        <w:div w:id="282271722">
          <w:marLeft w:val="331"/>
          <w:marRight w:val="0"/>
          <w:marTop w:val="0"/>
          <w:marBottom w:val="0"/>
          <w:divBdr>
            <w:top w:val="none" w:sz="0" w:space="0" w:color="auto"/>
            <w:left w:val="none" w:sz="0" w:space="0" w:color="auto"/>
            <w:bottom w:val="none" w:sz="0" w:space="0" w:color="auto"/>
            <w:right w:val="none" w:sz="0" w:space="0" w:color="auto"/>
          </w:divBdr>
        </w:div>
        <w:div w:id="317922290">
          <w:marLeft w:val="331"/>
          <w:marRight w:val="0"/>
          <w:marTop w:val="0"/>
          <w:marBottom w:val="0"/>
          <w:divBdr>
            <w:top w:val="none" w:sz="0" w:space="0" w:color="auto"/>
            <w:left w:val="none" w:sz="0" w:space="0" w:color="auto"/>
            <w:bottom w:val="none" w:sz="0" w:space="0" w:color="auto"/>
            <w:right w:val="none" w:sz="0" w:space="0" w:color="auto"/>
          </w:divBdr>
        </w:div>
        <w:div w:id="1561404782">
          <w:marLeft w:val="331"/>
          <w:marRight w:val="0"/>
          <w:marTop w:val="0"/>
          <w:marBottom w:val="0"/>
          <w:divBdr>
            <w:top w:val="none" w:sz="0" w:space="0" w:color="auto"/>
            <w:left w:val="none" w:sz="0" w:space="0" w:color="auto"/>
            <w:bottom w:val="none" w:sz="0" w:space="0" w:color="auto"/>
            <w:right w:val="none" w:sz="0" w:space="0" w:color="auto"/>
          </w:divBdr>
        </w:div>
      </w:divsChild>
    </w:div>
    <w:div w:id="768887669">
      <w:bodyDiv w:val="1"/>
      <w:marLeft w:val="0"/>
      <w:marRight w:val="0"/>
      <w:marTop w:val="0"/>
      <w:marBottom w:val="0"/>
      <w:divBdr>
        <w:top w:val="none" w:sz="0" w:space="0" w:color="auto"/>
        <w:left w:val="none" w:sz="0" w:space="0" w:color="auto"/>
        <w:bottom w:val="none" w:sz="0" w:space="0" w:color="auto"/>
        <w:right w:val="none" w:sz="0" w:space="0" w:color="auto"/>
      </w:divBdr>
    </w:div>
    <w:div w:id="771512604">
      <w:bodyDiv w:val="1"/>
      <w:marLeft w:val="0"/>
      <w:marRight w:val="0"/>
      <w:marTop w:val="0"/>
      <w:marBottom w:val="0"/>
      <w:divBdr>
        <w:top w:val="none" w:sz="0" w:space="0" w:color="auto"/>
        <w:left w:val="none" w:sz="0" w:space="0" w:color="auto"/>
        <w:bottom w:val="none" w:sz="0" w:space="0" w:color="auto"/>
        <w:right w:val="none" w:sz="0" w:space="0" w:color="auto"/>
      </w:divBdr>
    </w:div>
    <w:div w:id="773282152">
      <w:bodyDiv w:val="1"/>
      <w:marLeft w:val="0"/>
      <w:marRight w:val="0"/>
      <w:marTop w:val="0"/>
      <w:marBottom w:val="0"/>
      <w:divBdr>
        <w:top w:val="none" w:sz="0" w:space="0" w:color="auto"/>
        <w:left w:val="none" w:sz="0" w:space="0" w:color="auto"/>
        <w:bottom w:val="none" w:sz="0" w:space="0" w:color="auto"/>
        <w:right w:val="none" w:sz="0" w:space="0" w:color="auto"/>
      </w:divBdr>
    </w:div>
    <w:div w:id="778917574">
      <w:bodyDiv w:val="1"/>
      <w:marLeft w:val="0"/>
      <w:marRight w:val="0"/>
      <w:marTop w:val="0"/>
      <w:marBottom w:val="0"/>
      <w:divBdr>
        <w:top w:val="none" w:sz="0" w:space="0" w:color="auto"/>
        <w:left w:val="none" w:sz="0" w:space="0" w:color="auto"/>
        <w:bottom w:val="none" w:sz="0" w:space="0" w:color="auto"/>
        <w:right w:val="none" w:sz="0" w:space="0" w:color="auto"/>
      </w:divBdr>
      <w:divsChild>
        <w:div w:id="14818724">
          <w:marLeft w:val="302"/>
          <w:marRight w:val="0"/>
          <w:marTop w:val="0"/>
          <w:marBottom w:val="0"/>
          <w:divBdr>
            <w:top w:val="none" w:sz="0" w:space="0" w:color="auto"/>
            <w:left w:val="none" w:sz="0" w:space="0" w:color="auto"/>
            <w:bottom w:val="none" w:sz="0" w:space="0" w:color="auto"/>
            <w:right w:val="none" w:sz="0" w:space="0" w:color="auto"/>
          </w:divBdr>
        </w:div>
      </w:divsChild>
    </w:div>
    <w:div w:id="782111717">
      <w:bodyDiv w:val="1"/>
      <w:marLeft w:val="0"/>
      <w:marRight w:val="0"/>
      <w:marTop w:val="0"/>
      <w:marBottom w:val="0"/>
      <w:divBdr>
        <w:top w:val="none" w:sz="0" w:space="0" w:color="auto"/>
        <w:left w:val="none" w:sz="0" w:space="0" w:color="auto"/>
        <w:bottom w:val="none" w:sz="0" w:space="0" w:color="auto"/>
        <w:right w:val="none" w:sz="0" w:space="0" w:color="auto"/>
      </w:divBdr>
    </w:div>
    <w:div w:id="783961854">
      <w:bodyDiv w:val="1"/>
      <w:marLeft w:val="0"/>
      <w:marRight w:val="0"/>
      <w:marTop w:val="0"/>
      <w:marBottom w:val="0"/>
      <w:divBdr>
        <w:top w:val="none" w:sz="0" w:space="0" w:color="auto"/>
        <w:left w:val="none" w:sz="0" w:space="0" w:color="auto"/>
        <w:bottom w:val="none" w:sz="0" w:space="0" w:color="auto"/>
        <w:right w:val="none" w:sz="0" w:space="0" w:color="auto"/>
      </w:divBdr>
    </w:div>
    <w:div w:id="789054857">
      <w:bodyDiv w:val="1"/>
      <w:marLeft w:val="0"/>
      <w:marRight w:val="0"/>
      <w:marTop w:val="0"/>
      <w:marBottom w:val="0"/>
      <w:divBdr>
        <w:top w:val="none" w:sz="0" w:space="0" w:color="auto"/>
        <w:left w:val="none" w:sz="0" w:space="0" w:color="auto"/>
        <w:bottom w:val="none" w:sz="0" w:space="0" w:color="auto"/>
        <w:right w:val="none" w:sz="0" w:space="0" w:color="auto"/>
      </w:divBdr>
    </w:div>
    <w:div w:id="790054609">
      <w:bodyDiv w:val="1"/>
      <w:marLeft w:val="0"/>
      <w:marRight w:val="0"/>
      <w:marTop w:val="0"/>
      <w:marBottom w:val="0"/>
      <w:divBdr>
        <w:top w:val="none" w:sz="0" w:space="0" w:color="auto"/>
        <w:left w:val="none" w:sz="0" w:space="0" w:color="auto"/>
        <w:bottom w:val="none" w:sz="0" w:space="0" w:color="auto"/>
        <w:right w:val="none" w:sz="0" w:space="0" w:color="auto"/>
      </w:divBdr>
      <w:divsChild>
        <w:div w:id="536088952">
          <w:marLeft w:val="274"/>
          <w:marRight w:val="0"/>
          <w:marTop w:val="0"/>
          <w:marBottom w:val="0"/>
          <w:divBdr>
            <w:top w:val="none" w:sz="0" w:space="0" w:color="auto"/>
            <w:left w:val="none" w:sz="0" w:space="0" w:color="auto"/>
            <w:bottom w:val="none" w:sz="0" w:space="0" w:color="auto"/>
            <w:right w:val="none" w:sz="0" w:space="0" w:color="auto"/>
          </w:divBdr>
        </w:div>
        <w:div w:id="1598514229">
          <w:marLeft w:val="274"/>
          <w:marRight w:val="0"/>
          <w:marTop w:val="0"/>
          <w:marBottom w:val="0"/>
          <w:divBdr>
            <w:top w:val="none" w:sz="0" w:space="0" w:color="auto"/>
            <w:left w:val="none" w:sz="0" w:space="0" w:color="auto"/>
            <w:bottom w:val="none" w:sz="0" w:space="0" w:color="auto"/>
            <w:right w:val="none" w:sz="0" w:space="0" w:color="auto"/>
          </w:divBdr>
        </w:div>
      </w:divsChild>
    </w:div>
    <w:div w:id="790516328">
      <w:bodyDiv w:val="1"/>
      <w:marLeft w:val="0"/>
      <w:marRight w:val="0"/>
      <w:marTop w:val="0"/>
      <w:marBottom w:val="0"/>
      <w:divBdr>
        <w:top w:val="none" w:sz="0" w:space="0" w:color="auto"/>
        <w:left w:val="none" w:sz="0" w:space="0" w:color="auto"/>
        <w:bottom w:val="none" w:sz="0" w:space="0" w:color="auto"/>
        <w:right w:val="none" w:sz="0" w:space="0" w:color="auto"/>
      </w:divBdr>
    </w:div>
    <w:div w:id="801659595">
      <w:bodyDiv w:val="1"/>
      <w:marLeft w:val="0"/>
      <w:marRight w:val="0"/>
      <w:marTop w:val="0"/>
      <w:marBottom w:val="0"/>
      <w:divBdr>
        <w:top w:val="none" w:sz="0" w:space="0" w:color="auto"/>
        <w:left w:val="none" w:sz="0" w:space="0" w:color="auto"/>
        <w:bottom w:val="none" w:sz="0" w:space="0" w:color="auto"/>
        <w:right w:val="none" w:sz="0" w:space="0" w:color="auto"/>
      </w:divBdr>
    </w:div>
    <w:div w:id="803735078">
      <w:bodyDiv w:val="1"/>
      <w:marLeft w:val="0"/>
      <w:marRight w:val="0"/>
      <w:marTop w:val="0"/>
      <w:marBottom w:val="0"/>
      <w:divBdr>
        <w:top w:val="none" w:sz="0" w:space="0" w:color="auto"/>
        <w:left w:val="none" w:sz="0" w:space="0" w:color="auto"/>
        <w:bottom w:val="none" w:sz="0" w:space="0" w:color="auto"/>
        <w:right w:val="none" w:sz="0" w:space="0" w:color="auto"/>
      </w:divBdr>
      <w:divsChild>
        <w:div w:id="1053309030">
          <w:marLeft w:val="302"/>
          <w:marRight w:val="0"/>
          <w:marTop w:val="0"/>
          <w:marBottom w:val="0"/>
          <w:divBdr>
            <w:top w:val="none" w:sz="0" w:space="0" w:color="auto"/>
            <w:left w:val="none" w:sz="0" w:space="0" w:color="auto"/>
            <w:bottom w:val="none" w:sz="0" w:space="0" w:color="auto"/>
            <w:right w:val="none" w:sz="0" w:space="0" w:color="auto"/>
          </w:divBdr>
        </w:div>
      </w:divsChild>
    </w:div>
    <w:div w:id="810169922">
      <w:bodyDiv w:val="1"/>
      <w:marLeft w:val="0"/>
      <w:marRight w:val="0"/>
      <w:marTop w:val="0"/>
      <w:marBottom w:val="0"/>
      <w:divBdr>
        <w:top w:val="none" w:sz="0" w:space="0" w:color="auto"/>
        <w:left w:val="none" w:sz="0" w:space="0" w:color="auto"/>
        <w:bottom w:val="none" w:sz="0" w:space="0" w:color="auto"/>
        <w:right w:val="none" w:sz="0" w:space="0" w:color="auto"/>
      </w:divBdr>
    </w:div>
    <w:div w:id="813526044">
      <w:bodyDiv w:val="1"/>
      <w:marLeft w:val="0"/>
      <w:marRight w:val="0"/>
      <w:marTop w:val="0"/>
      <w:marBottom w:val="0"/>
      <w:divBdr>
        <w:top w:val="none" w:sz="0" w:space="0" w:color="auto"/>
        <w:left w:val="none" w:sz="0" w:space="0" w:color="auto"/>
        <w:bottom w:val="none" w:sz="0" w:space="0" w:color="auto"/>
        <w:right w:val="none" w:sz="0" w:space="0" w:color="auto"/>
      </w:divBdr>
    </w:div>
    <w:div w:id="818153526">
      <w:bodyDiv w:val="1"/>
      <w:marLeft w:val="0"/>
      <w:marRight w:val="0"/>
      <w:marTop w:val="0"/>
      <w:marBottom w:val="0"/>
      <w:divBdr>
        <w:top w:val="none" w:sz="0" w:space="0" w:color="auto"/>
        <w:left w:val="none" w:sz="0" w:space="0" w:color="auto"/>
        <w:bottom w:val="none" w:sz="0" w:space="0" w:color="auto"/>
        <w:right w:val="none" w:sz="0" w:space="0" w:color="auto"/>
      </w:divBdr>
    </w:div>
    <w:div w:id="818957244">
      <w:bodyDiv w:val="1"/>
      <w:marLeft w:val="0"/>
      <w:marRight w:val="0"/>
      <w:marTop w:val="0"/>
      <w:marBottom w:val="0"/>
      <w:divBdr>
        <w:top w:val="none" w:sz="0" w:space="0" w:color="auto"/>
        <w:left w:val="none" w:sz="0" w:space="0" w:color="auto"/>
        <w:bottom w:val="none" w:sz="0" w:space="0" w:color="auto"/>
        <w:right w:val="none" w:sz="0" w:space="0" w:color="auto"/>
      </w:divBdr>
      <w:divsChild>
        <w:div w:id="511991919">
          <w:marLeft w:val="504"/>
          <w:marRight w:val="0"/>
          <w:marTop w:val="80"/>
          <w:marBottom w:val="0"/>
          <w:divBdr>
            <w:top w:val="none" w:sz="0" w:space="0" w:color="auto"/>
            <w:left w:val="none" w:sz="0" w:space="0" w:color="auto"/>
            <w:bottom w:val="none" w:sz="0" w:space="0" w:color="auto"/>
            <w:right w:val="none" w:sz="0" w:space="0" w:color="auto"/>
          </w:divBdr>
        </w:div>
        <w:div w:id="607465415">
          <w:marLeft w:val="504"/>
          <w:marRight w:val="0"/>
          <w:marTop w:val="80"/>
          <w:marBottom w:val="0"/>
          <w:divBdr>
            <w:top w:val="none" w:sz="0" w:space="0" w:color="auto"/>
            <w:left w:val="none" w:sz="0" w:space="0" w:color="auto"/>
            <w:bottom w:val="none" w:sz="0" w:space="0" w:color="auto"/>
            <w:right w:val="none" w:sz="0" w:space="0" w:color="auto"/>
          </w:divBdr>
        </w:div>
        <w:div w:id="908541590">
          <w:marLeft w:val="0"/>
          <w:marRight w:val="0"/>
          <w:marTop w:val="80"/>
          <w:marBottom w:val="0"/>
          <w:divBdr>
            <w:top w:val="none" w:sz="0" w:space="0" w:color="auto"/>
            <w:left w:val="none" w:sz="0" w:space="0" w:color="auto"/>
            <w:bottom w:val="none" w:sz="0" w:space="0" w:color="auto"/>
            <w:right w:val="none" w:sz="0" w:space="0" w:color="auto"/>
          </w:divBdr>
        </w:div>
        <w:div w:id="1275791535">
          <w:marLeft w:val="504"/>
          <w:marRight w:val="0"/>
          <w:marTop w:val="80"/>
          <w:marBottom w:val="0"/>
          <w:divBdr>
            <w:top w:val="none" w:sz="0" w:space="0" w:color="auto"/>
            <w:left w:val="none" w:sz="0" w:space="0" w:color="auto"/>
            <w:bottom w:val="none" w:sz="0" w:space="0" w:color="auto"/>
            <w:right w:val="none" w:sz="0" w:space="0" w:color="auto"/>
          </w:divBdr>
        </w:div>
        <w:div w:id="1627352359">
          <w:marLeft w:val="0"/>
          <w:marRight w:val="0"/>
          <w:marTop w:val="80"/>
          <w:marBottom w:val="0"/>
          <w:divBdr>
            <w:top w:val="none" w:sz="0" w:space="0" w:color="auto"/>
            <w:left w:val="none" w:sz="0" w:space="0" w:color="auto"/>
            <w:bottom w:val="none" w:sz="0" w:space="0" w:color="auto"/>
            <w:right w:val="none" w:sz="0" w:space="0" w:color="auto"/>
          </w:divBdr>
        </w:div>
        <w:div w:id="1820535165">
          <w:marLeft w:val="504"/>
          <w:marRight w:val="0"/>
          <w:marTop w:val="80"/>
          <w:marBottom w:val="0"/>
          <w:divBdr>
            <w:top w:val="none" w:sz="0" w:space="0" w:color="auto"/>
            <w:left w:val="none" w:sz="0" w:space="0" w:color="auto"/>
            <w:bottom w:val="none" w:sz="0" w:space="0" w:color="auto"/>
            <w:right w:val="none" w:sz="0" w:space="0" w:color="auto"/>
          </w:divBdr>
        </w:div>
      </w:divsChild>
    </w:div>
    <w:div w:id="823005170">
      <w:bodyDiv w:val="1"/>
      <w:marLeft w:val="0"/>
      <w:marRight w:val="0"/>
      <w:marTop w:val="0"/>
      <w:marBottom w:val="0"/>
      <w:divBdr>
        <w:top w:val="none" w:sz="0" w:space="0" w:color="auto"/>
        <w:left w:val="none" w:sz="0" w:space="0" w:color="auto"/>
        <w:bottom w:val="none" w:sz="0" w:space="0" w:color="auto"/>
        <w:right w:val="none" w:sz="0" w:space="0" w:color="auto"/>
      </w:divBdr>
      <w:divsChild>
        <w:div w:id="26298252">
          <w:marLeft w:val="432"/>
          <w:marRight w:val="0"/>
          <w:marTop w:val="0"/>
          <w:marBottom w:val="0"/>
          <w:divBdr>
            <w:top w:val="none" w:sz="0" w:space="0" w:color="auto"/>
            <w:left w:val="none" w:sz="0" w:space="0" w:color="auto"/>
            <w:bottom w:val="none" w:sz="0" w:space="0" w:color="auto"/>
            <w:right w:val="none" w:sz="0" w:space="0" w:color="auto"/>
          </w:divBdr>
        </w:div>
        <w:div w:id="1603416562">
          <w:marLeft w:val="432"/>
          <w:marRight w:val="0"/>
          <w:marTop w:val="0"/>
          <w:marBottom w:val="0"/>
          <w:divBdr>
            <w:top w:val="none" w:sz="0" w:space="0" w:color="auto"/>
            <w:left w:val="none" w:sz="0" w:space="0" w:color="auto"/>
            <w:bottom w:val="none" w:sz="0" w:space="0" w:color="auto"/>
            <w:right w:val="none" w:sz="0" w:space="0" w:color="auto"/>
          </w:divBdr>
        </w:div>
        <w:div w:id="2117478764">
          <w:marLeft w:val="432"/>
          <w:marRight w:val="0"/>
          <w:marTop w:val="0"/>
          <w:marBottom w:val="0"/>
          <w:divBdr>
            <w:top w:val="none" w:sz="0" w:space="0" w:color="auto"/>
            <w:left w:val="none" w:sz="0" w:space="0" w:color="auto"/>
            <w:bottom w:val="none" w:sz="0" w:space="0" w:color="auto"/>
            <w:right w:val="none" w:sz="0" w:space="0" w:color="auto"/>
          </w:divBdr>
        </w:div>
      </w:divsChild>
    </w:div>
    <w:div w:id="823203348">
      <w:bodyDiv w:val="1"/>
      <w:marLeft w:val="0"/>
      <w:marRight w:val="0"/>
      <w:marTop w:val="0"/>
      <w:marBottom w:val="0"/>
      <w:divBdr>
        <w:top w:val="none" w:sz="0" w:space="0" w:color="auto"/>
        <w:left w:val="none" w:sz="0" w:space="0" w:color="auto"/>
        <w:bottom w:val="none" w:sz="0" w:space="0" w:color="auto"/>
        <w:right w:val="none" w:sz="0" w:space="0" w:color="auto"/>
      </w:divBdr>
      <w:divsChild>
        <w:div w:id="847712647">
          <w:marLeft w:val="0"/>
          <w:marRight w:val="0"/>
          <w:marTop w:val="0"/>
          <w:marBottom w:val="0"/>
          <w:divBdr>
            <w:top w:val="none" w:sz="0" w:space="0" w:color="auto"/>
            <w:left w:val="none" w:sz="0" w:space="0" w:color="auto"/>
            <w:bottom w:val="none" w:sz="0" w:space="0" w:color="auto"/>
            <w:right w:val="none" w:sz="0" w:space="0" w:color="auto"/>
          </w:divBdr>
        </w:div>
        <w:div w:id="910775073">
          <w:marLeft w:val="0"/>
          <w:marRight w:val="0"/>
          <w:marTop w:val="0"/>
          <w:marBottom w:val="0"/>
          <w:divBdr>
            <w:top w:val="none" w:sz="0" w:space="0" w:color="auto"/>
            <w:left w:val="none" w:sz="0" w:space="0" w:color="auto"/>
            <w:bottom w:val="none" w:sz="0" w:space="0" w:color="auto"/>
            <w:right w:val="none" w:sz="0" w:space="0" w:color="auto"/>
          </w:divBdr>
        </w:div>
        <w:div w:id="1679848000">
          <w:marLeft w:val="0"/>
          <w:marRight w:val="0"/>
          <w:marTop w:val="0"/>
          <w:marBottom w:val="0"/>
          <w:divBdr>
            <w:top w:val="none" w:sz="0" w:space="0" w:color="auto"/>
            <w:left w:val="none" w:sz="0" w:space="0" w:color="auto"/>
            <w:bottom w:val="none" w:sz="0" w:space="0" w:color="auto"/>
            <w:right w:val="none" w:sz="0" w:space="0" w:color="auto"/>
          </w:divBdr>
        </w:div>
        <w:div w:id="2092576311">
          <w:marLeft w:val="0"/>
          <w:marRight w:val="0"/>
          <w:marTop w:val="0"/>
          <w:marBottom w:val="0"/>
          <w:divBdr>
            <w:top w:val="none" w:sz="0" w:space="0" w:color="auto"/>
            <w:left w:val="none" w:sz="0" w:space="0" w:color="auto"/>
            <w:bottom w:val="none" w:sz="0" w:space="0" w:color="auto"/>
            <w:right w:val="none" w:sz="0" w:space="0" w:color="auto"/>
          </w:divBdr>
        </w:div>
      </w:divsChild>
    </w:div>
    <w:div w:id="852186837">
      <w:bodyDiv w:val="1"/>
      <w:marLeft w:val="0"/>
      <w:marRight w:val="0"/>
      <w:marTop w:val="0"/>
      <w:marBottom w:val="0"/>
      <w:divBdr>
        <w:top w:val="none" w:sz="0" w:space="0" w:color="auto"/>
        <w:left w:val="none" w:sz="0" w:space="0" w:color="auto"/>
        <w:bottom w:val="none" w:sz="0" w:space="0" w:color="auto"/>
        <w:right w:val="none" w:sz="0" w:space="0" w:color="auto"/>
      </w:divBdr>
      <w:divsChild>
        <w:div w:id="520706250">
          <w:marLeft w:val="1022"/>
          <w:marRight w:val="0"/>
          <w:marTop w:val="0"/>
          <w:marBottom w:val="0"/>
          <w:divBdr>
            <w:top w:val="none" w:sz="0" w:space="0" w:color="auto"/>
            <w:left w:val="none" w:sz="0" w:space="0" w:color="auto"/>
            <w:bottom w:val="none" w:sz="0" w:space="0" w:color="auto"/>
            <w:right w:val="none" w:sz="0" w:space="0" w:color="auto"/>
          </w:divBdr>
        </w:div>
        <w:div w:id="796407893">
          <w:marLeft w:val="1022"/>
          <w:marRight w:val="0"/>
          <w:marTop w:val="0"/>
          <w:marBottom w:val="0"/>
          <w:divBdr>
            <w:top w:val="none" w:sz="0" w:space="0" w:color="auto"/>
            <w:left w:val="none" w:sz="0" w:space="0" w:color="auto"/>
            <w:bottom w:val="none" w:sz="0" w:space="0" w:color="auto"/>
            <w:right w:val="none" w:sz="0" w:space="0" w:color="auto"/>
          </w:divBdr>
        </w:div>
        <w:div w:id="1097823917">
          <w:marLeft w:val="1022"/>
          <w:marRight w:val="0"/>
          <w:marTop w:val="0"/>
          <w:marBottom w:val="0"/>
          <w:divBdr>
            <w:top w:val="none" w:sz="0" w:space="0" w:color="auto"/>
            <w:left w:val="none" w:sz="0" w:space="0" w:color="auto"/>
            <w:bottom w:val="none" w:sz="0" w:space="0" w:color="auto"/>
            <w:right w:val="none" w:sz="0" w:space="0" w:color="auto"/>
          </w:divBdr>
        </w:div>
      </w:divsChild>
    </w:div>
    <w:div w:id="862673284">
      <w:bodyDiv w:val="1"/>
      <w:marLeft w:val="0"/>
      <w:marRight w:val="0"/>
      <w:marTop w:val="0"/>
      <w:marBottom w:val="0"/>
      <w:divBdr>
        <w:top w:val="none" w:sz="0" w:space="0" w:color="auto"/>
        <w:left w:val="none" w:sz="0" w:space="0" w:color="auto"/>
        <w:bottom w:val="none" w:sz="0" w:space="0" w:color="auto"/>
        <w:right w:val="none" w:sz="0" w:space="0" w:color="auto"/>
      </w:divBdr>
    </w:div>
    <w:div w:id="878511610">
      <w:bodyDiv w:val="1"/>
      <w:marLeft w:val="0"/>
      <w:marRight w:val="0"/>
      <w:marTop w:val="0"/>
      <w:marBottom w:val="0"/>
      <w:divBdr>
        <w:top w:val="none" w:sz="0" w:space="0" w:color="auto"/>
        <w:left w:val="none" w:sz="0" w:space="0" w:color="auto"/>
        <w:bottom w:val="none" w:sz="0" w:space="0" w:color="auto"/>
        <w:right w:val="none" w:sz="0" w:space="0" w:color="auto"/>
      </w:divBdr>
      <w:divsChild>
        <w:div w:id="55707373">
          <w:marLeft w:val="0"/>
          <w:marRight w:val="0"/>
          <w:marTop w:val="0"/>
          <w:marBottom w:val="0"/>
          <w:divBdr>
            <w:top w:val="none" w:sz="0" w:space="0" w:color="auto"/>
            <w:left w:val="none" w:sz="0" w:space="0" w:color="auto"/>
            <w:bottom w:val="none" w:sz="0" w:space="0" w:color="auto"/>
            <w:right w:val="none" w:sz="0" w:space="0" w:color="auto"/>
          </w:divBdr>
        </w:div>
      </w:divsChild>
    </w:div>
    <w:div w:id="880753773">
      <w:bodyDiv w:val="1"/>
      <w:marLeft w:val="0"/>
      <w:marRight w:val="0"/>
      <w:marTop w:val="0"/>
      <w:marBottom w:val="0"/>
      <w:divBdr>
        <w:top w:val="none" w:sz="0" w:space="0" w:color="auto"/>
        <w:left w:val="none" w:sz="0" w:space="0" w:color="auto"/>
        <w:bottom w:val="none" w:sz="0" w:space="0" w:color="auto"/>
        <w:right w:val="none" w:sz="0" w:space="0" w:color="auto"/>
      </w:divBdr>
      <w:divsChild>
        <w:div w:id="431319012">
          <w:marLeft w:val="720"/>
          <w:marRight w:val="0"/>
          <w:marTop w:val="0"/>
          <w:marBottom w:val="0"/>
          <w:divBdr>
            <w:top w:val="none" w:sz="0" w:space="0" w:color="auto"/>
            <w:left w:val="none" w:sz="0" w:space="0" w:color="auto"/>
            <w:bottom w:val="none" w:sz="0" w:space="0" w:color="auto"/>
            <w:right w:val="none" w:sz="0" w:space="0" w:color="auto"/>
          </w:divBdr>
        </w:div>
        <w:div w:id="1825967887">
          <w:marLeft w:val="720"/>
          <w:marRight w:val="0"/>
          <w:marTop w:val="0"/>
          <w:marBottom w:val="0"/>
          <w:divBdr>
            <w:top w:val="none" w:sz="0" w:space="0" w:color="auto"/>
            <w:left w:val="none" w:sz="0" w:space="0" w:color="auto"/>
            <w:bottom w:val="none" w:sz="0" w:space="0" w:color="auto"/>
            <w:right w:val="none" w:sz="0" w:space="0" w:color="auto"/>
          </w:divBdr>
        </w:div>
      </w:divsChild>
    </w:div>
    <w:div w:id="885412989">
      <w:bodyDiv w:val="1"/>
      <w:marLeft w:val="0"/>
      <w:marRight w:val="0"/>
      <w:marTop w:val="0"/>
      <w:marBottom w:val="0"/>
      <w:divBdr>
        <w:top w:val="none" w:sz="0" w:space="0" w:color="auto"/>
        <w:left w:val="none" w:sz="0" w:space="0" w:color="auto"/>
        <w:bottom w:val="none" w:sz="0" w:space="0" w:color="auto"/>
        <w:right w:val="none" w:sz="0" w:space="0" w:color="auto"/>
      </w:divBdr>
    </w:div>
    <w:div w:id="889420542">
      <w:bodyDiv w:val="1"/>
      <w:marLeft w:val="0"/>
      <w:marRight w:val="0"/>
      <w:marTop w:val="0"/>
      <w:marBottom w:val="0"/>
      <w:divBdr>
        <w:top w:val="none" w:sz="0" w:space="0" w:color="auto"/>
        <w:left w:val="none" w:sz="0" w:space="0" w:color="auto"/>
        <w:bottom w:val="none" w:sz="0" w:space="0" w:color="auto"/>
        <w:right w:val="none" w:sz="0" w:space="0" w:color="auto"/>
      </w:divBdr>
      <w:divsChild>
        <w:div w:id="1312950731">
          <w:marLeft w:val="418"/>
          <w:marRight w:val="0"/>
          <w:marTop w:val="0"/>
          <w:marBottom w:val="0"/>
          <w:divBdr>
            <w:top w:val="none" w:sz="0" w:space="0" w:color="auto"/>
            <w:left w:val="none" w:sz="0" w:space="0" w:color="auto"/>
            <w:bottom w:val="none" w:sz="0" w:space="0" w:color="auto"/>
            <w:right w:val="none" w:sz="0" w:space="0" w:color="auto"/>
          </w:divBdr>
        </w:div>
        <w:div w:id="1326399814">
          <w:marLeft w:val="418"/>
          <w:marRight w:val="0"/>
          <w:marTop w:val="0"/>
          <w:marBottom w:val="0"/>
          <w:divBdr>
            <w:top w:val="none" w:sz="0" w:space="0" w:color="auto"/>
            <w:left w:val="none" w:sz="0" w:space="0" w:color="auto"/>
            <w:bottom w:val="none" w:sz="0" w:space="0" w:color="auto"/>
            <w:right w:val="none" w:sz="0" w:space="0" w:color="auto"/>
          </w:divBdr>
        </w:div>
        <w:div w:id="1951470100">
          <w:marLeft w:val="418"/>
          <w:marRight w:val="0"/>
          <w:marTop w:val="0"/>
          <w:marBottom w:val="0"/>
          <w:divBdr>
            <w:top w:val="none" w:sz="0" w:space="0" w:color="auto"/>
            <w:left w:val="none" w:sz="0" w:space="0" w:color="auto"/>
            <w:bottom w:val="none" w:sz="0" w:space="0" w:color="auto"/>
            <w:right w:val="none" w:sz="0" w:space="0" w:color="auto"/>
          </w:divBdr>
        </w:div>
      </w:divsChild>
    </w:div>
    <w:div w:id="898596290">
      <w:bodyDiv w:val="1"/>
      <w:marLeft w:val="0"/>
      <w:marRight w:val="0"/>
      <w:marTop w:val="0"/>
      <w:marBottom w:val="0"/>
      <w:divBdr>
        <w:top w:val="none" w:sz="0" w:space="0" w:color="auto"/>
        <w:left w:val="none" w:sz="0" w:space="0" w:color="auto"/>
        <w:bottom w:val="none" w:sz="0" w:space="0" w:color="auto"/>
        <w:right w:val="none" w:sz="0" w:space="0" w:color="auto"/>
      </w:divBdr>
      <w:divsChild>
        <w:div w:id="114756558">
          <w:marLeft w:val="302"/>
          <w:marRight w:val="0"/>
          <w:marTop w:val="0"/>
          <w:marBottom w:val="0"/>
          <w:divBdr>
            <w:top w:val="none" w:sz="0" w:space="0" w:color="auto"/>
            <w:left w:val="none" w:sz="0" w:space="0" w:color="auto"/>
            <w:bottom w:val="none" w:sz="0" w:space="0" w:color="auto"/>
            <w:right w:val="none" w:sz="0" w:space="0" w:color="auto"/>
          </w:divBdr>
        </w:div>
        <w:div w:id="493450767">
          <w:marLeft w:val="302"/>
          <w:marRight w:val="0"/>
          <w:marTop w:val="0"/>
          <w:marBottom w:val="0"/>
          <w:divBdr>
            <w:top w:val="none" w:sz="0" w:space="0" w:color="auto"/>
            <w:left w:val="none" w:sz="0" w:space="0" w:color="auto"/>
            <w:bottom w:val="none" w:sz="0" w:space="0" w:color="auto"/>
            <w:right w:val="none" w:sz="0" w:space="0" w:color="auto"/>
          </w:divBdr>
        </w:div>
        <w:div w:id="983268767">
          <w:marLeft w:val="302"/>
          <w:marRight w:val="0"/>
          <w:marTop w:val="0"/>
          <w:marBottom w:val="0"/>
          <w:divBdr>
            <w:top w:val="none" w:sz="0" w:space="0" w:color="auto"/>
            <w:left w:val="none" w:sz="0" w:space="0" w:color="auto"/>
            <w:bottom w:val="none" w:sz="0" w:space="0" w:color="auto"/>
            <w:right w:val="none" w:sz="0" w:space="0" w:color="auto"/>
          </w:divBdr>
        </w:div>
        <w:div w:id="2124763141">
          <w:marLeft w:val="302"/>
          <w:marRight w:val="0"/>
          <w:marTop w:val="0"/>
          <w:marBottom w:val="0"/>
          <w:divBdr>
            <w:top w:val="none" w:sz="0" w:space="0" w:color="auto"/>
            <w:left w:val="none" w:sz="0" w:space="0" w:color="auto"/>
            <w:bottom w:val="none" w:sz="0" w:space="0" w:color="auto"/>
            <w:right w:val="none" w:sz="0" w:space="0" w:color="auto"/>
          </w:divBdr>
        </w:div>
      </w:divsChild>
    </w:div>
    <w:div w:id="903249913">
      <w:bodyDiv w:val="1"/>
      <w:marLeft w:val="0"/>
      <w:marRight w:val="0"/>
      <w:marTop w:val="0"/>
      <w:marBottom w:val="0"/>
      <w:divBdr>
        <w:top w:val="none" w:sz="0" w:space="0" w:color="auto"/>
        <w:left w:val="none" w:sz="0" w:space="0" w:color="auto"/>
        <w:bottom w:val="none" w:sz="0" w:space="0" w:color="auto"/>
        <w:right w:val="none" w:sz="0" w:space="0" w:color="auto"/>
      </w:divBdr>
    </w:div>
    <w:div w:id="904684466">
      <w:bodyDiv w:val="1"/>
      <w:marLeft w:val="0"/>
      <w:marRight w:val="0"/>
      <w:marTop w:val="0"/>
      <w:marBottom w:val="0"/>
      <w:divBdr>
        <w:top w:val="none" w:sz="0" w:space="0" w:color="auto"/>
        <w:left w:val="none" w:sz="0" w:space="0" w:color="auto"/>
        <w:bottom w:val="none" w:sz="0" w:space="0" w:color="auto"/>
        <w:right w:val="none" w:sz="0" w:space="0" w:color="auto"/>
      </w:divBdr>
      <w:divsChild>
        <w:div w:id="1167402725">
          <w:marLeft w:val="432"/>
          <w:marRight w:val="0"/>
          <w:marTop w:val="0"/>
          <w:marBottom w:val="0"/>
          <w:divBdr>
            <w:top w:val="none" w:sz="0" w:space="0" w:color="auto"/>
            <w:left w:val="none" w:sz="0" w:space="0" w:color="auto"/>
            <w:bottom w:val="none" w:sz="0" w:space="0" w:color="auto"/>
            <w:right w:val="none" w:sz="0" w:space="0" w:color="auto"/>
          </w:divBdr>
        </w:div>
        <w:div w:id="1699118188">
          <w:marLeft w:val="432"/>
          <w:marRight w:val="0"/>
          <w:marTop w:val="0"/>
          <w:marBottom w:val="0"/>
          <w:divBdr>
            <w:top w:val="none" w:sz="0" w:space="0" w:color="auto"/>
            <w:left w:val="none" w:sz="0" w:space="0" w:color="auto"/>
            <w:bottom w:val="none" w:sz="0" w:space="0" w:color="auto"/>
            <w:right w:val="none" w:sz="0" w:space="0" w:color="auto"/>
          </w:divBdr>
        </w:div>
        <w:div w:id="1801723193">
          <w:marLeft w:val="432"/>
          <w:marRight w:val="0"/>
          <w:marTop w:val="0"/>
          <w:marBottom w:val="0"/>
          <w:divBdr>
            <w:top w:val="none" w:sz="0" w:space="0" w:color="auto"/>
            <w:left w:val="none" w:sz="0" w:space="0" w:color="auto"/>
            <w:bottom w:val="none" w:sz="0" w:space="0" w:color="auto"/>
            <w:right w:val="none" w:sz="0" w:space="0" w:color="auto"/>
          </w:divBdr>
        </w:div>
        <w:div w:id="1874074680">
          <w:marLeft w:val="432"/>
          <w:marRight w:val="0"/>
          <w:marTop w:val="0"/>
          <w:marBottom w:val="0"/>
          <w:divBdr>
            <w:top w:val="none" w:sz="0" w:space="0" w:color="auto"/>
            <w:left w:val="none" w:sz="0" w:space="0" w:color="auto"/>
            <w:bottom w:val="none" w:sz="0" w:space="0" w:color="auto"/>
            <w:right w:val="none" w:sz="0" w:space="0" w:color="auto"/>
          </w:divBdr>
        </w:div>
      </w:divsChild>
    </w:div>
    <w:div w:id="912742808">
      <w:bodyDiv w:val="1"/>
      <w:marLeft w:val="0"/>
      <w:marRight w:val="0"/>
      <w:marTop w:val="0"/>
      <w:marBottom w:val="0"/>
      <w:divBdr>
        <w:top w:val="none" w:sz="0" w:space="0" w:color="auto"/>
        <w:left w:val="none" w:sz="0" w:space="0" w:color="auto"/>
        <w:bottom w:val="none" w:sz="0" w:space="0" w:color="auto"/>
        <w:right w:val="none" w:sz="0" w:space="0" w:color="auto"/>
      </w:divBdr>
    </w:div>
    <w:div w:id="918640322">
      <w:bodyDiv w:val="1"/>
      <w:marLeft w:val="0"/>
      <w:marRight w:val="0"/>
      <w:marTop w:val="0"/>
      <w:marBottom w:val="0"/>
      <w:divBdr>
        <w:top w:val="none" w:sz="0" w:space="0" w:color="auto"/>
        <w:left w:val="none" w:sz="0" w:space="0" w:color="auto"/>
        <w:bottom w:val="none" w:sz="0" w:space="0" w:color="auto"/>
        <w:right w:val="none" w:sz="0" w:space="0" w:color="auto"/>
      </w:divBdr>
    </w:div>
    <w:div w:id="929584909">
      <w:bodyDiv w:val="1"/>
      <w:marLeft w:val="0"/>
      <w:marRight w:val="0"/>
      <w:marTop w:val="0"/>
      <w:marBottom w:val="0"/>
      <w:divBdr>
        <w:top w:val="none" w:sz="0" w:space="0" w:color="auto"/>
        <w:left w:val="none" w:sz="0" w:space="0" w:color="auto"/>
        <w:bottom w:val="none" w:sz="0" w:space="0" w:color="auto"/>
        <w:right w:val="none" w:sz="0" w:space="0" w:color="auto"/>
      </w:divBdr>
    </w:div>
    <w:div w:id="941567313">
      <w:bodyDiv w:val="1"/>
      <w:marLeft w:val="0"/>
      <w:marRight w:val="0"/>
      <w:marTop w:val="0"/>
      <w:marBottom w:val="0"/>
      <w:divBdr>
        <w:top w:val="none" w:sz="0" w:space="0" w:color="auto"/>
        <w:left w:val="none" w:sz="0" w:space="0" w:color="auto"/>
        <w:bottom w:val="none" w:sz="0" w:space="0" w:color="auto"/>
        <w:right w:val="none" w:sz="0" w:space="0" w:color="auto"/>
      </w:divBdr>
    </w:div>
    <w:div w:id="948246652">
      <w:bodyDiv w:val="1"/>
      <w:marLeft w:val="0"/>
      <w:marRight w:val="0"/>
      <w:marTop w:val="0"/>
      <w:marBottom w:val="0"/>
      <w:divBdr>
        <w:top w:val="none" w:sz="0" w:space="0" w:color="auto"/>
        <w:left w:val="none" w:sz="0" w:space="0" w:color="auto"/>
        <w:bottom w:val="none" w:sz="0" w:space="0" w:color="auto"/>
        <w:right w:val="none" w:sz="0" w:space="0" w:color="auto"/>
      </w:divBdr>
    </w:div>
    <w:div w:id="949048475">
      <w:bodyDiv w:val="1"/>
      <w:marLeft w:val="0"/>
      <w:marRight w:val="0"/>
      <w:marTop w:val="0"/>
      <w:marBottom w:val="0"/>
      <w:divBdr>
        <w:top w:val="none" w:sz="0" w:space="0" w:color="auto"/>
        <w:left w:val="none" w:sz="0" w:space="0" w:color="auto"/>
        <w:bottom w:val="none" w:sz="0" w:space="0" w:color="auto"/>
        <w:right w:val="none" w:sz="0" w:space="0" w:color="auto"/>
      </w:divBdr>
    </w:div>
    <w:div w:id="951327382">
      <w:bodyDiv w:val="1"/>
      <w:marLeft w:val="0"/>
      <w:marRight w:val="0"/>
      <w:marTop w:val="0"/>
      <w:marBottom w:val="0"/>
      <w:divBdr>
        <w:top w:val="none" w:sz="0" w:space="0" w:color="auto"/>
        <w:left w:val="none" w:sz="0" w:space="0" w:color="auto"/>
        <w:bottom w:val="none" w:sz="0" w:space="0" w:color="auto"/>
        <w:right w:val="none" w:sz="0" w:space="0" w:color="auto"/>
      </w:divBdr>
    </w:div>
    <w:div w:id="956565621">
      <w:bodyDiv w:val="1"/>
      <w:marLeft w:val="0"/>
      <w:marRight w:val="0"/>
      <w:marTop w:val="0"/>
      <w:marBottom w:val="0"/>
      <w:divBdr>
        <w:top w:val="none" w:sz="0" w:space="0" w:color="auto"/>
        <w:left w:val="none" w:sz="0" w:space="0" w:color="auto"/>
        <w:bottom w:val="none" w:sz="0" w:space="0" w:color="auto"/>
        <w:right w:val="none" w:sz="0" w:space="0" w:color="auto"/>
      </w:divBdr>
      <w:divsChild>
        <w:div w:id="62916576">
          <w:marLeft w:val="274"/>
          <w:marRight w:val="0"/>
          <w:marTop w:val="0"/>
          <w:marBottom w:val="20"/>
          <w:divBdr>
            <w:top w:val="none" w:sz="0" w:space="0" w:color="auto"/>
            <w:left w:val="none" w:sz="0" w:space="0" w:color="auto"/>
            <w:bottom w:val="none" w:sz="0" w:space="0" w:color="auto"/>
            <w:right w:val="none" w:sz="0" w:space="0" w:color="auto"/>
          </w:divBdr>
        </w:div>
        <w:div w:id="543255241">
          <w:marLeft w:val="274"/>
          <w:marRight w:val="0"/>
          <w:marTop w:val="0"/>
          <w:marBottom w:val="20"/>
          <w:divBdr>
            <w:top w:val="none" w:sz="0" w:space="0" w:color="auto"/>
            <w:left w:val="none" w:sz="0" w:space="0" w:color="auto"/>
            <w:bottom w:val="none" w:sz="0" w:space="0" w:color="auto"/>
            <w:right w:val="none" w:sz="0" w:space="0" w:color="auto"/>
          </w:divBdr>
        </w:div>
        <w:div w:id="970093190">
          <w:marLeft w:val="274"/>
          <w:marRight w:val="0"/>
          <w:marTop w:val="0"/>
          <w:marBottom w:val="20"/>
          <w:divBdr>
            <w:top w:val="none" w:sz="0" w:space="0" w:color="auto"/>
            <w:left w:val="none" w:sz="0" w:space="0" w:color="auto"/>
            <w:bottom w:val="none" w:sz="0" w:space="0" w:color="auto"/>
            <w:right w:val="none" w:sz="0" w:space="0" w:color="auto"/>
          </w:divBdr>
        </w:div>
        <w:div w:id="1592199790">
          <w:marLeft w:val="274"/>
          <w:marRight w:val="0"/>
          <w:marTop w:val="0"/>
          <w:marBottom w:val="20"/>
          <w:divBdr>
            <w:top w:val="none" w:sz="0" w:space="0" w:color="auto"/>
            <w:left w:val="none" w:sz="0" w:space="0" w:color="auto"/>
            <w:bottom w:val="none" w:sz="0" w:space="0" w:color="auto"/>
            <w:right w:val="none" w:sz="0" w:space="0" w:color="auto"/>
          </w:divBdr>
        </w:div>
        <w:div w:id="1706443098">
          <w:marLeft w:val="274"/>
          <w:marRight w:val="0"/>
          <w:marTop w:val="0"/>
          <w:marBottom w:val="20"/>
          <w:divBdr>
            <w:top w:val="none" w:sz="0" w:space="0" w:color="auto"/>
            <w:left w:val="none" w:sz="0" w:space="0" w:color="auto"/>
            <w:bottom w:val="none" w:sz="0" w:space="0" w:color="auto"/>
            <w:right w:val="none" w:sz="0" w:space="0" w:color="auto"/>
          </w:divBdr>
        </w:div>
        <w:div w:id="2080669616">
          <w:marLeft w:val="274"/>
          <w:marRight w:val="0"/>
          <w:marTop w:val="0"/>
          <w:marBottom w:val="20"/>
          <w:divBdr>
            <w:top w:val="none" w:sz="0" w:space="0" w:color="auto"/>
            <w:left w:val="none" w:sz="0" w:space="0" w:color="auto"/>
            <w:bottom w:val="none" w:sz="0" w:space="0" w:color="auto"/>
            <w:right w:val="none" w:sz="0" w:space="0" w:color="auto"/>
          </w:divBdr>
        </w:div>
      </w:divsChild>
    </w:div>
    <w:div w:id="964504659">
      <w:bodyDiv w:val="1"/>
      <w:marLeft w:val="0"/>
      <w:marRight w:val="0"/>
      <w:marTop w:val="0"/>
      <w:marBottom w:val="0"/>
      <w:divBdr>
        <w:top w:val="none" w:sz="0" w:space="0" w:color="auto"/>
        <w:left w:val="none" w:sz="0" w:space="0" w:color="auto"/>
        <w:bottom w:val="none" w:sz="0" w:space="0" w:color="auto"/>
        <w:right w:val="none" w:sz="0" w:space="0" w:color="auto"/>
      </w:divBdr>
    </w:div>
    <w:div w:id="964889960">
      <w:bodyDiv w:val="1"/>
      <w:marLeft w:val="0"/>
      <w:marRight w:val="0"/>
      <w:marTop w:val="0"/>
      <w:marBottom w:val="0"/>
      <w:divBdr>
        <w:top w:val="none" w:sz="0" w:space="0" w:color="auto"/>
        <w:left w:val="none" w:sz="0" w:space="0" w:color="auto"/>
        <w:bottom w:val="none" w:sz="0" w:space="0" w:color="auto"/>
        <w:right w:val="none" w:sz="0" w:space="0" w:color="auto"/>
      </w:divBdr>
    </w:div>
    <w:div w:id="967929589">
      <w:bodyDiv w:val="1"/>
      <w:marLeft w:val="0"/>
      <w:marRight w:val="0"/>
      <w:marTop w:val="0"/>
      <w:marBottom w:val="0"/>
      <w:divBdr>
        <w:top w:val="none" w:sz="0" w:space="0" w:color="auto"/>
        <w:left w:val="none" w:sz="0" w:space="0" w:color="auto"/>
        <w:bottom w:val="none" w:sz="0" w:space="0" w:color="auto"/>
        <w:right w:val="none" w:sz="0" w:space="0" w:color="auto"/>
      </w:divBdr>
    </w:div>
    <w:div w:id="969479427">
      <w:bodyDiv w:val="1"/>
      <w:marLeft w:val="0"/>
      <w:marRight w:val="0"/>
      <w:marTop w:val="0"/>
      <w:marBottom w:val="0"/>
      <w:divBdr>
        <w:top w:val="none" w:sz="0" w:space="0" w:color="auto"/>
        <w:left w:val="none" w:sz="0" w:space="0" w:color="auto"/>
        <w:bottom w:val="none" w:sz="0" w:space="0" w:color="auto"/>
        <w:right w:val="none" w:sz="0" w:space="0" w:color="auto"/>
      </w:divBdr>
    </w:div>
    <w:div w:id="975766169">
      <w:bodyDiv w:val="1"/>
      <w:marLeft w:val="0"/>
      <w:marRight w:val="0"/>
      <w:marTop w:val="0"/>
      <w:marBottom w:val="0"/>
      <w:divBdr>
        <w:top w:val="none" w:sz="0" w:space="0" w:color="auto"/>
        <w:left w:val="none" w:sz="0" w:space="0" w:color="auto"/>
        <w:bottom w:val="none" w:sz="0" w:space="0" w:color="auto"/>
        <w:right w:val="none" w:sz="0" w:space="0" w:color="auto"/>
      </w:divBdr>
    </w:div>
    <w:div w:id="979768473">
      <w:bodyDiv w:val="1"/>
      <w:marLeft w:val="0"/>
      <w:marRight w:val="0"/>
      <w:marTop w:val="0"/>
      <w:marBottom w:val="0"/>
      <w:divBdr>
        <w:top w:val="none" w:sz="0" w:space="0" w:color="auto"/>
        <w:left w:val="none" w:sz="0" w:space="0" w:color="auto"/>
        <w:bottom w:val="none" w:sz="0" w:space="0" w:color="auto"/>
        <w:right w:val="none" w:sz="0" w:space="0" w:color="auto"/>
      </w:divBdr>
      <w:divsChild>
        <w:div w:id="1173371853">
          <w:marLeft w:val="302"/>
          <w:marRight w:val="0"/>
          <w:marTop w:val="0"/>
          <w:marBottom w:val="0"/>
          <w:divBdr>
            <w:top w:val="none" w:sz="0" w:space="0" w:color="auto"/>
            <w:left w:val="none" w:sz="0" w:space="0" w:color="auto"/>
            <w:bottom w:val="none" w:sz="0" w:space="0" w:color="auto"/>
            <w:right w:val="none" w:sz="0" w:space="0" w:color="auto"/>
          </w:divBdr>
        </w:div>
      </w:divsChild>
    </w:div>
    <w:div w:id="982388312">
      <w:bodyDiv w:val="1"/>
      <w:marLeft w:val="0"/>
      <w:marRight w:val="0"/>
      <w:marTop w:val="0"/>
      <w:marBottom w:val="0"/>
      <w:divBdr>
        <w:top w:val="none" w:sz="0" w:space="0" w:color="auto"/>
        <w:left w:val="none" w:sz="0" w:space="0" w:color="auto"/>
        <w:bottom w:val="none" w:sz="0" w:space="0" w:color="auto"/>
        <w:right w:val="none" w:sz="0" w:space="0" w:color="auto"/>
      </w:divBdr>
      <w:divsChild>
        <w:div w:id="176190892">
          <w:marLeft w:val="994"/>
          <w:marRight w:val="0"/>
          <w:marTop w:val="0"/>
          <w:marBottom w:val="20"/>
          <w:divBdr>
            <w:top w:val="none" w:sz="0" w:space="0" w:color="auto"/>
            <w:left w:val="none" w:sz="0" w:space="0" w:color="auto"/>
            <w:bottom w:val="none" w:sz="0" w:space="0" w:color="auto"/>
            <w:right w:val="none" w:sz="0" w:space="0" w:color="auto"/>
          </w:divBdr>
        </w:div>
        <w:div w:id="199128077">
          <w:marLeft w:val="274"/>
          <w:marRight w:val="0"/>
          <w:marTop w:val="0"/>
          <w:marBottom w:val="20"/>
          <w:divBdr>
            <w:top w:val="none" w:sz="0" w:space="0" w:color="auto"/>
            <w:left w:val="none" w:sz="0" w:space="0" w:color="auto"/>
            <w:bottom w:val="none" w:sz="0" w:space="0" w:color="auto"/>
            <w:right w:val="none" w:sz="0" w:space="0" w:color="auto"/>
          </w:divBdr>
        </w:div>
        <w:div w:id="777678699">
          <w:marLeft w:val="274"/>
          <w:marRight w:val="0"/>
          <w:marTop w:val="0"/>
          <w:marBottom w:val="20"/>
          <w:divBdr>
            <w:top w:val="none" w:sz="0" w:space="0" w:color="auto"/>
            <w:left w:val="none" w:sz="0" w:space="0" w:color="auto"/>
            <w:bottom w:val="none" w:sz="0" w:space="0" w:color="auto"/>
            <w:right w:val="none" w:sz="0" w:space="0" w:color="auto"/>
          </w:divBdr>
        </w:div>
        <w:div w:id="892501168">
          <w:marLeft w:val="274"/>
          <w:marRight w:val="0"/>
          <w:marTop w:val="0"/>
          <w:marBottom w:val="20"/>
          <w:divBdr>
            <w:top w:val="none" w:sz="0" w:space="0" w:color="auto"/>
            <w:left w:val="none" w:sz="0" w:space="0" w:color="auto"/>
            <w:bottom w:val="none" w:sz="0" w:space="0" w:color="auto"/>
            <w:right w:val="none" w:sz="0" w:space="0" w:color="auto"/>
          </w:divBdr>
        </w:div>
        <w:div w:id="1033842929">
          <w:marLeft w:val="994"/>
          <w:marRight w:val="0"/>
          <w:marTop w:val="0"/>
          <w:marBottom w:val="20"/>
          <w:divBdr>
            <w:top w:val="none" w:sz="0" w:space="0" w:color="auto"/>
            <w:left w:val="none" w:sz="0" w:space="0" w:color="auto"/>
            <w:bottom w:val="none" w:sz="0" w:space="0" w:color="auto"/>
            <w:right w:val="none" w:sz="0" w:space="0" w:color="auto"/>
          </w:divBdr>
        </w:div>
        <w:div w:id="1113406711">
          <w:marLeft w:val="994"/>
          <w:marRight w:val="0"/>
          <w:marTop w:val="0"/>
          <w:marBottom w:val="20"/>
          <w:divBdr>
            <w:top w:val="none" w:sz="0" w:space="0" w:color="auto"/>
            <w:left w:val="none" w:sz="0" w:space="0" w:color="auto"/>
            <w:bottom w:val="none" w:sz="0" w:space="0" w:color="auto"/>
            <w:right w:val="none" w:sz="0" w:space="0" w:color="auto"/>
          </w:divBdr>
        </w:div>
        <w:div w:id="1337221671">
          <w:marLeft w:val="994"/>
          <w:marRight w:val="0"/>
          <w:marTop w:val="0"/>
          <w:marBottom w:val="20"/>
          <w:divBdr>
            <w:top w:val="none" w:sz="0" w:space="0" w:color="auto"/>
            <w:left w:val="none" w:sz="0" w:space="0" w:color="auto"/>
            <w:bottom w:val="none" w:sz="0" w:space="0" w:color="auto"/>
            <w:right w:val="none" w:sz="0" w:space="0" w:color="auto"/>
          </w:divBdr>
        </w:div>
        <w:div w:id="1464615698">
          <w:marLeft w:val="994"/>
          <w:marRight w:val="0"/>
          <w:marTop w:val="0"/>
          <w:marBottom w:val="20"/>
          <w:divBdr>
            <w:top w:val="none" w:sz="0" w:space="0" w:color="auto"/>
            <w:left w:val="none" w:sz="0" w:space="0" w:color="auto"/>
            <w:bottom w:val="none" w:sz="0" w:space="0" w:color="auto"/>
            <w:right w:val="none" w:sz="0" w:space="0" w:color="auto"/>
          </w:divBdr>
        </w:div>
        <w:div w:id="1705593603">
          <w:marLeft w:val="274"/>
          <w:marRight w:val="0"/>
          <w:marTop w:val="0"/>
          <w:marBottom w:val="20"/>
          <w:divBdr>
            <w:top w:val="none" w:sz="0" w:space="0" w:color="auto"/>
            <w:left w:val="none" w:sz="0" w:space="0" w:color="auto"/>
            <w:bottom w:val="none" w:sz="0" w:space="0" w:color="auto"/>
            <w:right w:val="none" w:sz="0" w:space="0" w:color="auto"/>
          </w:divBdr>
        </w:div>
        <w:div w:id="1764640429">
          <w:marLeft w:val="274"/>
          <w:marRight w:val="0"/>
          <w:marTop w:val="0"/>
          <w:marBottom w:val="20"/>
          <w:divBdr>
            <w:top w:val="none" w:sz="0" w:space="0" w:color="auto"/>
            <w:left w:val="none" w:sz="0" w:space="0" w:color="auto"/>
            <w:bottom w:val="none" w:sz="0" w:space="0" w:color="auto"/>
            <w:right w:val="none" w:sz="0" w:space="0" w:color="auto"/>
          </w:divBdr>
        </w:div>
        <w:div w:id="1798178057">
          <w:marLeft w:val="274"/>
          <w:marRight w:val="0"/>
          <w:marTop w:val="0"/>
          <w:marBottom w:val="20"/>
          <w:divBdr>
            <w:top w:val="none" w:sz="0" w:space="0" w:color="auto"/>
            <w:left w:val="none" w:sz="0" w:space="0" w:color="auto"/>
            <w:bottom w:val="none" w:sz="0" w:space="0" w:color="auto"/>
            <w:right w:val="none" w:sz="0" w:space="0" w:color="auto"/>
          </w:divBdr>
        </w:div>
        <w:div w:id="1913809011">
          <w:marLeft w:val="274"/>
          <w:marRight w:val="0"/>
          <w:marTop w:val="0"/>
          <w:marBottom w:val="20"/>
          <w:divBdr>
            <w:top w:val="none" w:sz="0" w:space="0" w:color="auto"/>
            <w:left w:val="none" w:sz="0" w:space="0" w:color="auto"/>
            <w:bottom w:val="none" w:sz="0" w:space="0" w:color="auto"/>
            <w:right w:val="none" w:sz="0" w:space="0" w:color="auto"/>
          </w:divBdr>
        </w:div>
      </w:divsChild>
    </w:div>
    <w:div w:id="983001133">
      <w:bodyDiv w:val="1"/>
      <w:marLeft w:val="0"/>
      <w:marRight w:val="0"/>
      <w:marTop w:val="0"/>
      <w:marBottom w:val="0"/>
      <w:divBdr>
        <w:top w:val="none" w:sz="0" w:space="0" w:color="auto"/>
        <w:left w:val="none" w:sz="0" w:space="0" w:color="auto"/>
        <w:bottom w:val="none" w:sz="0" w:space="0" w:color="auto"/>
        <w:right w:val="none" w:sz="0" w:space="0" w:color="auto"/>
      </w:divBdr>
    </w:div>
    <w:div w:id="983924202">
      <w:bodyDiv w:val="1"/>
      <w:marLeft w:val="0"/>
      <w:marRight w:val="0"/>
      <w:marTop w:val="0"/>
      <w:marBottom w:val="0"/>
      <w:divBdr>
        <w:top w:val="none" w:sz="0" w:space="0" w:color="auto"/>
        <w:left w:val="none" w:sz="0" w:space="0" w:color="auto"/>
        <w:bottom w:val="none" w:sz="0" w:space="0" w:color="auto"/>
        <w:right w:val="none" w:sz="0" w:space="0" w:color="auto"/>
      </w:divBdr>
    </w:div>
    <w:div w:id="984353823">
      <w:bodyDiv w:val="1"/>
      <w:marLeft w:val="0"/>
      <w:marRight w:val="0"/>
      <w:marTop w:val="0"/>
      <w:marBottom w:val="0"/>
      <w:divBdr>
        <w:top w:val="none" w:sz="0" w:space="0" w:color="auto"/>
        <w:left w:val="none" w:sz="0" w:space="0" w:color="auto"/>
        <w:bottom w:val="none" w:sz="0" w:space="0" w:color="auto"/>
        <w:right w:val="none" w:sz="0" w:space="0" w:color="auto"/>
      </w:divBdr>
    </w:div>
    <w:div w:id="985084696">
      <w:bodyDiv w:val="1"/>
      <w:marLeft w:val="0"/>
      <w:marRight w:val="0"/>
      <w:marTop w:val="0"/>
      <w:marBottom w:val="0"/>
      <w:divBdr>
        <w:top w:val="none" w:sz="0" w:space="0" w:color="auto"/>
        <w:left w:val="none" w:sz="0" w:space="0" w:color="auto"/>
        <w:bottom w:val="none" w:sz="0" w:space="0" w:color="auto"/>
        <w:right w:val="none" w:sz="0" w:space="0" w:color="auto"/>
      </w:divBdr>
    </w:div>
    <w:div w:id="987048780">
      <w:bodyDiv w:val="1"/>
      <w:marLeft w:val="0"/>
      <w:marRight w:val="0"/>
      <w:marTop w:val="0"/>
      <w:marBottom w:val="0"/>
      <w:divBdr>
        <w:top w:val="none" w:sz="0" w:space="0" w:color="auto"/>
        <w:left w:val="none" w:sz="0" w:space="0" w:color="auto"/>
        <w:bottom w:val="none" w:sz="0" w:space="0" w:color="auto"/>
        <w:right w:val="none" w:sz="0" w:space="0" w:color="auto"/>
      </w:divBdr>
      <w:divsChild>
        <w:div w:id="176838378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1717470">
      <w:bodyDiv w:val="1"/>
      <w:marLeft w:val="0"/>
      <w:marRight w:val="0"/>
      <w:marTop w:val="0"/>
      <w:marBottom w:val="0"/>
      <w:divBdr>
        <w:top w:val="none" w:sz="0" w:space="0" w:color="auto"/>
        <w:left w:val="none" w:sz="0" w:space="0" w:color="auto"/>
        <w:bottom w:val="none" w:sz="0" w:space="0" w:color="auto"/>
        <w:right w:val="none" w:sz="0" w:space="0" w:color="auto"/>
      </w:divBdr>
    </w:div>
    <w:div w:id="1007975623">
      <w:bodyDiv w:val="1"/>
      <w:marLeft w:val="0"/>
      <w:marRight w:val="0"/>
      <w:marTop w:val="0"/>
      <w:marBottom w:val="0"/>
      <w:divBdr>
        <w:top w:val="none" w:sz="0" w:space="0" w:color="auto"/>
        <w:left w:val="none" w:sz="0" w:space="0" w:color="auto"/>
        <w:bottom w:val="none" w:sz="0" w:space="0" w:color="auto"/>
        <w:right w:val="none" w:sz="0" w:space="0" w:color="auto"/>
      </w:divBdr>
    </w:div>
    <w:div w:id="1008364451">
      <w:bodyDiv w:val="1"/>
      <w:marLeft w:val="0"/>
      <w:marRight w:val="0"/>
      <w:marTop w:val="0"/>
      <w:marBottom w:val="0"/>
      <w:divBdr>
        <w:top w:val="none" w:sz="0" w:space="0" w:color="auto"/>
        <w:left w:val="none" w:sz="0" w:space="0" w:color="auto"/>
        <w:bottom w:val="none" w:sz="0" w:space="0" w:color="auto"/>
        <w:right w:val="none" w:sz="0" w:space="0" w:color="auto"/>
      </w:divBdr>
      <w:divsChild>
        <w:div w:id="1145662810">
          <w:marLeft w:val="274"/>
          <w:marRight w:val="0"/>
          <w:marTop w:val="0"/>
          <w:marBottom w:val="60"/>
          <w:divBdr>
            <w:top w:val="none" w:sz="0" w:space="0" w:color="auto"/>
            <w:left w:val="none" w:sz="0" w:space="0" w:color="auto"/>
            <w:bottom w:val="none" w:sz="0" w:space="0" w:color="auto"/>
            <w:right w:val="none" w:sz="0" w:space="0" w:color="auto"/>
          </w:divBdr>
        </w:div>
      </w:divsChild>
    </w:div>
    <w:div w:id="1009597030">
      <w:bodyDiv w:val="1"/>
      <w:marLeft w:val="0"/>
      <w:marRight w:val="0"/>
      <w:marTop w:val="0"/>
      <w:marBottom w:val="0"/>
      <w:divBdr>
        <w:top w:val="none" w:sz="0" w:space="0" w:color="auto"/>
        <w:left w:val="none" w:sz="0" w:space="0" w:color="auto"/>
        <w:bottom w:val="none" w:sz="0" w:space="0" w:color="auto"/>
        <w:right w:val="none" w:sz="0" w:space="0" w:color="auto"/>
      </w:divBdr>
      <w:divsChild>
        <w:div w:id="554659501">
          <w:marLeft w:val="302"/>
          <w:marRight w:val="0"/>
          <w:marTop w:val="0"/>
          <w:marBottom w:val="0"/>
          <w:divBdr>
            <w:top w:val="none" w:sz="0" w:space="0" w:color="auto"/>
            <w:left w:val="none" w:sz="0" w:space="0" w:color="auto"/>
            <w:bottom w:val="none" w:sz="0" w:space="0" w:color="auto"/>
            <w:right w:val="none" w:sz="0" w:space="0" w:color="auto"/>
          </w:divBdr>
        </w:div>
        <w:div w:id="1079139280">
          <w:marLeft w:val="302"/>
          <w:marRight w:val="0"/>
          <w:marTop w:val="0"/>
          <w:marBottom w:val="0"/>
          <w:divBdr>
            <w:top w:val="none" w:sz="0" w:space="0" w:color="auto"/>
            <w:left w:val="none" w:sz="0" w:space="0" w:color="auto"/>
            <w:bottom w:val="none" w:sz="0" w:space="0" w:color="auto"/>
            <w:right w:val="none" w:sz="0" w:space="0" w:color="auto"/>
          </w:divBdr>
        </w:div>
        <w:div w:id="1341664137">
          <w:marLeft w:val="302"/>
          <w:marRight w:val="0"/>
          <w:marTop w:val="0"/>
          <w:marBottom w:val="0"/>
          <w:divBdr>
            <w:top w:val="none" w:sz="0" w:space="0" w:color="auto"/>
            <w:left w:val="none" w:sz="0" w:space="0" w:color="auto"/>
            <w:bottom w:val="none" w:sz="0" w:space="0" w:color="auto"/>
            <w:right w:val="none" w:sz="0" w:space="0" w:color="auto"/>
          </w:divBdr>
        </w:div>
        <w:div w:id="1671444634">
          <w:marLeft w:val="936"/>
          <w:marRight w:val="0"/>
          <w:marTop w:val="0"/>
          <w:marBottom w:val="0"/>
          <w:divBdr>
            <w:top w:val="none" w:sz="0" w:space="0" w:color="auto"/>
            <w:left w:val="none" w:sz="0" w:space="0" w:color="auto"/>
            <w:bottom w:val="none" w:sz="0" w:space="0" w:color="auto"/>
            <w:right w:val="none" w:sz="0" w:space="0" w:color="auto"/>
          </w:divBdr>
        </w:div>
        <w:div w:id="1712340180">
          <w:marLeft w:val="936"/>
          <w:marRight w:val="0"/>
          <w:marTop w:val="0"/>
          <w:marBottom w:val="0"/>
          <w:divBdr>
            <w:top w:val="none" w:sz="0" w:space="0" w:color="auto"/>
            <w:left w:val="none" w:sz="0" w:space="0" w:color="auto"/>
            <w:bottom w:val="none" w:sz="0" w:space="0" w:color="auto"/>
            <w:right w:val="none" w:sz="0" w:space="0" w:color="auto"/>
          </w:divBdr>
        </w:div>
        <w:div w:id="2023315102">
          <w:marLeft w:val="302"/>
          <w:marRight w:val="0"/>
          <w:marTop w:val="0"/>
          <w:marBottom w:val="0"/>
          <w:divBdr>
            <w:top w:val="none" w:sz="0" w:space="0" w:color="auto"/>
            <w:left w:val="none" w:sz="0" w:space="0" w:color="auto"/>
            <w:bottom w:val="none" w:sz="0" w:space="0" w:color="auto"/>
            <w:right w:val="none" w:sz="0" w:space="0" w:color="auto"/>
          </w:divBdr>
        </w:div>
      </w:divsChild>
    </w:div>
    <w:div w:id="1012562216">
      <w:bodyDiv w:val="1"/>
      <w:marLeft w:val="0"/>
      <w:marRight w:val="0"/>
      <w:marTop w:val="0"/>
      <w:marBottom w:val="0"/>
      <w:divBdr>
        <w:top w:val="none" w:sz="0" w:space="0" w:color="auto"/>
        <w:left w:val="none" w:sz="0" w:space="0" w:color="auto"/>
        <w:bottom w:val="none" w:sz="0" w:space="0" w:color="auto"/>
        <w:right w:val="none" w:sz="0" w:space="0" w:color="auto"/>
      </w:divBdr>
    </w:div>
    <w:div w:id="1013728630">
      <w:bodyDiv w:val="1"/>
      <w:marLeft w:val="0"/>
      <w:marRight w:val="0"/>
      <w:marTop w:val="0"/>
      <w:marBottom w:val="0"/>
      <w:divBdr>
        <w:top w:val="none" w:sz="0" w:space="0" w:color="auto"/>
        <w:left w:val="none" w:sz="0" w:space="0" w:color="auto"/>
        <w:bottom w:val="none" w:sz="0" w:space="0" w:color="auto"/>
        <w:right w:val="none" w:sz="0" w:space="0" w:color="auto"/>
      </w:divBdr>
    </w:div>
    <w:div w:id="1019627974">
      <w:bodyDiv w:val="1"/>
      <w:marLeft w:val="0"/>
      <w:marRight w:val="0"/>
      <w:marTop w:val="0"/>
      <w:marBottom w:val="0"/>
      <w:divBdr>
        <w:top w:val="none" w:sz="0" w:space="0" w:color="auto"/>
        <w:left w:val="none" w:sz="0" w:space="0" w:color="auto"/>
        <w:bottom w:val="none" w:sz="0" w:space="0" w:color="auto"/>
        <w:right w:val="none" w:sz="0" w:space="0" w:color="auto"/>
      </w:divBdr>
      <w:divsChild>
        <w:div w:id="658535954">
          <w:marLeft w:val="302"/>
          <w:marRight w:val="0"/>
          <w:marTop w:val="0"/>
          <w:marBottom w:val="0"/>
          <w:divBdr>
            <w:top w:val="none" w:sz="0" w:space="0" w:color="auto"/>
            <w:left w:val="none" w:sz="0" w:space="0" w:color="auto"/>
            <w:bottom w:val="none" w:sz="0" w:space="0" w:color="auto"/>
            <w:right w:val="none" w:sz="0" w:space="0" w:color="auto"/>
          </w:divBdr>
        </w:div>
      </w:divsChild>
    </w:div>
    <w:div w:id="1030883036">
      <w:bodyDiv w:val="1"/>
      <w:marLeft w:val="0"/>
      <w:marRight w:val="0"/>
      <w:marTop w:val="0"/>
      <w:marBottom w:val="0"/>
      <w:divBdr>
        <w:top w:val="none" w:sz="0" w:space="0" w:color="auto"/>
        <w:left w:val="none" w:sz="0" w:space="0" w:color="auto"/>
        <w:bottom w:val="none" w:sz="0" w:space="0" w:color="auto"/>
        <w:right w:val="none" w:sz="0" w:space="0" w:color="auto"/>
      </w:divBdr>
      <w:divsChild>
        <w:div w:id="1176306339">
          <w:marLeft w:val="0"/>
          <w:marRight w:val="0"/>
          <w:marTop w:val="120"/>
          <w:marBottom w:val="60"/>
          <w:divBdr>
            <w:top w:val="none" w:sz="0" w:space="0" w:color="auto"/>
            <w:left w:val="none" w:sz="0" w:space="0" w:color="auto"/>
            <w:bottom w:val="none" w:sz="0" w:space="0" w:color="auto"/>
            <w:right w:val="none" w:sz="0" w:space="0" w:color="auto"/>
          </w:divBdr>
        </w:div>
      </w:divsChild>
    </w:div>
    <w:div w:id="1038043016">
      <w:bodyDiv w:val="1"/>
      <w:marLeft w:val="0"/>
      <w:marRight w:val="0"/>
      <w:marTop w:val="0"/>
      <w:marBottom w:val="0"/>
      <w:divBdr>
        <w:top w:val="none" w:sz="0" w:space="0" w:color="auto"/>
        <w:left w:val="none" w:sz="0" w:space="0" w:color="auto"/>
        <w:bottom w:val="none" w:sz="0" w:space="0" w:color="auto"/>
        <w:right w:val="none" w:sz="0" w:space="0" w:color="auto"/>
      </w:divBdr>
    </w:div>
    <w:div w:id="1040087159">
      <w:bodyDiv w:val="1"/>
      <w:marLeft w:val="0"/>
      <w:marRight w:val="0"/>
      <w:marTop w:val="0"/>
      <w:marBottom w:val="0"/>
      <w:divBdr>
        <w:top w:val="none" w:sz="0" w:space="0" w:color="auto"/>
        <w:left w:val="none" w:sz="0" w:space="0" w:color="auto"/>
        <w:bottom w:val="none" w:sz="0" w:space="0" w:color="auto"/>
        <w:right w:val="none" w:sz="0" w:space="0" w:color="auto"/>
      </w:divBdr>
      <w:divsChild>
        <w:div w:id="366294505">
          <w:marLeft w:val="619"/>
          <w:marRight w:val="0"/>
          <w:marTop w:val="0"/>
          <w:marBottom w:val="0"/>
          <w:divBdr>
            <w:top w:val="none" w:sz="0" w:space="0" w:color="auto"/>
            <w:left w:val="none" w:sz="0" w:space="0" w:color="auto"/>
            <w:bottom w:val="none" w:sz="0" w:space="0" w:color="auto"/>
            <w:right w:val="none" w:sz="0" w:space="0" w:color="auto"/>
          </w:divBdr>
        </w:div>
        <w:div w:id="655457317">
          <w:marLeft w:val="302"/>
          <w:marRight w:val="0"/>
          <w:marTop w:val="0"/>
          <w:marBottom w:val="0"/>
          <w:divBdr>
            <w:top w:val="none" w:sz="0" w:space="0" w:color="auto"/>
            <w:left w:val="none" w:sz="0" w:space="0" w:color="auto"/>
            <w:bottom w:val="none" w:sz="0" w:space="0" w:color="auto"/>
            <w:right w:val="none" w:sz="0" w:space="0" w:color="auto"/>
          </w:divBdr>
        </w:div>
        <w:div w:id="877397438">
          <w:marLeft w:val="302"/>
          <w:marRight w:val="0"/>
          <w:marTop w:val="0"/>
          <w:marBottom w:val="0"/>
          <w:divBdr>
            <w:top w:val="none" w:sz="0" w:space="0" w:color="auto"/>
            <w:left w:val="none" w:sz="0" w:space="0" w:color="auto"/>
            <w:bottom w:val="none" w:sz="0" w:space="0" w:color="auto"/>
            <w:right w:val="none" w:sz="0" w:space="0" w:color="auto"/>
          </w:divBdr>
        </w:div>
        <w:div w:id="1335762954">
          <w:marLeft w:val="619"/>
          <w:marRight w:val="0"/>
          <w:marTop w:val="0"/>
          <w:marBottom w:val="0"/>
          <w:divBdr>
            <w:top w:val="none" w:sz="0" w:space="0" w:color="auto"/>
            <w:left w:val="none" w:sz="0" w:space="0" w:color="auto"/>
            <w:bottom w:val="none" w:sz="0" w:space="0" w:color="auto"/>
            <w:right w:val="none" w:sz="0" w:space="0" w:color="auto"/>
          </w:divBdr>
        </w:div>
        <w:div w:id="1410497303">
          <w:marLeft w:val="619"/>
          <w:marRight w:val="0"/>
          <w:marTop w:val="0"/>
          <w:marBottom w:val="0"/>
          <w:divBdr>
            <w:top w:val="none" w:sz="0" w:space="0" w:color="auto"/>
            <w:left w:val="none" w:sz="0" w:space="0" w:color="auto"/>
            <w:bottom w:val="none" w:sz="0" w:space="0" w:color="auto"/>
            <w:right w:val="none" w:sz="0" w:space="0" w:color="auto"/>
          </w:divBdr>
        </w:div>
        <w:div w:id="2047099751">
          <w:marLeft w:val="302"/>
          <w:marRight w:val="0"/>
          <w:marTop w:val="0"/>
          <w:marBottom w:val="0"/>
          <w:divBdr>
            <w:top w:val="none" w:sz="0" w:space="0" w:color="auto"/>
            <w:left w:val="none" w:sz="0" w:space="0" w:color="auto"/>
            <w:bottom w:val="none" w:sz="0" w:space="0" w:color="auto"/>
            <w:right w:val="none" w:sz="0" w:space="0" w:color="auto"/>
          </w:divBdr>
        </w:div>
      </w:divsChild>
    </w:div>
    <w:div w:id="1040399197">
      <w:bodyDiv w:val="1"/>
      <w:marLeft w:val="0"/>
      <w:marRight w:val="0"/>
      <w:marTop w:val="0"/>
      <w:marBottom w:val="0"/>
      <w:divBdr>
        <w:top w:val="none" w:sz="0" w:space="0" w:color="auto"/>
        <w:left w:val="none" w:sz="0" w:space="0" w:color="auto"/>
        <w:bottom w:val="none" w:sz="0" w:space="0" w:color="auto"/>
        <w:right w:val="none" w:sz="0" w:space="0" w:color="auto"/>
      </w:divBdr>
      <w:divsChild>
        <w:div w:id="257911503">
          <w:marLeft w:val="274"/>
          <w:marRight w:val="0"/>
          <w:marTop w:val="0"/>
          <w:marBottom w:val="60"/>
          <w:divBdr>
            <w:top w:val="none" w:sz="0" w:space="0" w:color="auto"/>
            <w:left w:val="none" w:sz="0" w:space="0" w:color="auto"/>
            <w:bottom w:val="none" w:sz="0" w:space="0" w:color="auto"/>
            <w:right w:val="none" w:sz="0" w:space="0" w:color="auto"/>
          </w:divBdr>
        </w:div>
        <w:div w:id="410008547">
          <w:marLeft w:val="274"/>
          <w:marRight w:val="0"/>
          <w:marTop w:val="0"/>
          <w:marBottom w:val="60"/>
          <w:divBdr>
            <w:top w:val="none" w:sz="0" w:space="0" w:color="auto"/>
            <w:left w:val="none" w:sz="0" w:space="0" w:color="auto"/>
            <w:bottom w:val="none" w:sz="0" w:space="0" w:color="auto"/>
            <w:right w:val="none" w:sz="0" w:space="0" w:color="auto"/>
          </w:divBdr>
        </w:div>
        <w:div w:id="1858496863">
          <w:marLeft w:val="0"/>
          <w:marRight w:val="0"/>
          <w:marTop w:val="120"/>
          <w:marBottom w:val="60"/>
          <w:divBdr>
            <w:top w:val="none" w:sz="0" w:space="0" w:color="auto"/>
            <w:left w:val="none" w:sz="0" w:space="0" w:color="auto"/>
            <w:bottom w:val="none" w:sz="0" w:space="0" w:color="auto"/>
            <w:right w:val="none" w:sz="0" w:space="0" w:color="auto"/>
          </w:divBdr>
        </w:div>
      </w:divsChild>
    </w:div>
    <w:div w:id="1042443034">
      <w:bodyDiv w:val="1"/>
      <w:marLeft w:val="0"/>
      <w:marRight w:val="0"/>
      <w:marTop w:val="0"/>
      <w:marBottom w:val="0"/>
      <w:divBdr>
        <w:top w:val="none" w:sz="0" w:space="0" w:color="auto"/>
        <w:left w:val="none" w:sz="0" w:space="0" w:color="auto"/>
        <w:bottom w:val="none" w:sz="0" w:space="0" w:color="auto"/>
        <w:right w:val="none" w:sz="0" w:space="0" w:color="auto"/>
      </w:divBdr>
      <w:divsChild>
        <w:div w:id="174082392">
          <w:marLeft w:val="288"/>
          <w:marRight w:val="0"/>
          <w:marTop w:val="0"/>
          <w:marBottom w:val="120"/>
          <w:divBdr>
            <w:top w:val="none" w:sz="0" w:space="0" w:color="auto"/>
            <w:left w:val="none" w:sz="0" w:space="0" w:color="auto"/>
            <w:bottom w:val="none" w:sz="0" w:space="0" w:color="auto"/>
            <w:right w:val="none" w:sz="0" w:space="0" w:color="auto"/>
          </w:divBdr>
        </w:div>
        <w:div w:id="673458254">
          <w:marLeft w:val="288"/>
          <w:marRight w:val="0"/>
          <w:marTop w:val="0"/>
          <w:marBottom w:val="120"/>
          <w:divBdr>
            <w:top w:val="none" w:sz="0" w:space="0" w:color="auto"/>
            <w:left w:val="none" w:sz="0" w:space="0" w:color="auto"/>
            <w:bottom w:val="none" w:sz="0" w:space="0" w:color="auto"/>
            <w:right w:val="none" w:sz="0" w:space="0" w:color="auto"/>
          </w:divBdr>
        </w:div>
        <w:div w:id="860582656">
          <w:marLeft w:val="288"/>
          <w:marRight w:val="0"/>
          <w:marTop w:val="0"/>
          <w:marBottom w:val="120"/>
          <w:divBdr>
            <w:top w:val="none" w:sz="0" w:space="0" w:color="auto"/>
            <w:left w:val="none" w:sz="0" w:space="0" w:color="auto"/>
            <w:bottom w:val="none" w:sz="0" w:space="0" w:color="auto"/>
            <w:right w:val="none" w:sz="0" w:space="0" w:color="auto"/>
          </w:divBdr>
        </w:div>
        <w:div w:id="1035158151">
          <w:marLeft w:val="288"/>
          <w:marRight w:val="0"/>
          <w:marTop w:val="0"/>
          <w:marBottom w:val="120"/>
          <w:divBdr>
            <w:top w:val="none" w:sz="0" w:space="0" w:color="auto"/>
            <w:left w:val="none" w:sz="0" w:space="0" w:color="auto"/>
            <w:bottom w:val="none" w:sz="0" w:space="0" w:color="auto"/>
            <w:right w:val="none" w:sz="0" w:space="0" w:color="auto"/>
          </w:divBdr>
        </w:div>
        <w:div w:id="1341815992">
          <w:marLeft w:val="288"/>
          <w:marRight w:val="0"/>
          <w:marTop w:val="0"/>
          <w:marBottom w:val="120"/>
          <w:divBdr>
            <w:top w:val="none" w:sz="0" w:space="0" w:color="auto"/>
            <w:left w:val="none" w:sz="0" w:space="0" w:color="auto"/>
            <w:bottom w:val="none" w:sz="0" w:space="0" w:color="auto"/>
            <w:right w:val="none" w:sz="0" w:space="0" w:color="auto"/>
          </w:divBdr>
        </w:div>
        <w:div w:id="1717312933">
          <w:marLeft w:val="288"/>
          <w:marRight w:val="0"/>
          <w:marTop w:val="0"/>
          <w:marBottom w:val="120"/>
          <w:divBdr>
            <w:top w:val="none" w:sz="0" w:space="0" w:color="auto"/>
            <w:left w:val="none" w:sz="0" w:space="0" w:color="auto"/>
            <w:bottom w:val="none" w:sz="0" w:space="0" w:color="auto"/>
            <w:right w:val="none" w:sz="0" w:space="0" w:color="auto"/>
          </w:divBdr>
        </w:div>
        <w:div w:id="1799520241">
          <w:marLeft w:val="288"/>
          <w:marRight w:val="0"/>
          <w:marTop w:val="0"/>
          <w:marBottom w:val="120"/>
          <w:divBdr>
            <w:top w:val="none" w:sz="0" w:space="0" w:color="auto"/>
            <w:left w:val="none" w:sz="0" w:space="0" w:color="auto"/>
            <w:bottom w:val="none" w:sz="0" w:space="0" w:color="auto"/>
            <w:right w:val="none" w:sz="0" w:space="0" w:color="auto"/>
          </w:divBdr>
        </w:div>
        <w:div w:id="1933202198">
          <w:marLeft w:val="288"/>
          <w:marRight w:val="0"/>
          <w:marTop w:val="0"/>
          <w:marBottom w:val="120"/>
          <w:divBdr>
            <w:top w:val="none" w:sz="0" w:space="0" w:color="auto"/>
            <w:left w:val="none" w:sz="0" w:space="0" w:color="auto"/>
            <w:bottom w:val="none" w:sz="0" w:space="0" w:color="auto"/>
            <w:right w:val="none" w:sz="0" w:space="0" w:color="auto"/>
          </w:divBdr>
        </w:div>
        <w:div w:id="1996952377">
          <w:marLeft w:val="288"/>
          <w:marRight w:val="0"/>
          <w:marTop w:val="0"/>
          <w:marBottom w:val="120"/>
          <w:divBdr>
            <w:top w:val="none" w:sz="0" w:space="0" w:color="auto"/>
            <w:left w:val="none" w:sz="0" w:space="0" w:color="auto"/>
            <w:bottom w:val="none" w:sz="0" w:space="0" w:color="auto"/>
            <w:right w:val="none" w:sz="0" w:space="0" w:color="auto"/>
          </w:divBdr>
        </w:div>
      </w:divsChild>
    </w:div>
    <w:div w:id="1044523903">
      <w:bodyDiv w:val="1"/>
      <w:marLeft w:val="0"/>
      <w:marRight w:val="0"/>
      <w:marTop w:val="0"/>
      <w:marBottom w:val="0"/>
      <w:divBdr>
        <w:top w:val="none" w:sz="0" w:space="0" w:color="auto"/>
        <w:left w:val="none" w:sz="0" w:space="0" w:color="auto"/>
        <w:bottom w:val="none" w:sz="0" w:space="0" w:color="auto"/>
        <w:right w:val="none" w:sz="0" w:space="0" w:color="auto"/>
      </w:divBdr>
    </w:div>
    <w:div w:id="1055272246">
      <w:bodyDiv w:val="1"/>
      <w:marLeft w:val="0"/>
      <w:marRight w:val="0"/>
      <w:marTop w:val="0"/>
      <w:marBottom w:val="0"/>
      <w:divBdr>
        <w:top w:val="none" w:sz="0" w:space="0" w:color="auto"/>
        <w:left w:val="none" w:sz="0" w:space="0" w:color="auto"/>
        <w:bottom w:val="none" w:sz="0" w:space="0" w:color="auto"/>
        <w:right w:val="none" w:sz="0" w:space="0" w:color="auto"/>
      </w:divBdr>
    </w:div>
    <w:div w:id="1056048612">
      <w:bodyDiv w:val="1"/>
      <w:marLeft w:val="0"/>
      <w:marRight w:val="0"/>
      <w:marTop w:val="0"/>
      <w:marBottom w:val="0"/>
      <w:divBdr>
        <w:top w:val="none" w:sz="0" w:space="0" w:color="auto"/>
        <w:left w:val="none" w:sz="0" w:space="0" w:color="auto"/>
        <w:bottom w:val="none" w:sz="0" w:space="0" w:color="auto"/>
        <w:right w:val="none" w:sz="0" w:space="0" w:color="auto"/>
      </w:divBdr>
      <w:divsChild>
        <w:div w:id="59059228">
          <w:marLeft w:val="1037"/>
          <w:marRight w:val="0"/>
          <w:marTop w:val="0"/>
          <w:marBottom w:val="0"/>
          <w:divBdr>
            <w:top w:val="none" w:sz="0" w:space="0" w:color="auto"/>
            <w:left w:val="none" w:sz="0" w:space="0" w:color="auto"/>
            <w:bottom w:val="none" w:sz="0" w:space="0" w:color="auto"/>
            <w:right w:val="none" w:sz="0" w:space="0" w:color="auto"/>
          </w:divBdr>
        </w:div>
        <w:div w:id="92625982">
          <w:marLeft w:val="1037"/>
          <w:marRight w:val="0"/>
          <w:marTop w:val="0"/>
          <w:marBottom w:val="0"/>
          <w:divBdr>
            <w:top w:val="none" w:sz="0" w:space="0" w:color="auto"/>
            <w:left w:val="none" w:sz="0" w:space="0" w:color="auto"/>
            <w:bottom w:val="none" w:sz="0" w:space="0" w:color="auto"/>
            <w:right w:val="none" w:sz="0" w:space="0" w:color="auto"/>
          </w:divBdr>
        </w:div>
        <w:div w:id="604732021">
          <w:marLeft w:val="432"/>
          <w:marRight w:val="0"/>
          <w:marTop w:val="0"/>
          <w:marBottom w:val="0"/>
          <w:divBdr>
            <w:top w:val="none" w:sz="0" w:space="0" w:color="auto"/>
            <w:left w:val="none" w:sz="0" w:space="0" w:color="auto"/>
            <w:bottom w:val="none" w:sz="0" w:space="0" w:color="auto"/>
            <w:right w:val="none" w:sz="0" w:space="0" w:color="auto"/>
          </w:divBdr>
        </w:div>
        <w:div w:id="805661661">
          <w:marLeft w:val="1037"/>
          <w:marRight w:val="0"/>
          <w:marTop w:val="0"/>
          <w:marBottom w:val="0"/>
          <w:divBdr>
            <w:top w:val="none" w:sz="0" w:space="0" w:color="auto"/>
            <w:left w:val="none" w:sz="0" w:space="0" w:color="auto"/>
            <w:bottom w:val="none" w:sz="0" w:space="0" w:color="auto"/>
            <w:right w:val="none" w:sz="0" w:space="0" w:color="auto"/>
          </w:divBdr>
        </w:div>
        <w:div w:id="1524594304">
          <w:marLeft w:val="432"/>
          <w:marRight w:val="0"/>
          <w:marTop w:val="0"/>
          <w:marBottom w:val="0"/>
          <w:divBdr>
            <w:top w:val="none" w:sz="0" w:space="0" w:color="auto"/>
            <w:left w:val="none" w:sz="0" w:space="0" w:color="auto"/>
            <w:bottom w:val="none" w:sz="0" w:space="0" w:color="auto"/>
            <w:right w:val="none" w:sz="0" w:space="0" w:color="auto"/>
          </w:divBdr>
        </w:div>
        <w:div w:id="1723941984">
          <w:marLeft w:val="432"/>
          <w:marRight w:val="0"/>
          <w:marTop w:val="0"/>
          <w:marBottom w:val="0"/>
          <w:divBdr>
            <w:top w:val="none" w:sz="0" w:space="0" w:color="auto"/>
            <w:left w:val="none" w:sz="0" w:space="0" w:color="auto"/>
            <w:bottom w:val="none" w:sz="0" w:space="0" w:color="auto"/>
            <w:right w:val="none" w:sz="0" w:space="0" w:color="auto"/>
          </w:divBdr>
        </w:div>
      </w:divsChild>
    </w:div>
    <w:div w:id="1062871515">
      <w:bodyDiv w:val="1"/>
      <w:marLeft w:val="0"/>
      <w:marRight w:val="0"/>
      <w:marTop w:val="0"/>
      <w:marBottom w:val="0"/>
      <w:divBdr>
        <w:top w:val="none" w:sz="0" w:space="0" w:color="auto"/>
        <w:left w:val="none" w:sz="0" w:space="0" w:color="auto"/>
        <w:bottom w:val="none" w:sz="0" w:space="0" w:color="auto"/>
        <w:right w:val="none" w:sz="0" w:space="0" w:color="auto"/>
      </w:divBdr>
    </w:div>
    <w:div w:id="1063025644">
      <w:bodyDiv w:val="1"/>
      <w:marLeft w:val="0"/>
      <w:marRight w:val="0"/>
      <w:marTop w:val="0"/>
      <w:marBottom w:val="0"/>
      <w:divBdr>
        <w:top w:val="none" w:sz="0" w:space="0" w:color="auto"/>
        <w:left w:val="none" w:sz="0" w:space="0" w:color="auto"/>
        <w:bottom w:val="none" w:sz="0" w:space="0" w:color="auto"/>
        <w:right w:val="none" w:sz="0" w:space="0" w:color="auto"/>
      </w:divBdr>
    </w:div>
    <w:div w:id="1065448472">
      <w:bodyDiv w:val="1"/>
      <w:marLeft w:val="0"/>
      <w:marRight w:val="0"/>
      <w:marTop w:val="0"/>
      <w:marBottom w:val="0"/>
      <w:divBdr>
        <w:top w:val="none" w:sz="0" w:space="0" w:color="auto"/>
        <w:left w:val="none" w:sz="0" w:space="0" w:color="auto"/>
        <w:bottom w:val="none" w:sz="0" w:space="0" w:color="auto"/>
        <w:right w:val="none" w:sz="0" w:space="0" w:color="auto"/>
      </w:divBdr>
      <w:divsChild>
        <w:div w:id="1077945361">
          <w:marLeft w:val="302"/>
          <w:marRight w:val="0"/>
          <w:marTop w:val="0"/>
          <w:marBottom w:val="0"/>
          <w:divBdr>
            <w:top w:val="none" w:sz="0" w:space="0" w:color="auto"/>
            <w:left w:val="none" w:sz="0" w:space="0" w:color="auto"/>
            <w:bottom w:val="none" w:sz="0" w:space="0" w:color="auto"/>
            <w:right w:val="none" w:sz="0" w:space="0" w:color="auto"/>
          </w:divBdr>
        </w:div>
      </w:divsChild>
    </w:div>
    <w:div w:id="1076902115">
      <w:bodyDiv w:val="1"/>
      <w:marLeft w:val="0"/>
      <w:marRight w:val="0"/>
      <w:marTop w:val="0"/>
      <w:marBottom w:val="0"/>
      <w:divBdr>
        <w:top w:val="none" w:sz="0" w:space="0" w:color="auto"/>
        <w:left w:val="none" w:sz="0" w:space="0" w:color="auto"/>
        <w:bottom w:val="none" w:sz="0" w:space="0" w:color="auto"/>
        <w:right w:val="none" w:sz="0" w:space="0" w:color="auto"/>
      </w:divBdr>
      <w:divsChild>
        <w:div w:id="683090224">
          <w:marLeft w:val="0"/>
          <w:marRight w:val="0"/>
          <w:marTop w:val="0"/>
          <w:marBottom w:val="0"/>
          <w:divBdr>
            <w:top w:val="none" w:sz="0" w:space="0" w:color="auto"/>
            <w:left w:val="none" w:sz="0" w:space="0" w:color="auto"/>
            <w:bottom w:val="none" w:sz="0" w:space="0" w:color="auto"/>
            <w:right w:val="none" w:sz="0" w:space="0" w:color="auto"/>
          </w:divBdr>
        </w:div>
        <w:div w:id="1790120437">
          <w:marLeft w:val="0"/>
          <w:marRight w:val="0"/>
          <w:marTop w:val="0"/>
          <w:marBottom w:val="0"/>
          <w:divBdr>
            <w:top w:val="none" w:sz="0" w:space="0" w:color="auto"/>
            <w:left w:val="none" w:sz="0" w:space="0" w:color="auto"/>
            <w:bottom w:val="none" w:sz="0" w:space="0" w:color="auto"/>
            <w:right w:val="none" w:sz="0" w:space="0" w:color="auto"/>
          </w:divBdr>
        </w:div>
        <w:div w:id="1923176929">
          <w:marLeft w:val="0"/>
          <w:marRight w:val="0"/>
          <w:marTop w:val="0"/>
          <w:marBottom w:val="0"/>
          <w:divBdr>
            <w:top w:val="none" w:sz="0" w:space="0" w:color="auto"/>
            <w:left w:val="none" w:sz="0" w:space="0" w:color="auto"/>
            <w:bottom w:val="none" w:sz="0" w:space="0" w:color="auto"/>
            <w:right w:val="none" w:sz="0" w:space="0" w:color="auto"/>
          </w:divBdr>
        </w:div>
      </w:divsChild>
    </w:div>
    <w:div w:id="1088692662">
      <w:bodyDiv w:val="1"/>
      <w:marLeft w:val="0"/>
      <w:marRight w:val="0"/>
      <w:marTop w:val="0"/>
      <w:marBottom w:val="0"/>
      <w:divBdr>
        <w:top w:val="none" w:sz="0" w:space="0" w:color="auto"/>
        <w:left w:val="none" w:sz="0" w:space="0" w:color="auto"/>
        <w:bottom w:val="none" w:sz="0" w:space="0" w:color="auto"/>
        <w:right w:val="none" w:sz="0" w:space="0" w:color="auto"/>
      </w:divBdr>
    </w:div>
    <w:div w:id="1101804237">
      <w:bodyDiv w:val="1"/>
      <w:marLeft w:val="0"/>
      <w:marRight w:val="0"/>
      <w:marTop w:val="0"/>
      <w:marBottom w:val="0"/>
      <w:divBdr>
        <w:top w:val="none" w:sz="0" w:space="0" w:color="auto"/>
        <w:left w:val="none" w:sz="0" w:space="0" w:color="auto"/>
        <w:bottom w:val="none" w:sz="0" w:space="0" w:color="auto"/>
        <w:right w:val="none" w:sz="0" w:space="0" w:color="auto"/>
      </w:divBdr>
    </w:div>
    <w:div w:id="1108425213">
      <w:bodyDiv w:val="1"/>
      <w:marLeft w:val="0"/>
      <w:marRight w:val="0"/>
      <w:marTop w:val="0"/>
      <w:marBottom w:val="0"/>
      <w:divBdr>
        <w:top w:val="none" w:sz="0" w:space="0" w:color="auto"/>
        <w:left w:val="none" w:sz="0" w:space="0" w:color="auto"/>
        <w:bottom w:val="none" w:sz="0" w:space="0" w:color="auto"/>
        <w:right w:val="none" w:sz="0" w:space="0" w:color="auto"/>
      </w:divBdr>
    </w:div>
    <w:div w:id="1110322206">
      <w:bodyDiv w:val="1"/>
      <w:marLeft w:val="0"/>
      <w:marRight w:val="0"/>
      <w:marTop w:val="0"/>
      <w:marBottom w:val="0"/>
      <w:divBdr>
        <w:top w:val="none" w:sz="0" w:space="0" w:color="auto"/>
        <w:left w:val="none" w:sz="0" w:space="0" w:color="auto"/>
        <w:bottom w:val="none" w:sz="0" w:space="0" w:color="auto"/>
        <w:right w:val="none" w:sz="0" w:space="0" w:color="auto"/>
      </w:divBdr>
      <w:divsChild>
        <w:div w:id="4596256">
          <w:marLeft w:val="763"/>
          <w:marRight w:val="0"/>
          <w:marTop w:val="0"/>
          <w:marBottom w:val="0"/>
          <w:divBdr>
            <w:top w:val="none" w:sz="0" w:space="0" w:color="auto"/>
            <w:left w:val="none" w:sz="0" w:space="0" w:color="auto"/>
            <w:bottom w:val="none" w:sz="0" w:space="0" w:color="auto"/>
            <w:right w:val="none" w:sz="0" w:space="0" w:color="auto"/>
          </w:divBdr>
        </w:div>
        <w:div w:id="463429972">
          <w:marLeft w:val="763"/>
          <w:marRight w:val="0"/>
          <w:marTop w:val="0"/>
          <w:marBottom w:val="0"/>
          <w:divBdr>
            <w:top w:val="none" w:sz="0" w:space="0" w:color="auto"/>
            <w:left w:val="none" w:sz="0" w:space="0" w:color="auto"/>
            <w:bottom w:val="none" w:sz="0" w:space="0" w:color="auto"/>
            <w:right w:val="none" w:sz="0" w:space="0" w:color="auto"/>
          </w:divBdr>
        </w:div>
        <w:div w:id="1055354764">
          <w:marLeft w:val="763"/>
          <w:marRight w:val="0"/>
          <w:marTop w:val="0"/>
          <w:marBottom w:val="0"/>
          <w:divBdr>
            <w:top w:val="none" w:sz="0" w:space="0" w:color="auto"/>
            <w:left w:val="none" w:sz="0" w:space="0" w:color="auto"/>
            <w:bottom w:val="none" w:sz="0" w:space="0" w:color="auto"/>
            <w:right w:val="none" w:sz="0" w:space="0" w:color="auto"/>
          </w:divBdr>
        </w:div>
        <w:div w:id="1760177836">
          <w:marLeft w:val="763"/>
          <w:marRight w:val="0"/>
          <w:marTop w:val="0"/>
          <w:marBottom w:val="0"/>
          <w:divBdr>
            <w:top w:val="none" w:sz="0" w:space="0" w:color="auto"/>
            <w:left w:val="none" w:sz="0" w:space="0" w:color="auto"/>
            <w:bottom w:val="none" w:sz="0" w:space="0" w:color="auto"/>
            <w:right w:val="none" w:sz="0" w:space="0" w:color="auto"/>
          </w:divBdr>
        </w:div>
        <w:div w:id="1886212845">
          <w:marLeft w:val="763"/>
          <w:marRight w:val="0"/>
          <w:marTop w:val="0"/>
          <w:marBottom w:val="0"/>
          <w:divBdr>
            <w:top w:val="none" w:sz="0" w:space="0" w:color="auto"/>
            <w:left w:val="none" w:sz="0" w:space="0" w:color="auto"/>
            <w:bottom w:val="none" w:sz="0" w:space="0" w:color="auto"/>
            <w:right w:val="none" w:sz="0" w:space="0" w:color="auto"/>
          </w:divBdr>
        </w:div>
        <w:div w:id="1947275791">
          <w:marLeft w:val="763"/>
          <w:marRight w:val="0"/>
          <w:marTop w:val="0"/>
          <w:marBottom w:val="0"/>
          <w:divBdr>
            <w:top w:val="none" w:sz="0" w:space="0" w:color="auto"/>
            <w:left w:val="none" w:sz="0" w:space="0" w:color="auto"/>
            <w:bottom w:val="none" w:sz="0" w:space="0" w:color="auto"/>
            <w:right w:val="none" w:sz="0" w:space="0" w:color="auto"/>
          </w:divBdr>
        </w:div>
      </w:divsChild>
    </w:div>
    <w:div w:id="1114208438">
      <w:bodyDiv w:val="1"/>
      <w:marLeft w:val="0"/>
      <w:marRight w:val="0"/>
      <w:marTop w:val="0"/>
      <w:marBottom w:val="0"/>
      <w:divBdr>
        <w:top w:val="none" w:sz="0" w:space="0" w:color="auto"/>
        <w:left w:val="none" w:sz="0" w:space="0" w:color="auto"/>
        <w:bottom w:val="none" w:sz="0" w:space="0" w:color="auto"/>
        <w:right w:val="none" w:sz="0" w:space="0" w:color="auto"/>
      </w:divBdr>
    </w:div>
    <w:div w:id="1114249503">
      <w:bodyDiv w:val="1"/>
      <w:marLeft w:val="0"/>
      <w:marRight w:val="0"/>
      <w:marTop w:val="0"/>
      <w:marBottom w:val="0"/>
      <w:divBdr>
        <w:top w:val="none" w:sz="0" w:space="0" w:color="auto"/>
        <w:left w:val="none" w:sz="0" w:space="0" w:color="auto"/>
        <w:bottom w:val="none" w:sz="0" w:space="0" w:color="auto"/>
        <w:right w:val="none" w:sz="0" w:space="0" w:color="auto"/>
      </w:divBdr>
      <w:divsChild>
        <w:div w:id="447705084">
          <w:marLeft w:val="302"/>
          <w:marRight w:val="0"/>
          <w:marTop w:val="0"/>
          <w:marBottom w:val="0"/>
          <w:divBdr>
            <w:top w:val="none" w:sz="0" w:space="0" w:color="auto"/>
            <w:left w:val="none" w:sz="0" w:space="0" w:color="auto"/>
            <w:bottom w:val="none" w:sz="0" w:space="0" w:color="auto"/>
            <w:right w:val="none" w:sz="0" w:space="0" w:color="auto"/>
          </w:divBdr>
        </w:div>
        <w:div w:id="954293950">
          <w:marLeft w:val="302"/>
          <w:marRight w:val="0"/>
          <w:marTop w:val="0"/>
          <w:marBottom w:val="0"/>
          <w:divBdr>
            <w:top w:val="none" w:sz="0" w:space="0" w:color="auto"/>
            <w:left w:val="none" w:sz="0" w:space="0" w:color="auto"/>
            <w:bottom w:val="none" w:sz="0" w:space="0" w:color="auto"/>
            <w:right w:val="none" w:sz="0" w:space="0" w:color="auto"/>
          </w:divBdr>
        </w:div>
        <w:div w:id="1803183698">
          <w:marLeft w:val="302"/>
          <w:marRight w:val="0"/>
          <w:marTop w:val="0"/>
          <w:marBottom w:val="0"/>
          <w:divBdr>
            <w:top w:val="none" w:sz="0" w:space="0" w:color="auto"/>
            <w:left w:val="none" w:sz="0" w:space="0" w:color="auto"/>
            <w:bottom w:val="none" w:sz="0" w:space="0" w:color="auto"/>
            <w:right w:val="none" w:sz="0" w:space="0" w:color="auto"/>
          </w:divBdr>
        </w:div>
      </w:divsChild>
    </w:div>
    <w:div w:id="1122110322">
      <w:bodyDiv w:val="1"/>
      <w:marLeft w:val="0"/>
      <w:marRight w:val="0"/>
      <w:marTop w:val="0"/>
      <w:marBottom w:val="0"/>
      <w:divBdr>
        <w:top w:val="none" w:sz="0" w:space="0" w:color="auto"/>
        <w:left w:val="none" w:sz="0" w:space="0" w:color="auto"/>
        <w:bottom w:val="none" w:sz="0" w:space="0" w:color="auto"/>
        <w:right w:val="none" w:sz="0" w:space="0" w:color="auto"/>
      </w:divBdr>
      <w:divsChild>
        <w:div w:id="921184824">
          <w:marLeft w:val="274"/>
          <w:marRight w:val="0"/>
          <w:marTop w:val="0"/>
          <w:marBottom w:val="20"/>
          <w:divBdr>
            <w:top w:val="none" w:sz="0" w:space="0" w:color="auto"/>
            <w:left w:val="none" w:sz="0" w:space="0" w:color="auto"/>
            <w:bottom w:val="none" w:sz="0" w:space="0" w:color="auto"/>
            <w:right w:val="none" w:sz="0" w:space="0" w:color="auto"/>
          </w:divBdr>
        </w:div>
        <w:div w:id="1877280333">
          <w:marLeft w:val="274"/>
          <w:marRight w:val="0"/>
          <w:marTop w:val="0"/>
          <w:marBottom w:val="20"/>
          <w:divBdr>
            <w:top w:val="none" w:sz="0" w:space="0" w:color="auto"/>
            <w:left w:val="none" w:sz="0" w:space="0" w:color="auto"/>
            <w:bottom w:val="none" w:sz="0" w:space="0" w:color="auto"/>
            <w:right w:val="none" w:sz="0" w:space="0" w:color="auto"/>
          </w:divBdr>
        </w:div>
      </w:divsChild>
    </w:div>
    <w:div w:id="1122580251">
      <w:bodyDiv w:val="1"/>
      <w:marLeft w:val="0"/>
      <w:marRight w:val="0"/>
      <w:marTop w:val="0"/>
      <w:marBottom w:val="0"/>
      <w:divBdr>
        <w:top w:val="none" w:sz="0" w:space="0" w:color="auto"/>
        <w:left w:val="none" w:sz="0" w:space="0" w:color="auto"/>
        <w:bottom w:val="none" w:sz="0" w:space="0" w:color="auto"/>
        <w:right w:val="none" w:sz="0" w:space="0" w:color="auto"/>
      </w:divBdr>
    </w:div>
    <w:div w:id="1135680158">
      <w:bodyDiv w:val="1"/>
      <w:marLeft w:val="0"/>
      <w:marRight w:val="0"/>
      <w:marTop w:val="0"/>
      <w:marBottom w:val="0"/>
      <w:divBdr>
        <w:top w:val="none" w:sz="0" w:space="0" w:color="auto"/>
        <w:left w:val="none" w:sz="0" w:space="0" w:color="auto"/>
        <w:bottom w:val="none" w:sz="0" w:space="0" w:color="auto"/>
        <w:right w:val="none" w:sz="0" w:space="0" w:color="auto"/>
      </w:divBdr>
    </w:div>
    <w:div w:id="1135757373">
      <w:bodyDiv w:val="1"/>
      <w:marLeft w:val="0"/>
      <w:marRight w:val="0"/>
      <w:marTop w:val="0"/>
      <w:marBottom w:val="0"/>
      <w:divBdr>
        <w:top w:val="none" w:sz="0" w:space="0" w:color="auto"/>
        <w:left w:val="none" w:sz="0" w:space="0" w:color="auto"/>
        <w:bottom w:val="none" w:sz="0" w:space="0" w:color="auto"/>
        <w:right w:val="none" w:sz="0" w:space="0" w:color="auto"/>
      </w:divBdr>
      <w:divsChild>
        <w:div w:id="1463960318">
          <w:marLeft w:val="274"/>
          <w:marRight w:val="0"/>
          <w:marTop w:val="0"/>
          <w:marBottom w:val="0"/>
          <w:divBdr>
            <w:top w:val="none" w:sz="0" w:space="0" w:color="auto"/>
            <w:left w:val="none" w:sz="0" w:space="0" w:color="auto"/>
            <w:bottom w:val="none" w:sz="0" w:space="0" w:color="auto"/>
            <w:right w:val="none" w:sz="0" w:space="0" w:color="auto"/>
          </w:divBdr>
        </w:div>
        <w:div w:id="1731809444">
          <w:marLeft w:val="274"/>
          <w:marRight w:val="0"/>
          <w:marTop w:val="0"/>
          <w:marBottom w:val="0"/>
          <w:divBdr>
            <w:top w:val="none" w:sz="0" w:space="0" w:color="auto"/>
            <w:left w:val="none" w:sz="0" w:space="0" w:color="auto"/>
            <w:bottom w:val="none" w:sz="0" w:space="0" w:color="auto"/>
            <w:right w:val="none" w:sz="0" w:space="0" w:color="auto"/>
          </w:divBdr>
        </w:div>
        <w:div w:id="1921670942">
          <w:marLeft w:val="274"/>
          <w:marRight w:val="0"/>
          <w:marTop w:val="0"/>
          <w:marBottom w:val="0"/>
          <w:divBdr>
            <w:top w:val="none" w:sz="0" w:space="0" w:color="auto"/>
            <w:left w:val="none" w:sz="0" w:space="0" w:color="auto"/>
            <w:bottom w:val="none" w:sz="0" w:space="0" w:color="auto"/>
            <w:right w:val="none" w:sz="0" w:space="0" w:color="auto"/>
          </w:divBdr>
        </w:div>
      </w:divsChild>
    </w:div>
    <w:div w:id="1136527035">
      <w:bodyDiv w:val="1"/>
      <w:marLeft w:val="0"/>
      <w:marRight w:val="0"/>
      <w:marTop w:val="0"/>
      <w:marBottom w:val="0"/>
      <w:divBdr>
        <w:top w:val="none" w:sz="0" w:space="0" w:color="auto"/>
        <w:left w:val="none" w:sz="0" w:space="0" w:color="auto"/>
        <w:bottom w:val="none" w:sz="0" w:space="0" w:color="auto"/>
        <w:right w:val="none" w:sz="0" w:space="0" w:color="auto"/>
      </w:divBdr>
    </w:div>
    <w:div w:id="1136683166">
      <w:bodyDiv w:val="1"/>
      <w:marLeft w:val="0"/>
      <w:marRight w:val="0"/>
      <w:marTop w:val="0"/>
      <w:marBottom w:val="0"/>
      <w:divBdr>
        <w:top w:val="none" w:sz="0" w:space="0" w:color="auto"/>
        <w:left w:val="none" w:sz="0" w:space="0" w:color="auto"/>
        <w:bottom w:val="none" w:sz="0" w:space="0" w:color="auto"/>
        <w:right w:val="none" w:sz="0" w:space="0" w:color="auto"/>
      </w:divBdr>
    </w:div>
    <w:div w:id="1138064842">
      <w:bodyDiv w:val="1"/>
      <w:marLeft w:val="0"/>
      <w:marRight w:val="0"/>
      <w:marTop w:val="0"/>
      <w:marBottom w:val="0"/>
      <w:divBdr>
        <w:top w:val="none" w:sz="0" w:space="0" w:color="auto"/>
        <w:left w:val="none" w:sz="0" w:space="0" w:color="auto"/>
        <w:bottom w:val="none" w:sz="0" w:space="0" w:color="auto"/>
        <w:right w:val="none" w:sz="0" w:space="0" w:color="auto"/>
      </w:divBdr>
      <w:divsChild>
        <w:div w:id="213586010">
          <w:marLeft w:val="274"/>
          <w:marRight w:val="0"/>
          <w:marTop w:val="0"/>
          <w:marBottom w:val="0"/>
          <w:divBdr>
            <w:top w:val="none" w:sz="0" w:space="0" w:color="auto"/>
            <w:left w:val="none" w:sz="0" w:space="0" w:color="auto"/>
            <w:bottom w:val="none" w:sz="0" w:space="0" w:color="auto"/>
            <w:right w:val="none" w:sz="0" w:space="0" w:color="auto"/>
          </w:divBdr>
        </w:div>
        <w:div w:id="1048722968">
          <w:marLeft w:val="274"/>
          <w:marRight w:val="0"/>
          <w:marTop w:val="0"/>
          <w:marBottom w:val="0"/>
          <w:divBdr>
            <w:top w:val="none" w:sz="0" w:space="0" w:color="auto"/>
            <w:left w:val="none" w:sz="0" w:space="0" w:color="auto"/>
            <w:bottom w:val="none" w:sz="0" w:space="0" w:color="auto"/>
            <w:right w:val="none" w:sz="0" w:space="0" w:color="auto"/>
          </w:divBdr>
        </w:div>
        <w:div w:id="1511411211">
          <w:marLeft w:val="274"/>
          <w:marRight w:val="0"/>
          <w:marTop w:val="0"/>
          <w:marBottom w:val="0"/>
          <w:divBdr>
            <w:top w:val="none" w:sz="0" w:space="0" w:color="auto"/>
            <w:left w:val="none" w:sz="0" w:space="0" w:color="auto"/>
            <w:bottom w:val="none" w:sz="0" w:space="0" w:color="auto"/>
            <w:right w:val="none" w:sz="0" w:space="0" w:color="auto"/>
          </w:divBdr>
        </w:div>
      </w:divsChild>
    </w:div>
    <w:div w:id="1142885869">
      <w:bodyDiv w:val="1"/>
      <w:marLeft w:val="0"/>
      <w:marRight w:val="0"/>
      <w:marTop w:val="0"/>
      <w:marBottom w:val="0"/>
      <w:divBdr>
        <w:top w:val="none" w:sz="0" w:space="0" w:color="auto"/>
        <w:left w:val="none" w:sz="0" w:space="0" w:color="auto"/>
        <w:bottom w:val="none" w:sz="0" w:space="0" w:color="auto"/>
        <w:right w:val="none" w:sz="0" w:space="0" w:color="auto"/>
      </w:divBdr>
    </w:div>
    <w:div w:id="1146429599">
      <w:bodyDiv w:val="1"/>
      <w:marLeft w:val="0"/>
      <w:marRight w:val="0"/>
      <w:marTop w:val="0"/>
      <w:marBottom w:val="0"/>
      <w:divBdr>
        <w:top w:val="none" w:sz="0" w:space="0" w:color="auto"/>
        <w:left w:val="none" w:sz="0" w:space="0" w:color="auto"/>
        <w:bottom w:val="none" w:sz="0" w:space="0" w:color="auto"/>
        <w:right w:val="none" w:sz="0" w:space="0" w:color="auto"/>
      </w:divBdr>
      <w:divsChild>
        <w:div w:id="1130434593">
          <w:marLeft w:val="619"/>
          <w:marRight w:val="0"/>
          <w:marTop w:val="0"/>
          <w:marBottom w:val="0"/>
          <w:divBdr>
            <w:top w:val="none" w:sz="0" w:space="0" w:color="auto"/>
            <w:left w:val="none" w:sz="0" w:space="0" w:color="auto"/>
            <w:bottom w:val="none" w:sz="0" w:space="0" w:color="auto"/>
            <w:right w:val="none" w:sz="0" w:space="0" w:color="auto"/>
          </w:divBdr>
        </w:div>
        <w:div w:id="1276015234">
          <w:marLeft w:val="619"/>
          <w:marRight w:val="0"/>
          <w:marTop w:val="0"/>
          <w:marBottom w:val="0"/>
          <w:divBdr>
            <w:top w:val="none" w:sz="0" w:space="0" w:color="auto"/>
            <w:left w:val="none" w:sz="0" w:space="0" w:color="auto"/>
            <w:bottom w:val="none" w:sz="0" w:space="0" w:color="auto"/>
            <w:right w:val="none" w:sz="0" w:space="0" w:color="auto"/>
          </w:divBdr>
        </w:div>
        <w:div w:id="1324699979">
          <w:marLeft w:val="619"/>
          <w:marRight w:val="0"/>
          <w:marTop w:val="0"/>
          <w:marBottom w:val="0"/>
          <w:divBdr>
            <w:top w:val="none" w:sz="0" w:space="0" w:color="auto"/>
            <w:left w:val="none" w:sz="0" w:space="0" w:color="auto"/>
            <w:bottom w:val="none" w:sz="0" w:space="0" w:color="auto"/>
            <w:right w:val="none" w:sz="0" w:space="0" w:color="auto"/>
          </w:divBdr>
        </w:div>
      </w:divsChild>
    </w:div>
    <w:div w:id="1147627903">
      <w:bodyDiv w:val="1"/>
      <w:marLeft w:val="0"/>
      <w:marRight w:val="0"/>
      <w:marTop w:val="0"/>
      <w:marBottom w:val="0"/>
      <w:divBdr>
        <w:top w:val="none" w:sz="0" w:space="0" w:color="auto"/>
        <w:left w:val="none" w:sz="0" w:space="0" w:color="auto"/>
        <w:bottom w:val="none" w:sz="0" w:space="0" w:color="auto"/>
        <w:right w:val="none" w:sz="0" w:space="0" w:color="auto"/>
      </w:divBdr>
      <w:divsChild>
        <w:div w:id="217791267">
          <w:marLeft w:val="274"/>
          <w:marRight w:val="0"/>
          <w:marTop w:val="0"/>
          <w:marBottom w:val="20"/>
          <w:divBdr>
            <w:top w:val="none" w:sz="0" w:space="0" w:color="auto"/>
            <w:left w:val="none" w:sz="0" w:space="0" w:color="auto"/>
            <w:bottom w:val="none" w:sz="0" w:space="0" w:color="auto"/>
            <w:right w:val="none" w:sz="0" w:space="0" w:color="auto"/>
          </w:divBdr>
        </w:div>
        <w:div w:id="1024479061">
          <w:marLeft w:val="274"/>
          <w:marRight w:val="0"/>
          <w:marTop w:val="0"/>
          <w:marBottom w:val="20"/>
          <w:divBdr>
            <w:top w:val="none" w:sz="0" w:space="0" w:color="auto"/>
            <w:left w:val="none" w:sz="0" w:space="0" w:color="auto"/>
            <w:bottom w:val="none" w:sz="0" w:space="0" w:color="auto"/>
            <w:right w:val="none" w:sz="0" w:space="0" w:color="auto"/>
          </w:divBdr>
        </w:div>
      </w:divsChild>
    </w:div>
    <w:div w:id="1153643924">
      <w:bodyDiv w:val="1"/>
      <w:marLeft w:val="0"/>
      <w:marRight w:val="0"/>
      <w:marTop w:val="0"/>
      <w:marBottom w:val="0"/>
      <w:divBdr>
        <w:top w:val="none" w:sz="0" w:space="0" w:color="auto"/>
        <w:left w:val="none" w:sz="0" w:space="0" w:color="auto"/>
        <w:bottom w:val="none" w:sz="0" w:space="0" w:color="auto"/>
        <w:right w:val="none" w:sz="0" w:space="0" w:color="auto"/>
      </w:divBdr>
    </w:div>
    <w:div w:id="1154220406">
      <w:bodyDiv w:val="1"/>
      <w:marLeft w:val="0"/>
      <w:marRight w:val="0"/>
      <w:marTop w:val="0"/>
      <w:marBottom w:val="0"/>
      <w:divBdr>
        <w:top w:val="none" w:sz="0" w:space="0" w:color="auto"/>
        <w:left w:val="none" w:sz="0" w:space="0" w:color="auto"/>
        <w:bottom w:val="none" w:sz="0" w:space="0" w:color="auto"/>
        <w:right w:val="none" w:sz="0" w:space="0" w:color="auto"/>
      </w:divBdr>
      <w:divsChild>
        <w:div w:id="174467183">
          <w:marLeft w:val="288"/>
          <w:marRight w:val="0"/>
          <w:marTop w:val="0"/>
          <w:marBottom w:val="120"/>
          <w:divBdr>
            <w:top w:val="none" w:sz="0" w:space="0" w:color="auto"/>
            <w:left w:val="none" w:sz="0" w:space="0" w:color="auto"/>
            <w:bottom w:val="none" w:sz="0" w:space="0" w:color="auto"/>
            <w:right w:val="none" w:sz="0" w:space="0" w:color="auto"/>
          </w:divBdr>
        </w:div>
        <w:div w:id="678121165">
          <w:marLeft w:val="288"/>
          <w:marRight w:val="0"/>
          <w:marTop w:val="0"/>
          <w:marBottom w:val="120"/>
          <w:divBdr>
            <w:top w:val="none" w:sz="0" w:space="0" w:color="auto"/>
            <w:left w:val="none" w:sz="0" w:space="0" w:color="auto"/>
            <w:bottom w:val="none" w:sz="0" w:space="0" w:color="auto"/>
            <w:right w:val="none" w:sz="0" w:space="0" w:color="auto"/>
          </w:divBdr>
        </w:div>
        <w:div w:id="680854769">
          <w:marLeft w:val="288"/>
          <w:marRight w:val="0"/>
          <w:marTop w:val="0"/>
          <w:marBottom w:val="120"/>
          <w:divBdr>
            <w:top w:val="none" w:sz="0" w:space="0" w:color="auto"/>
            <w:left w:val="none" w:sz="0" w:space="0" w:color="auto"/>
            <w:bottom w:val="none" w:sz="0" w:space="0" w:color="auto"/>
            <w:right w:val="none" w:sz="0" w:space="0" w:color="auto"/>
          </w:divBdr>
        </w:div>
        <w:div w:id="854226326">
          <w:marLeft w:val="288"/>
          <w:marRight w:val="0"/>
          <w:marTop w:val="0"/>
          <w:marBottom w:val="120"/>
          <w:divBdr>
            <w:top w:val="none" w:sz="0" w:space="0" w:color="auto"/>
            <w:left w:val="none" w:sz="0" w:space="0" w:color="auto"/>
            <w:bottom w:val="none" w:sz="0" w:space="0" w:color="auto"/>
            <w:right w:val="none" w:sz="0" w:space="0" w:color="auto"/>
          </w:divBdr>
        </w:div>
        <w:div w:id="1044333050">
          <w:marLeft w:val="288"/>
          <w:marRight w:val="0"/>
          <w:marTop w:val="0"/>
          <w:marBottom w:val="120"/>
          <w:divBdr>
            <w:top w:val="none" w:sz="0" w:space="0" w:color="auto"/>
            <w:left w:val="none" w:sz="0" w:space="0" w:color="auto"/>
            <w:bottom w:val="none" w:sz="0" w:space="0" w:color="auto"/>
            <w:right w:val="none" w:sz="0" w:space="0" w:color="auto"/>
          </w:divBdr>
        </w:div>
      </w:divsChild>
    </w:div>
    <w:div w:id="1156996487">
      <w:bodyDiv w:val="1"/>
      <w:marLeft w:val="0"/>
      <w:marRight w:val="0"/>
      <w:marTop w:val="0"/>
      <w:marBottom w:val="0"/>
      <w:divBdr>
        <w:top w:val="none" w:sz="0" w:space="0" w:color="auto"/>
        <w:left w:val="none" w:sz="0" w:space="0" w:color="auto"/>
        <w:bottom w:val="none" w:sz="0" w:space="0" w:color="auto"/>
        <w:right w:val="none" w:sz="0" w:space="0" w:color="auto"/>
      </w:divBdr>
    </w:div>
    <w:div w:id="1162282907">
      <w:bodyDiv w:val="1"/>
      <w:marLeft w:val="0"/>
      <w:marRight w:val="0"/>
      <w:marTop w:val="0"/>
      <w:marBottom w:val="0"/>
      <w:divBdr>
        <w:top w:val="none" w:sz="0" w:space="0" w:color="auto"/>
        <w:left w:val="none" w:sz="0" w:space="0" w:color="auto"/>
        <w:bottom w:val="none" w:sz="0" w:space="0" w:color="auto"/>
        <w:right w:val="none" w:sz="0" w:space="0" w:color="auto"/>
      </w:divBdr>
      <w:divsChild>
        <w:div w:id="1328632136">
          <w:marLeft w:val="619"/>
          <w:marRight w:val="0"/>
          <w:marTop w:val="0"/>
          <w:marBottom w:val="0"/>
          <w:divBdr>
            <w:top w:val="none" w:sz="0" w:space="0" w:color="auto"/>
            <w:left w:val="none" w:sz="0" w:space="0" w:color="auto"/>
            <w:bottom w:val="none" w:sz="0" w:space="0" w:color="auto"/>
            <w:right w:val="none" w:sz="0" w:space="0" w:color="auto"/>
          </w:divBdr>
        </w:div>
      </w:divsChild>
    </w:div>
    <w:div w:id="1164200341">
      <w:bodyDiv w:val="1"/>
      <w:marLeft w:val="0"/>
      <w:marRight w:val="0"/>
      <w:marTop w:val="0"/>
      <w:marBottom w:val="0"/>
      <w:divBdr>
        <w:top w:val="none" w:sz="0" w:space="0" w:color="auto"/>
        <w:left w:val="none" w:sz="0" w:space="0" w:color="auto"/>
        <w:bottom w:val="none" w:sz="0" w:space="0" w:color="auto"/>
        <w:right w:val="none" w:sz="0" w:space="0" w:color="auto"/>
      </w:divBdr>
    </w:div>
    <w:div w:id="1166676320">
      <w:bodyDiv w:val="1"/>
      <w:marLeft w:val="0"/>
      <w:marRight w:val="0"/>
      <w:marTop w:val="0"/>
      <w:marBottom w:val="0"/>
      <w:divBdr>
        <w:top w:val="none" w:sz="0" w:space="0" w:color="auto"/>
        <w:left w:val="none" w:sz="0" w:space="0" w:color="auto"/>
        <w:bottom w:val="none" w:sz="0" w:space="0" w:color="auto"/>
        <w:right w:val="none" w:sz="0" w:space="0" w:color="auto"/>
      </w:divBdr>
    </w:div>
    <w:div w:id="1167401839">
      <w:bodyDiv w:val="1"/>
      <w:marLeft w:val="0"/>
      <w:marRight w:val="0"/>
      <w:marTop w:val="0"/>
      <w:marBottom w:val="0"/>
      <w:divBdr>
        <w:top w:val="none" w:sz="0" w:space="0" w:color="auto"/>
        <w:left w:val="none" w:sz="0" w:space="0" w:color="auto"/>
        <w:bottom w:val="none" w:sz="0" w:space="0" w:color="auto"/>
        <w:right w:val="none" w:sz="0" w:space="0" w:color="auto"/>
      </w:divBdr>
    </w:div>
    <w:div w:id="1171065655">
      <w:bodyDiv w:val="1"/>
      <w:marLeft w:val="0"/>
      <w:marRight w:val="0"/>
      <w:marTop w:val="0"/>
      <w:marBottom w:val="0"/>
      <w:divBdr>
        <w:top w:val="none" w:sz="0" w:space="0" w:color="auto"/>
        <w:left w:val="none" w:sz="0" w:space="0" w:color="auto"/>
        <w:bottom w:val="none" w:sz="0" w:space="0" w:color="auto"/>
        <w:right w:val="none" w:sz="0" w:space="0" w:color="auto"/>
      </w:divBdr>
    </w:div>
    <w:div w:id="1171482325">
      <w:bodyDiv w:val="1"/>
      <w:marLeft w:val="0"/>
      <w:marRight w:val="0"/>
      <w:marTop w:val="0"/>
      <w:marBottom w:val="0"/>
      <w:divBdr>
        <w:top w:val="none" w:sz="0" w:space="0" w:color="auto"/>
        <w:left w:val="none" w:sz="0" w:space="0" w:color="auto"/>
        <w:bottom w:val="none" w:sz="0" w:space="0" w:color="auto"/>
        <w:right w:val="none" w:sz="0" w:space="0" w:color="auto"/>
      </w:divBdr>
    </w:div>
    <w:div w:id="1179272448">
      <w:bodyDiv w:val="1"/>
      <w:marLeft w:val="0"/>
      <w:marRight w:val="0"/>
      <w:marTop w:val="0"/>
      <w:marBottom w:val="0"/>
      <w:divBdr>
        <w:top w:val="none" w:sz="0" w:space="0" w:color="auto"/>
        <w:left w:val="none" w:sz="0" w:space="0" w:color="auto"/>
        <w:bottom w:val="none" w:sz="0" w:space="0" w:color="auto"/>
        <w:right w:val="none" w:sz="0" w:space="0" w:color="auto"/>
      </w:divBdr>
      <w:divsChild>
        <w:div w:id="153107155">
          <w:marLeft w:val="432"/>
          <w:marRight w:val="0"/>
          <w:marTop w:val="0"/>
          <w:marBottom w:val="0"/>
          <w:divBdr>
            <w:top w:val="none" w:sz="0" w:space="0" w:color="auto"/>
            <w:left w:val="none" w:sz="0" w:space="0" w:color="auto"/>
            <w:bottom w:val="none" w:sz="0" w:space="0" w:color="auto"/>
            <w:right w:val="none" w:sz="0" w:space="0" w:color="auto"/>
          </w:divBdr>
        </w:div>
        <w:div w:id="273368617">
          <w:marLeft w:val="432"/>
          <w:marRight w:val="0"/>
          <w:marTop w:val="0"/>
          <w:marBottom w:val="0"/>
          <w:divBdr>
            <w:top w:val="none" w:sz="0" w:space="0" w:color="auto"/>
            <w:left w:val="none" w:sz="0" w:space="0" w:color="auto"/>
            <w:bottom w:val="none" w:sz="0" w:space="0" w:color="auto"/>
            <w:right w:val="none" w:sz="0" w:space="0" w:color="auto"/>
          </w:divBdr>
        </w:div>
        <w:div w:id="699208324">
          <w:marLeft w:val="432"/>
          <w:marRight w:val="0"/>
          <w:marTop w:val="0"/>
          <w:marBottom w:val="0"/>
          <w:divBdr>
            <w:top w:val="none" w:sz="0" w:space="0" w:color="auto"/>
            <w:left w:val="none" w:sz="0" w:space="0" w:color="auto"/>
            <w:bottom w:val="none" w:sz="0" w:space="0" w:color="auto"/>
            <w:right w:val="none" w:sz="0" w:space="0" w:color="auto"/>
          </w:divBdr>
        </w:div>
        <w:div w:id="1044910455">
          <w:marLeft w:val="432"/>
          <w:marRight w:val="0"/>
          <w:marTop w:val="0"/>
          <w:marBottom w:val="0"/>
          <w:divBdr>
            <w:top w:val="none" w:sz="0" w:space="0" w:color="auto"/>
            <w:left w:val="none" w:sz="0" w:space="0" w:color="auto"/>
            <w:bottom w:val="none" w:sz="0" w:space="0" w:color="auto"/>
            <w:right w:val="none" w:sz="0" w:space="0" w:color="auto"/>
          </w:divBdr>
        </w:div>
        <w:div w:id="1109083334">
          <w:marLeft w:val="432"/>
          <w:marRight w:val="0"/>
          <w:marTop w:val="0"/>
          <w:marBottom w:val="0"/>
          <w:divBdr>
            <w:top w:val="none" w:sz="0" w:space="0" w:color="auto"/>
            <w:left w:val="none" w:sz="0" w:space="0" w:color="auto"/>
            <w:bottom w:val="none" w:sz="0" w:space="0" w:color="auto"/>
            <w:right w:val="none" w:sz="0" w:space="0" w:color="auto"/>
          </w:divBdr>
        </w:div>
        <w:div w:id="1332954146">
          <w:marLeft w:val="432"/>
          <w:marRight w:val="0"/>
          <w:marTop w:val="0"/>
          <w:marBottom w:val="0"/>
          <w:divBdr>
            <w:top w:val="none" w:sz="0" w:space="0" w:color="auto"/>
            <w:left w:val="none" w:sz="0" w:space="0" w:color="auto"/>
            <w:bottom w:val="none" w:sz="0" w:space="0" w:color="auto"/>
            <w:right w:val="none" w:sz="0" w:space="0" w:color="auto"/>
          </w:divBdr>
        </w:div>
        <w:div w:id="1374692104">
          <w:marLeft w:val="432"/>
          <w:marRight w:val="0"/>
          <w:marTop w:val="0"/>
          <w:marBottom w:val="0"/>
          <w:divBdr>
            <w:top w:val="none" w:sz="0" w:space="0" w:color="auto"/>
            <w:left w:val="none" w:sz="0" w:space="0" w:color="auto"/>
            <w:bottom w:val="none" w:sz="0" w:space="0" w:color="auto"/>
            <w:right w:val="none" w:sz="0" w:space="0" w:color="auto"/>
          </w:divBdr>
        </w:div>
        <w:div w:id="1396397033">
          <w:marLeft w:val="432"/>
          <w:marRight w:val="0"/>
          <w:marTop w:val="0"/>
          <w:marBottom w:val="0"/>
          <w:divBdr>
            <w:top w:val="none" w:sz="0" w:space="0" w:color="auto"/>
            <w:left w:val="none" w:sz="0" w:space="0" w:color="auto"/>
            <w:bottom w:val="none" w:sz="0" w:space="0" w:color="auto"/>
            <w:right w:val="none" w:sz="0" w:space="0" w:color="auto"/>
          </w:divBdr>
        </w:div>
        <w:div w:id="1484201925">
          <w:marLeft w:val="432"/>
          <w:marRight w:val="0"/>
          <w:marTop w:val="0"/>
          <w:marBottom w:val="0"/>
          <w:divBdr>
            <w:top w:val="none" w:sz="0" w:space="0" w:color="auto"/>
            <w:left w:val="none" w:sz="0" w:space="0" w:color="auto"/>
            <w:bottom w:val="none" w:sz="0" w:space="0" w:color="auto"/>
            <w:right w:val="none" w:sz="0" w:space="0" w:color="auto"/>
          </w:divBdr>
        </w:div>
        <w:div w:id="1758357657">
          <w:marLeft w:val="432"/>
          <w:marRight w:val="0"/>
          <w:marTop w:val="0"/>
          <w:marBottom w:val="0"/>
          <w:divBdr>
            <w:top w:val="none" w:sz="0" w:space="0" w:color="auto"/>
            <w:left w:val="none" w:sz="0" w:space="0" w:color="auto"/>
            <w:bottom w:val="none" w:sz="0" w:space="0" w:color="auto"/>
            <w:right w:val="none" w:sz="0" w:space="0" w:color="auto"/>
          </w:divBdr>
        </w:div>
        <w:div w:id="1902523464">
          <w:marLeft w:val="432"/>
          <w:marRight w:val="0"/>
          <w:marTop w:val="0"/>
          <w:marBottom w:val="0"/>
          <w:divBdr>
            <w:top w:val="none" w:sz="0" w:space="0" w:color="auto"/>
            <w:left w:val="none" w:sz="0" w:space="0" w:color="auto"/>
            <w:bottom w:val="none" w:sz="0" w:space="0" w:color="auto"/>
            <w:right w:val="none" w:sz="0" w:space="0" w:color="auto"/>
          </w:divBdr>
        </w:div>
        <w:div w:id="1913617155">
          <w:marLeft w:val="432"/>
          <w:marRight w:val="0"/>
          <w:marTop w:val="0"/>
          <w:marBottom w:val="0"/>
          <w:divBdr>
            <w:top w:val="none" w:sz="0" w:space="0" w:color="auto"/>
            <w:left w:val="none" w:sz="0" w:space="0" w:color="auto"/>
            <w:bottom w:val="none" w:sz="0" w:space="0" w:color="auto"/>
            <w:right w:val="none" w:sz="0" w:space="0" w:color="auto"/>
          </w:divBdr>
        </w:div>
      </w:divsChild>
    </w:div>
    <w:div w:id="1182815301">
      <w:bodyDiv w:val="1"/>
      <w:marLeft w:val="0"/>
      <w:marRight w:val="0"/>
      <w:marTop w:val="0"/>
      <w:marBottom w:val="0"/>
      <w:divBdr>
        <w:top w:val="none" w:sz="0" w:space="0" w:color="auto"/>
        <w:left w:val="none" w:sz="0" w:space="0" w:color="auto"/>
        <w:bottom w:val="none" w:sz="0" w:space="0" w:color="auto"/>
        <w:right w:val="none" w:sz="0" w:space="0" w:color="auto"/>
      </w:divBdr>
    </w:div>
    <w:div w:id="1191794446">
      <w:bodyDiv w:val="1"/>
      <w:marLeft w:val="0"/>
      <w:marRight w:val="0"/>
      <w:marTop w:val="0"/>
      <w:marBottom w:val="0"/>
      <w:divBdr>
        <w:top w:val="none" w:sz="0" w:space="0" w:color="auto"/>
        <w:left w:val="none" w:sz="0" w:space="0" w:color="auto"/>
        <w:bottom w:val="none" w:sz="0" w:space="0" w:color="auto"/>
        <w:right w:val="none" w:sz="0" w:space="0" w:color="auto"/>
      </w:divBdr>
    </w:div>
    <w:div w:id="1194995033">
      <w:bodyDiv w:val="1"/>
      <w:marLeft w:val="0"/>
      <w:marRight w:val="0"/>
      <w:marTop w:val="0"/>
      <w:marBottom w:val="0"/>
      <w:divBdr>
        <w:top w:val="none" w:sz="0" w:space="0" w:color="auto"/>
        <w:left w:val="none" w:sz="0" w:space="0" w:color="auto"/>
        <w:bottom w:val="none" w:sz="0" w:space="0" w:color="auto"/>
        <w:right w:val="none" w:sz="0" w:space="0" w:color="auto"/>
      </w:divBdr>
    </w:div>
    <w:div w:id="1207065615">
      <w:bodyDiv w:val="1"/>
      <w:marLeft w:val="0"/>
      <w:marRight w:val="0"/>
      <w:marTop w:val="0"/>
      <w:marBottom w:val="0"/>
      <w:divBdr>
        <w:top w:val="none" w:sz="0" w:space="0" w:color="auto"/>
        <w:left w:val="none" w:sz="0" w:space="0" w:color="auto"/>
        <w:bottom w:val="none" w:sz="0" w:space="0" w:color="auto"/>
        <w:right w:val="none" w:sz="0" w:space="0" w:color="auto"/>
      </w:divBdr>
    </w:div>
    <w:div w:id="122526376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0001032">
      <w:bodyDiv w:val="1"/>
      <w:marLeft w:val="0"/>
      <w:marRight w:val="0"/>
      <w:marTop w:val="0"/>
      <w:marBottom w:val="0"/>
      <w:divBdr>
        <w:top w:val="none" w:sz="0" w:space="0" w:color="auto"/>
        <w:left w:val="none" w:sz="0" w:space="0" w:color="auto"/>
        <w:bottom w:val="none" w:sz="0" w:space="0" w:color="auto"/>
        <w:right w:val="none" w:sz="0" w:space="0" w:color="auto"/>
      </w:divBdr>
      <w:divsChild>
        <w:div w:id="89130193">
          <w:marLeft w:val="302"/>
          <w:marRight w:val="0"/>
          <w:marTop w:val="0"/>
          <w:marBottom w:val="0"/>
          <w:divBdr>
            <w:top w:val="none" w:sz="0" w:space="0" w:color="auto"/>
            <w:left w:val="none" w:sz="0" w:space="0" w:color="auto"/>
            <w:bottom w:val="none" w:sz="0" w:space="0" w:color="auto"/>
            <w:right w:val="none" w:sz="0" w:space="0" w:color="auto"/>
          </w:divBdr>
        </w:div>
        <w:div w:id="307974782">
          <w:marLeft w:val="302"/>
          <w:marRight w:val="0"/>
          <w:marTop w:val="0"/>
          <w:marBottom w:val="0"/>
          <w:divBdr>
            <w:top w:val="none" w:sz="0" w:space="0" w:color="auto"/>
            <w:left w:val="none" w:sz="0" w:space="0" w:color="auto"/>
            <w:bottom w:val="none" w:sz="0" w:space="0" w:color="auto"/>
            <w:right w:val="none" w:sz="0" w:space="0" w:color="auto"/>
          </w:divBdr>
        </w:div>
        <w:div w:id="1047994990">
          <w:marLeft w:val="302"/>
          <w:marRight w:val="0"/>
          <w:marTop w:val="0"/>
          <w:marBottom w:val="0"/>
          <w:divBdr>
            <w:top w:val="none" w:sz="0" w:space="0" w:color="auto"/>
            <w:left w:val="none" w:sz="0" w:space="0" w:color="auto"/>
            <w:bottom w:val="none" w:sz="0" w:space="0" w:color="auto"/>
            <w:right w:val="none" w:sz="0" w:space="0" w:color="auto"/>
          </w:divBdr>
        </w:div>
        <w:div w:id="1790128147">
          <w:marLeft w:val="302"/>
          <w:marRight w:val="0"/>
          <w:marTop w:val="0"/>
          <w:marBottom w:val="0"/>
          <w:divBdr>
            <w:top w:val="none" w:sz="0" w:space="0" w:color="auto"/>
            <w:left w:val="none" w:sz="0" w:space="0" w:color="auto"/>
            <w:bottom w:val="none" w:sz="0" w:space="0" w:color="auto"/>
            <w:right w:val="none" w:sz="0" w:space="0" w:color="auto"/>
          </w:divBdr>
        </w:div>
      </w:divsChild>
    </w:div>
    <w:div w:id="1233734361">
      <w:bodyDiv w:val="1"/>
      <w:marLeft w:val="0"/>
      <w:marRight w:val="0"/>
      <w:marTop w:val="0"/>
      <w:marBottom w:val="0"/>
      <w:divBdr>
        <w:top w:val="none" w:sz="0" w:space="0" w:color="auto"/>
        <w:left w:val="none" w:sz="0" w:space="0" w:color="auto"/>
        <w:bottom w:val="none" w:sz="0" w:space="0" w:color="auto"/>
        <w:right w:val="none" w:sz="0" w:space="0" w:color="auto"/>
      </w:divBdr>
      <w:divsChild>
        <w:div w:id="871917624">
          <w:marLeft w:val="590"/>
          <w:marRight w:val="0"/>
          <w:marTop w:val="0"/>
          <w:marBottom w:val="120"/>
          <w:divBdr>
            <w:top w:val="none" w:sz="0" w:space="0" w:color="auto"/>
            <w:left w:val="none" w:sz="0" w:space="0" w:color="auto"/>
            <w:bottom w:val="none" w:sz="0" w:space="0" w:color="auto"/>
            <w:right w:val="none" w:sz="0" w:space="0" w:color="auto"/>
          </w:divBdr>
        </w:div>
      </w:divsChild>
    </w:div>
    <w:div w:id="1239175155">
      <w:bodyDiv w:val="1"/>
      <w:marLeft w:val="0"/>
      <w:marRight w:val="0"/>
      <w:marTop w:val="0"/>
      <w:marBottom w:val="0"/>
      <w:divBdr>
        <w:top w:val="none" w:sz="0" w:space="0" w:color="auto"/>
        <w:left w:val="none" w:sz="0" w:space="0" w:color="auto"/>
        <w:bottom w:val="none" w:sz="0" w:space="0" w:color="auto"/>
        <w:right w:val="none" w:sz="0" w:space="0" w:color="auto"/>
      </w:divBdr>
    </w:div>
    <w:div w:id="1244339266">
      <w:bodyDiv w:val="1"/>
      <w:marLeft w:val="0"/>
      <w:marRight w:val="0"/>
      <w:marTop w:val="0"/>
      <w:marBottom w:val="0"/>
      <w:divBdr>
        <w:top w:val="none" w:sz="0" w:space="0" w:color="auto"/>
        <w:left w:val="none" w:sz="0" w:space="0" w:color="auto"/>
        <w:bottom w:val="none" w:sz="0" w:space="0" w:color="auto"/>
        <w:right w:val="none" w:sz="0" w:space="0" w:color="auto"/>
      </w:divBdr>
      <w:divsChild>
        <w:div w:id="8802688">
          <w:marLeft w:val="432"/>
          <w:marRight w:val="0"/>
          <w:marTop w:val="0"/>
          <w:marBottom w:val="0"/>
          <w:divBdr>
            <w:top w:val="none" w:sz="0" w:space="0" w:color="auto"/>
            <w:left w:val="none" w:sz="0" w:space="0" w:color="auto"/>
            <w:bottom w:val="none" w:sz="0" w:space="0" w:color="auto"/>
            <w:right w:val="none" w:sz="0" w:space="0" w:color="auto"/>
          </w:divBdr>
        </w:div>
        <w:div w:id="465927352">
          <w:marLeft w:val="1037"/>
          <w:marRight w:val="0"/>
          <w:marTop w:val="0"/>
          <w:marBottom w:val="0"/>
          <w:divBdr>
            <w:top w:val="none" w:sz="0" w:space="0" w:color="auto"/>
            <w:left w:val="none" w:sz="0" w:space="0" w:color="auto"/>
            <w:bottom w:val="none" w:sz="0" w:space="0" w:color="auto"/>
            <w:right w:val="none" w:sz="0" w:space="0" w:color="auto"/>
          </w:divBdr>
        </w:div>
        <w:div w:id="824784500">
          <w:marLeft w:val="432"/>
          <w:marRight w:val="0"/>
          <w:marTop w:val="0"/>
          <w:marBottom w:val="0"/>
          <w:divBdr>
            <w:top w:val="none" w:sz="0" w:space="0" w:color="auto"/>
            <w:left w:val="none" w:sz="0" w:space="0" w:color="auto"/>
            <w:bottom w:val="none" w:sz="0" w:space="0" w:color="auto"/>
            <w:right w:val="none" w:sz="0" w:space="0" w:color="auto"/>
          </w:divBdr>
        </w:div>
        <w:div w:id="877278133">
          <w:marLeft w:val="1037"/>
          <w:marRight w:val="0"/>
          <w:marTop w:val="0"/>
          <w:marBottom w:val="0"/>
          <w:divBdr>
            <w:top w:val="none" w:sz="0" w:space="0" w:color="auto"/>
            <w:left w:val="none" w:sz="0" w:space="0" w:color="auto"/>
            <w:bottom w:val="none" w:sz="0" w:space="0" w:color="auto"/>
            <w:right w:val="none" w:sz="0" w:space="0" w:color="auto"/>
          </w:divBdr>
        </w:div>
        <w:div w:id="1261717135">
          <w:marLeft w:val="432"/>
          <w:marRight w:val="0"/>
          <w:marTop w:val="0"/>
          <w:marBottom w:val="0"/>
          <w:divBdr>
            <w:top w:val="none" w:sz="0" w:space="0" w:color="auto"/>
            <w:left w:val="none" w:sz="0" w:space="0" w:color="auto"/>
            <w:bottom w:val="none" w:sz="0" w:space="0" w:color="auto"/>
            <w:right w:val="none" w:sz="0" w:space="0" w:color="auto"/>
          </w:divBdr>
        </w:div>
        <w:div w:id="1678387158">
          <w:marLeft w:val="1037"/>
          <w:marRight w:val="0"/>
          <w:marTop w:val="0"/>
          <w:marBottom w:val="0"/>
          <w:divBdr>
            <w:top w:val="none" w:sz="0" w:space="0" w:color="auto"/>
            <w:left w:val="none" w:sz="0" w:space="0" w:color="auto"/>
            <w:bottom w:val="none" w:sz="0" w:space="0" w:color="auto"/>
            <w:right w:val="none" w:sz="0" w:space="0" w:color="auto"/>
          </w:divBdr>
        </w:div>
      </w:divsChild>
    </w:div>
    <w:div w:id="1244729200">
      <w:bodyDiv w:val="1"/>
      <w:marLeft w:val="0"/>
      <w:marRight w:val="0"/>
      <w:marTop w:val="0"/>
      <w:marBottom w:val="0"/>
      <w:divBdr>
        <w:top w:val="none" w:sz="0" w:space="0" w:color="auto"/>
        <w:left w:val="none" w:sz="0" w:space="0" w:color="auto"/>
        <w:bottom w:val="none" w:sz="0" w:space="0" w:color="auto"/>
        <w:right w:val="none" w:sz="0" w:space="0" w:color="auto"/>
      </w:divBdr>
    </w:div>
    <w:div w:id="1255937451">
      <w:bodyDiv w:val="1"/>
      <w:marLeft w:val="0"/>
      <w:marRight w:val="0"/>
      <w:marTop w:val="0"/>
      <w:marBottom w:val="0"/>
      <w:divBdr>
        <w:top w:val="none" w:sz="0" w:space="0" w:color="auto"/>
        <w:left w:val="none" w:sz="0" w:space="0" w:color="auto"/>
        <w:bottom w:val="none" w:sz="0" w:space="0" w:color="auto"/>
        <w:right w:val="none" w:sz="0" w:space="0" w:color="auto"/>
      </w:divBdr>
    </w:div>
    <w:div w:id="1263878634">
      <w:bodyDiv w:val="1"/>
      <w:marLeft w:val="0"/>
      <w:marRight w:val="0"/>
      <w:marTop w:val="0"/>
      <w:marBottom w:val="0"/>
      <w:divBdr>
        <w:top w:val="none" w:sz="0" w:space="0" w:color="auto"/>
        <w:left w:val="none" w:sz="0" w:space="0" w:color="auto"/>
        <w:bottom w:val="none" w:sz="0" w:space="0" w:color="auto"/>
        <w:right w:val="none" w:sz="0" w:space="0" w:color="auto"/>
      </w:divBdr>
    </w:div>
    <w:div w:id="1264457121">
      <w:bodyDiv w:val="1"/>
      <w:marLeft w:val="0"/>
      <w:marRight w:val="0"/>
      <w:marTop w:val="0"/>
      <w:marBottom w:val="0"/>
      <w:divBdr>
        <w:top w:val="none" w:sz="0" w:space="0" w:color="auto"/>
        <w:left w:val="none" w:sz="0" w:space="0" w:color="auto"/>
        <w:bottom w:val="none" w:sz="0" w:space="0" w:color="auto"/>
        <w:right w:val="none" w:sz="0" w:space="0" w:color="auto"/>
      </w:divBdr>
    </w:div>
    <w:div w:id="1266426041">
      <w:bodyDiv w:val="1"/>
      <w:marLeft w:val="0"/>
      <w:marRight w:val="0"/>
      <w:marTop w:val="0"/>
      <w:marBottom w:val="0"/>
      <w:divBdr>
        <w:top w:val="none" w:sz="0" w:space="0" w:color="auto"/>
        <w:left w:val="none" w:sz="0" w:space="0" w:color="auto"/>
        <w:bottom w:val="none" w:sz="0" w:space="0" w:color="auto"/>
        <w:right w:val="none" w:sz="0" w:space="0" w:color="auto"/>
      </w:divBdr>
    </w:div>
    <w:div w:id="1278951974">
      <w:bodyDiv w:val="1"/>
      <w:marLeft w:val="0"/>
      <w:marRight w:val="0"/>
      <w:marTop w:val="0"/>
      <w:marBottom w:val="0"/>
      <w:divBdr>
        <w:top w:val="none" w:sz="0" w:space="0" w:color="auto"/>
        <w:left w:val="none" w:sz="0" w:space="0" w:color="auto"/>
        <w:bottom w:val="none" w:sz="0" w:space="0" w:color="auto"/>
        <w:right w:val="none" w:sz="0" w:space="0" w:color="auto"/>
      </w:divBdr>
    </w:div>
    <w:div w:id="1281691808">
      <w:bodyDiv w:val="1"/>
      <w:marLeft w:val="0"/>
      <w:marRight w:val="0"/>
      <w:marTop w:val="0"/>
      <w:marBottom w:val="0"/>
      <w:divBdr>
        <w:top w:val="none" w:sz="0" w:space="0" w:color="auto"/>
        <w:left w:val="none" w:sz="0" w:space="0" w:color="auto"/>
        <w:bottom w:val="none" w:sz="0" w:space="0" w:color="auto"/>
        <w:right w:val="none" w:sz="0" w:space="0" w:color="auto"/>
      </w:divBdr>
      <w:divsChild>
        <w:div w:id="335114135">
          <w:marLeft w:val="274"/>
          <w:marRight w:val="0"/>
          <w:marTop w:val="0"/>
          <w:marBottom w:val="0"/>
          <w:divBdr>
            <w:top w:val="none" w:sz="0" w:space="0" w:color="auto"/>
            <w:left w:val="none" w:sz="0" w:space="0" w:color="auto"/>
            <w:bottom w:val="none" w:sz="0" w:space="0" w:color="auto"/>
            <w:right w:val="none" w:sz="0" w:space="0" w:color="auto"/>
          </w:divBdr>
        </w:div>
        <w:div w:id="581568191">
          <w:marLeft w:val="936"/>
          <w:marRight w:val="0"/>
          <w:marTop w:val="0"/>
          <w:marBottom w:val="0"/>
          <w:divBdr>
            <w:top w:val="none" w:sz="0" w:space="0" w:color="auto"/>
            <w:left w:val="none" w:sz="0" w:space="0" w:color="auto"/>
            <w:bottom w:val="none" w:sz="0" w:space="0" w:color="auto"/>
            <w:right w:val="none" w:sz="0" w:space="0" w:color="auto"/>
          </w:divBdr>
        </w:div>
        <w:div w:id="614211541">
          <w:marLeft w:val="274"/>
          <w:marRight w:val="0"/>
          <w:marTop w:val="0"/>
          <w:marBottom w:val="0"/>
          <w:divBdr>
            <w:top w:val="none" w:sz="0" w:space="0" w:color="auto"/>
            <w:left w:val="none" w:sz="0" w:space="0" w:color="auto"/>
            <w:bottom w:val="none" w:sz="0" w:space="0" w:color="auto"/>
            <w:right w:val="none" w:sz="0" w:space="0" w:color="auto"/>
          </w:divBdr>
        </w:div>
        <w:div w:id="1170220453">
          <w:marLeft w:val="936"/>
          <w:marRight w:val="0"/>
          <w:marTop w:val="0"/>
          <w:marBottom w:val="0"/>
          <w:divBdr>
            <w:top w:val="none" w:sz="0" w:space="0" w:color="auto"/>
            <w:left w:val="none" w:sz="0" w:space="0" w:color="auto"/>
            <w:bottom w:val="none" w:sz="0" w:space="0" w:color="auto"/>
            <w:right w:val="none" w:sz="0" w:space="0" w:color="auto"/>
          </w:divBdr>
        </w:div>
        <w:div w:id="1428692886">
          <w:marLeft w:val="461"/>
          <w:marRight w:val="0"/>
          <w:marTop w:val="0"/>
          <w:marBottom w:val="0"/>
          <w:divBdr>
            <w:top w:val="none" w:sz="0" w:space="0" w:color="auto"/>
            <w:left w:val="none" w:sz="0" w:space="0" w:color="auto"/>
            <w:bottom w:val="none" w:sz="0" w:space="0" w:color="auto"/>
            <w:right w:val="none" w:sz="0" w:space="0" w:color="auto"/>
          </w:divBdr>
        </w:div>
      </w:divsChild>
    </w:div>
    <w:div w:id="1287815028">
      <w:bodyDiv w:val="1"/>
      <w:marLeft w:val="0"/>
      <w:marRight w:val="0"/>
      <w:marTop w:val="0"/>
      <w:marBottom w:val="0"/>
      <w:divBdr>
        <w:top w:val="none" w:sz="0" w:space="0" w:color="auto"/>
        <w:left w:val="none" w:sz="0" w:space="0" w:color="auto"/>
        <w:bottom w:val="none" w:sz="0" w:space="0" w:color="auto"/>
        <w:right w:val="none" w:sz="0" w:space="0" w:color="auto"/>
      </w:divBdr>
      <w:divsChild>
        <w:div w:id="681861559">
          <w:marLeft w:val="0"/>
          <w:marRight w:val="0"/>
          <w:marTop w:val="0"/>
          <w:marBottom w:val="0"/>
          <w:divBdr>
            <w:top w:val="none" w:sz="0" w:space="0" w:color="auto"/>
            <w:left w:val="none" w:sz="0" w:space="0" w:color="auto"/>
            <w:bottom w:val="none" w:sz="0" w:space="0" w:color="auto"/>
            <w:right w:val="none" w:sz="0" w:space="0" w:color="auto"/>
          </w:divBdr>
        </w:div>
        <w:div w:id="734931826">
          <w:marLeft w:val="0"/>
          <w:marRight w:val="0"/>
          <w:marTop w:val="0"/>
          <w:marBottom w:val="0"/>
          <w:divBdr>
            <w:top w:val="none" w:sz="0" w:space="0" w:color="auto"/>
            <w:left w:val="none" w:sz="0" w:space="0" w:color="auto"/>
            <w:bottom w:val="none" w:sz="0" w:space="0" w:color="auto"/>
            <w:right w:val="none" w:sz="0" w:space="0" w:color="auto"/>
          </w:divBdr>
        </w:div>
        <w:div w:id="1468013181">
          <w:marLeft w:val="0"/>
          <w:marRight w:val="0"/>
          <w:marTop w:val="0"/>
          <w:marBottom w:val="0"/>
          <w:divBdr>
            <w:top w:val="none" w:sz="0" w:space="0" w:color="auto"/>
            <w:left w:val="none" w:sz="0" w:space="0" w:color="auto"/>
            <w:bottom w:val="none" w:sz="0" w:space="0" w:color="auto"/>
            <w:right w:val="none" w:sz="0" w:space="0" w:color="auto"/>
          </w:divBdr>
        </w:div>
      </w:divsChild>
    </w:div>
    <w:div w:id="1293485064">
      <w:bodyDiv w:val="1"/>
      <w:marLeft w:val="0"/>
      <w:marRight w:val="0"/>
      <w:marTop w:val="0"/>
      <w:marBottom w:val="0"/>
      <w:divBdr>
        <w:top w:val="none" w:sz="0" w:space="0" w:color="auto"/>
        <w:left w:val="none" w:sz="0" w:space="0" w:color="auto"/>
        <w:bottom w:val="none" w:sz="0" w:space="0" w:color="auto"/>
        <w:right w:val="none" w:sz="0" w:space="0" w:color="auto"/>
      </w:divBdr>
      <w:divsChild>
        <w:div w:id="250091095">
          <w:marLeft w:val="0"/>
          <w:marRight w:val="0"/>
          <w:marTop w:val="80"/>
          <w:marBottom w:val="0"/>
          <w:divBdr>
            <w:top w:val="none" w:sz="0" w:space="0" w:color="auto"/>
            <w:left w:val="none" w:sz="0" w:space="0" w:color="auto"/>
            <w:bottom w:val="none" w:sz="0" w:space="0" w:color="auto"/>
            <w:right w:val="none" w:sz="0" w:space="0" w:color="auto"/>
          </w:divBdr>
        </w:div>
        <w:div w:id="335421505">
          <w:marLeft w:val="504"/>
          <w:marRight w:val="0"/>
          <w:marTop w:val="80"/>
          <w:marBottom w:val="0"/>
          <w:divBdr>
            <w:top w:val="none" w:sz="0" w:space="0" w:color="auto"/>
            <w:left w:val="none" w:sz="0" w:space="0" w:color="auto"/>
            <w:bottom w:val="none" w:sz="0" w:space="0" w:color="auto"/>
            <w:right w:val="none" w:sz="0" w:space="0" w:color="auto"/>
          </w:divBdr>
        </w:div>
        <w:div w:id="1065563375">
          <w:marLeft w:val="0"/>
          <w:marRight w:val="0"/>
          <w:marTop w:val="80"/>
          <w:marBottom w:val="0"/>
          <w:divBdr>
            <w:top w:val="none" w:sz="0" w:space="0" w:color="auto"/>
            <w:left w:val="none" w:sz="0" w:space="0" w:color="auto"/>
            <w:bottom w:val="none" w:sz="0" w:space="0" w:color="auto"/>
            <w:right w:val="none" w:sz="0" w:space="0" w:color="auto"/>
          </w:divBdr>
        </w:div>
        <w:div w:id="1232960923">
          <w:marLeft w:val="504"/>
          <w:marRight w:val="0"/>
          <w:marTop w:val="80"/>
          <w:marBottom w:val="0"/>
          <w:divBdr>
            <w:top w:val="none" w:sz="0" w:space="0" w:color="auto"/>
            <w:left w:val="none" w:sz="0" w:space="0" w:color="auto"/>
            <w:bottom w:val="none" w:sz="0" w:space="0" w:color="auto"/>
            <w:right w:val="none" w:sz="0" w:space="0" w:color="auto"/>
          </w:divBdr>
        </w:div>
        <w:div w:id="1400598286">
          <w:marLeft w:val="504"/>
          <w:marRight w:val="0"/>
          <w:marTop w:val="80"/>
          <w:marBottom w:val="0"/>
          <w:divBdr>
            <w:top w:val="none" w:sz="0" w:space="0" w:color="auto"/>
            <w:left w:val="none" w:sz="0" w:space="0" w:color="auto"/>
            <w:bottom w:val="none" w:sz="0" w:space="0" w:color="auto"/>
            <w:right w:val="none" w:sz="0" w:space="0" w:color="auto"/>
          </w:divBdr>
        </w:div>
        <w:div w:id="1714648680">
          <w:marLeft w:val="504"/>
          <w:marRight w:val="0"/>
          <w:marTop w:val="80"/>
          <w:marBottom w:val="0"/>
          <w:divBdr>
            <w:top w:val="none" w:sz="0" w:space="0" w:color="auto"/>
            <w:left w:val="none" w:sz="0" w:space="0" w:color="auto"/>
            <w:bottom w:val="none" w:sz="0" w:space="0" w:color="auto"/>
            <w:right w:val="none" w:sz="0" w:space="0" w:color="auto"/>
          </w:divBdr>
        </w:div>
      </w:divsChild>
    </w:div>
    <w:div w:id="1295328445">
      <w:bodyDiv w:val="1"/>
      <w:marLeft w:val="0"/>
      <w:marRight w:val="0"/>
      <w:marTop w:val="0"/>
      <w:marBottom w:val="0"/>
      <w:divBdr>
        <w:top w:val="none" w:sz="0" w:space="0" w:color="auto"/>
        <w:left w:val="none" w:sz="0" w:space="0" w:color="auto"/>
        <w:bottom w:val="none" w:sz="0" w:space="0" w:color="auto"/>
        <w:right w:val="none" w:sz="0" w:space="0" w:color="auto"/>
      </w:divBdr>
      <w:divsChild>
        <w:div w:id="251666420">
          <w:marLeft w:val="302"/>
          <w:marRight w:val="0"/>
          <w:marTop w:val="0"/>
          <w:marBottom w:val="0"/>
          <w:divBdr>
            <w:top w:val="none" w:sz="0" w:space="0" w:color="auto"/>
            <w:left w:val="none" w:sz="0" w:space="0" w:color="auto"/>
            <w:bottom w:val="none" w:sz="0" w:space="0" w:color="auto"/>
            <w:right w:val="none" w:sz="0" w:space="0" w:color="auto"/>
          </w:divBdr>
        </w:div>
        <w:div w:id="368148387">
          <w:marLeft w:val="302"/>
          <w:marRight w:val="0"/>
          <w:marTop w:val="0"/>
          <w:marBottom w:val="0"/>
          <w:divBdr>
            <w:top w:val="none" w:sz="0" w:space="0" w:color="auto"/>
            <w:left w:val="none" w:sz="0" w:space="0" w:color="auto"/>
            <w:bottom w:val="none" w:sz="0" w:space="0" w:color="auto"/>
            <w:right w:val="none" w:sz="0" w:space="0" w:color="auto"/>
          </w:divBdr>
        </w:div>
        <w:div w:id="2053113001">
          <w:marLeft w:val="302"/>
          <w:marRight w:val="0"/>
          <w:marTop w:val="0"/>
          <w:marBottom w:val="0"/>
          <w:divBdr>
            <w:top w:val="none" w:sz="0" w:space="0" w:color="auto"/>
            <w:left w:val="none" w:sz="0" w:space="0" w:color="auto"/>
            <w:bottom w:val="none" w:sz="0" w:space="0" w:color="auto"/>
            <w:right w:val="none" w:sz="0" w:space="0" w:color="auto"/>
          </w:divBdr>
        </w:div>
      </w:divsChild>
    </w:div>
    <w:div w:id="1313482963">
      <w:bodyDiv w:val="1"/>
      <w:marLeft w:val="0"/>
      <w:marRight w:val="0"/>
      <w:marTop w:val="0"/>
      <w:marBottom w:val="0"/>
      <w:divBdr>
        <w:top w:val="none" w:sz="0" w:space="0" w:color="auto"/>
        <w:left w:val="none" w:sz="0" w:space="0" w:color="auto"/>
        <w:bottom w:val="none" w:sz="0" w:space="0" w:color="auto"/>
        <w:right w:val="none" w:sz="0" w:space="0" w:color="auto"/>
      </w:divBdr>
    </w:div>
    <w:div w:id="1319649205">
      <w:bodyDiv w:val="1"/>
      <w:marLeft w:val="0"/>
      <w:marRight w:val="0"/>
      <w:marTop w:val="0"/>
      <w:marBottom w:val="0"/>
      <w:divBdr>
        <w:top w:val="none" w:sz="0" w:space="0" w:color="auto"/>
        <w:left w:val="none" w:sz="0" w:space="0" w:color="auto"/>
        <w:bottom w:val="none" w:sz="0" w:space="0" w:color="auto"/>
        <w:right w:val="none" w:sz="0" w:space="0" w:color="auto"/>
      </w:divBdr>
      <w:divsChild>
        <w:div w:id="327556836">
          <w:marLeft w:val="533"/>
          <w:marRight w:val="0"/>
          <w:marTop w:val="0"/>
          <w:marBottom w:val="120"/>
          <w:divBdr>
            <w:top w:val="none" w:sz="0" w:space="0" w:color="auto"/>
            <w:left w:val="none" w:sz="0" w:space="0" w:color="auto"/>
            <w:bottom w:val="none" w:sz="0" w:space="0" w:color="auto"/>
            <w:right w:val="none" w:sz="0" w:space="0" w:color="auto"/>
          </w:divBdr>
        </w:div>
        <w:div w:id="762920233">
          <w:marLeft w:val="533"/>
          <w:marRight w:val="0"/>
          <w:marTop w:val="0"/>
          <w:marBottom w:val="120"/>
          <w:divBdr>
            <w:top w:val="none" w:sz="0" w:space="0" w:color="auto"/>
            <w:left w:val="none" w:sz="0" w:space="0" w:color="auto"/>
            <w:bottom w:val="none" w:sz="0" w:space="0" w:color="auto"/>
            <w:right w:val="none" w:sz="0" w:space="0" w:color="auto"/>
          </w:divBdr>
        </w:div>
        <w:div w:id="1331713642">
          <w:marLeft w:val="533"/>
          <w:marRight w:val="0"/>
          <w:marTop w:val="0"/>
          <w:marBottom w:val="120"/>
          <w:divBdr>
            <w:top w:val="none" w:sz="0" w:space="0" w:color="auto"/>
            <w:left w:val="none" w:sz="0" w:space="0" w:color="auto"/>
            <w:bottom w:val="none" w:sz="0" w:space="0" w:color="auto"/>
            <w:right w:val="none" w:sz="0" w:space="0" w:color="auto"/>
          </w:divBdr>
        </w:div>
        <w:div w:id="1504280479">
          <w:marLeft w:val="533"/>
          <w:marRight w:val="0"/>
          <w:marTop w:val="0"/>
          <w:marBottom w:val="120"/>
          <w:divBdr>
            <w:top w:val="none" w:sz="0" w:space="0" w:color="auto"/>
            <w:left w:val="none" w:sz="0" w:space="0" w:color="auto"/>
            <w:bottom w:val="none" w:sz="0" w:space="0" w:color="auto"/>
            <w:right w:val="none" w:sz="0" w:space="0" w:color="auto"/>
          </w:divBdr>
        </w:div>
        <w:div w:id="1562978732">
          <w:marLeft w:val="533"/>
          <w:marRight w:val="0"/>
          <w:marTop w:val="0"/>
          <w:marBottom w:val="120"/>
          <w:divBdr>
            <w:top w:val="none" w:sz="0" w:space="0" w:color="auto"/>
            <w:left w:val="none" w:sz="0" w:space="0" w:color="auto"/>
            <w:bottom w:val="none" w:sz="0" w:space="0" w:color="auto"/>
            <w:right w:val="none" w:sz="0" w:space="0" w:color="auto"/>
          </w:divBdr>
        </w:div>
        <w:div w:id="1615819963">
          <w:marLeft w:val="533"/>
          <w:marRight w:val="0"/>
          <w:marTop w:val="0"/>
          <w:marBottom w:val="120"/>
          <w:divBdr>
            <w:top w:val="none" w:sz="0" w:space="0" w:color="auto"/>
            <w:left w:val="none" w:sz="0" w:space="0" w:color="auto"/>
            <w:bottom w:val="none" w:sz="0" w:space="0" w:color="auto"/>
            <w:right w:val="none" w:sz="0" w:space="0" w:color="auto"/>
          </w:divBdr>
        </w:div>
      </w:divsChild>
    </w:div>
    <w:div w:id="1337221444">
      <w:bodyDiv w:val="1"/>
      <w:marLeft w:val="0"/>
      <w:marRight w:val="0"/>
      <w:marTop w:val="0"/>
      <w:marBottom w:val="0"/>
      <w:divBdr>
        <w:top w:val="none" w:sz="0" w:space="0" w:color="auto"/>
        <w:left w:val="none" w:sz="0" w:space="0" w:color="auto"/>
        <w:bottom w:val="none" w:sz="0" w:space="0" w:color="auto"/>
        <w:right w:val="none" w:sz="0" w:space="0" w:color="auto"/>
      </w:divBdr>
    </w:div>
    <w:div w:id="1338652117">
      <w:bodyDiv w:val="1"/>
      <w:marLeft w:val="0"/>
      <w:marRight w:val="0"/>
      <w:marTop w:val="0"/>
      <w:marBottom w:val="0"/>
      <w:divBdr>
        <w:top w:val="none" w:sz="0" w:space="0" w:color="auto"/>
        <w:left w:val="none" w:sz="0" w:space="0" w:color="auto"/>
        <w:bottom w:val="none" w:sz="0" w:space="0" w:color="auto"/>
        <w:right w:val="none" w:sz="0" w:space="0" w:color="auto"/>
      </w:divBdr>
    </w:div>
    <w:div w:id="1346177999">
      <w:bodyDiv w:val="1"/>
      <w:marLeft w:val="0"/>
      <w:marRight w:val="0"/>
      <w:marTop w:val="0"/>
      <w:marBottom w:val="0"/>
      <w:divBdr>
        <w:top w:val="none" w:sz="0" w:space="0" w:color="auto"/>
        <w:left w:val="none" w:sz="0" w:space="0" w:color="auto"/>
        <w:bottom w:val="none" w:sz="0" w:space="0" w:color="auto"/>
        <w:right w:val="none" w:sz="0" w:space="0" w:color="auto"/>
      </w:divBdr>
    </w:div>
    <w:div w:id="1352419316">
      <w:bodyDiv w:val="1"/>
      <w:marLeft w:val="0"/>
      <w:marRight w:val="0"/>
      <w:marTop w:val="0"/>
      <w:marBottom w:val="0"/>
      <w:divBdr>
        <w:top w:val="none" w:sz="0" w:space="0" w:color="auto"/>
        <w:left w:val="none" w:sz="0" w:space="0" w:color="auto"/>
        <w:bottom w:val="none" w:sz="0" w:space="0" w:color="auto"/>
        <w:right w:val="none" w:sz="0" w:space="0" w:color="auto"/>
      </w:divBdr>
      <w:divsChild>
        <w:div w:id="93481933">
          <w:marLeft w:val="302"/>
          <w:marRight w:val="0"/>
          <w:marTop w:val="0"/>
          <w:marBottom w:val="0"/>
          <w:divBdr>
            <w:top w:val="none" w:sz="0" w:space="0" w:color="auto"/>
            <w:left w:val="none" w:sz="0" w:space="0" w:color="auto"/>
            <w:bottom w:val="none" w:sz="0" w:space="0" w:color="auto"/>
            <w:right w:val="none" w:sz="0" w:space="0" w:color="auto"/>
          </w:divBdr>
        </w:div>
        <w:div w:id="731583843">
          <w:marLeft w:val="302"/>
          <w:marRight w:val="0"/>
          <w:marTop w:val="0"/>
          <w:marBottom w:val="0"/>
          <w:divBdr>
            <w:top w:val="none" w:sz="0" w:space="0" w:color="auto"/>
            <w:left w:val="none" w:sz="0" w:space="0" w:color="auto"/>
            <w:bottom w:val="none" w:sz="0" w:space="0" w:color="auto"/>
            <w:right w:val="none" w:sz="0" w:space="0" w:color="auto"/>
          </w:divBdr>
        </w:div>
        <w:div w:id="807208565">
          <w:marLeft w:val="302"/>
          <w:marRight w:val="0"/>
          <w:marTop w:val="0"/>
          <w:marBottom w:val="0"/>
          <w:divBdr>
            <w:top w:val="none" w:sz="0" w:space="0" w:color="auto"/>
            <w:left w:val="none" w:sz="0" w:space="0" w:color="auto"/>
            <w:bottom w:val="none" w:sz="0" w:space="0" w:color="auto"/>
            <w:right w:val="none" w:sz="0" w:space="0" w:color="auto"/>
          </w:divBdr>
        </w:div>
        <w:div w:id="893321264">
          <w:marLeft w:val="302"/>
          <w:marRight w:val="0"/>
          <w:marTop w:val="0"/>
          <w:marBottom w:val="0"/>
          <w:divBdr>
            <w:top w:val="none" w:sz="0" w:space="0" w:color="auto"/>
            <w:left w:val="none" w:sz="0" w:space="0" w:color="auto"/>
            <w:bottom w:val="none" w:sz="0" w:space="0" w:color="auto"/>
            <w:right w:val="none" w:sz="0" w:space="0" w:color="auto"/>
          </w:divBdr>
        </w:div>
        <w:div w:id="907960747">
          <w:marLeft w:val="302"/>
          <w:marRight w:val="0"/>
          <w:marTop w:val="0"/>
          <w:marBottom w:val="0"/>
          <w:divBdr>
            <w:top w:val="none" w:sz="0" w:space="0" w:color="auto"/>
            <w:left w:val="none" w:sz="0" w:space="0" w:color="auto"/>
            <w:bottom w:val="none" w:sz="0" w:space="0" w:color="auto"/>
            <w:right w:val="none" w:sz="0" w:space="0" w:color="auto"/>
          </w:divBdr>
        </w:div>
      </w:divsChild>
    </w:div>
    <w:div w:id="1359552483">
      <w:bodyDiv w:val="1"/>
      <w:marLeft w:val="0"/>
      <w:marRight w:val="0"/>
      <w:marTop w:val="0"/>
      <w:marBottom w:val="0"/>
      <w:divBdr>
        <w:top w:val="none" w:sz="0" w:space="0" w:color="auto"/>
        <w:left w:val="none" w:sz="0" w:space="0" w:color="auto"/>
        <w:bottom w:val="none" w:sz="0" w:space="0" w:color="auto"/>
        <w:right w:val="none" w:sz="0" w:space="0" w:color="auto"/>
      </w:divBdr>
    </w:div>
    <w:div w:id="1361588840">
      <w:bodyDiv w:val="1"/>
      <w:marLeft w:val="0"/>
      <w:marRight w:val="0"/>
      <w:marTop w:val="0"/>
      <w:marBottom w:val="0"/>
      <w:divBdr>
        <w:top w:val="none" w:sz="0" w:space="0" w:color="auto"/>
        <w:left w:val="none" w:sz="0" w:space="0" w:color="auto"/>
        <w:bottom w:val="none" w:sz="0" w:space="0" w:color="auto"/>
        <w:right w:val="none" w:sz="0" w:space="0" w:color="auto"/>
      </w:divBdr>
    </w:div>
    <w:div w:id="1368531553">
      <w:bodyDiv w:val="1"/>
      <w:marLeft w:val="0"/>
      <w:marRight w:val="0"/>
      <w:marTop w:val="0"/>
      <w:marBottom w:val="0"/>
      <w:divBdr>
        <w:top w:val="none" w:sz="0" w:space="0" w:color="auto"/>
        <w:left w:val="none" w:sz="0" w:space="0" w:color="auto"/>
        <w:bottom w:val="none" w:sz="0" w:space="0" w:color="auto"/>
        <w:right w:val="none" w:sz="0" w:space="0" w:color="auto"/>
      </w:divBdr>
    </w:div>
    <w:div w:id="1370958420">
      <w:bodyDiv w:val="1"/>
      <w:marLeft w:val="0"/>
      <w:marRight w:val="0"/>
      <w:marTop w:val="0"/>
      <w:marBottom w:val="0"/>
      <w:divBdr>
        <w:top w:val="none" w:sz="0" w:space="0" w:color="auto"/>
        <w:left w:val="none" w:sz="0" w:space="0" w:color="auto"/>
        <w:bottom w:val="none" w:sz="0" w:space="0" w:color="auto"/>
        <w:right w:val="none" w:sz="0" w:space="0" w:color="auto"/>
      </w:divBdr>
      <w:divsChild>
        <w:div w:id="129830050">
          <w:marLeft w:val="432"/>
          <w:marRight w:val="0"/>
          <w:marTop w:val="0"/>
          <w:marBottom w:val="0"/>
          <w:divBdr>
            <w:top w:val="none" w:sz="0" w:space="0" w:color="auto"/>
            <w:left w:val="none" w:sz="0" w:space="0" w:color="auto"/>
            <w:bottom w:val="none" w:sz="0" w:space="0" w:color="auto"/>
            <w:right w:val="none" w:sz="0" w:space="0" w:color="auto"/>
          </w:divBdr>
        </w:div>
        <w:div w:id="457726862">
          <w:marLeft w:val="432"/>
          <w:marRight w:val="0"/>
          <w:marTop w:val="0"/>
          <w:marBottom w:val="0"/>
          <w:divBdr>
            <w:top w:val="none" w:sz="0" w:space="0" w:color="auto"/>
            <w:left w:val="none" w:sz="0" w:space="0" w:color="auto"/>
            <w:bottom w:val="none" w:sz="0" w:space="0" w:color="auto"/>
            <w:right w:val="none" w:sz="0" w:space="0" w:color="auto"/>
          </w:divBdr>
        </w:div>
        <w:div w:id="575747439">
          <w:marLeft w:val="432"/>
          <w:marRight w:val="0"/>
          <w:marTop w:val="0"/>
          <w:marBottom w:val="0"/>
          <w:divBdr>
            <w:top w:val="none" w:sz="0" w:space="0" w:color="auto"/>
            <w:left w:val="none" w:sz="0" w:space="0" w:color="auto"/>
            <w:bottom w:val="none" w:sz="0" w:space="0" w:color="auto"/>
            <w:right w:val="none" w:sz="0" w:space="0" w:color="auto"/>
          </w:divBdr>
        </w:div>
        <w:div w:id="830606617">
          <w:marLeft w:val="432"/>
          <w:marRight w:val="0"/>
          <w:marTop w:val="0"/>
          <w:marBottom w:val="0"/>
          <w:divBdr>
            <w:top w:val="none" w:sz="0" w:space="0" w:color="auto"/>
            <w:left w:val="none" w:sz="0" w:space="0" w:color="auto"/>
            <w:bottom w:val="none" w:sz="0" w:space="0" w:color="auto"/>
            <w:right w:val="none" w:sz="0" w:space="0" w:color="auto"/>
          </w:divBdr>
        </w:div>
        <w:div w:id="1164659999">
          <w:marLeft w:val="432"/>
          <w:marRight w:val="0"/>
          <w:marTop w:val="0"/>
          <w:marBottom w:val="0"/>
          <w:divBdr>
            <w:top w:val="none" w:sz="0" w:space="0" w:color="auto"/>
            <w:left w:val="none" w:sz="0" w:space="0" w:color="auto"/>
            <w:bottom w:val="none" w:sz="0" w:space="0" w:color="auto"/>
            <w:right w:val="none" w:sz="0" w:space="0" w:color="auto"/>
          </w:divBdr>
        </w:div>
        <w:div w:id="1395926712">
          <w:marLeft w:val="432"/>
          <w:marRight w:val="0"/>
          <w:marTop w:val="0"/>
          <w:marBottom w:val="0"/>
          <w:divBdr>
            <w:top w:val="none" w:sz="0" w:space="0" w:color="auto"/>
            <w:left w:val="none" w:sz="0" w:space="0" w:color="auto"/>
            <w:bottom w:val="none" w:sz="0" w:space="0" w:color="auto"/>
            <w:right w:val="none" w:sz="0" w:space="0" w:color="auto"/>
          </w:divBdr>
        </w:div>
        <w:div w:id="1490369887">
          <w:marLeft w:val="432"/>
          <w:marRight w:val="0"/>
          <w:marTop w:val="0"/>
          <w:marBottom w:val="0"/>
          <w:divBdr>
            <w:top w:val="none" w:sz="0" w:space="0" w:color="auto"/>
            <w:left w:val="none" w:sz="0" w:space="0" w:color="auto"/>
            <w:bottom w:val="none" w:sz="0" w:space="0" w:color="auto"/>
            <w:right w:val="none" w:sz="0" w:space="0" w:color="auto"/>
          </w:divBdr>
        </w:div>
        <w:div w:id="2034182790">
          <w:marLeft w:val="432"/>
          <w:marRight w:val="0"/>
          <w:marTop w:val="0"/>
          <w:marBottom w:val="0"/>
          <w:divBdr>
            <w:top w:val="none" w:sz="0" w:space="0" w:color="auto"/>
            <w:left w:val="none" w:sz="0" w:space="0" w:color="auto"/>
            <w:bottom w:val="none" w:sz="0" w:space="0" w:color="auto"/>
            <w:right w:val="none" w:sz="0" w:space="0" w:color="auto"/>
          </w:divBdr>
        </w:div>
      </w:divsChild>
    </w:div>
    <w:div w:id="1376538846">
      <w:bodyDiv w:val="1"/>
      <w:marLeft w:val="0"/>
      <w:marRight w:val="0"/>
      <w:marTop w:val="0"/>
      <w:marBottom w:val="0"/>
      <w:divBdr>
        <w:top w:val="none" w:sz="0" w:space="0" w:color="auto"/>
        <w:left w:val="none" w:sz="0" w:space="0" w:color="auto"/>
        <w:bottom w:val="none" w:sz="0" w:space="0" w:color="auto"/>
        <w:right w:val="none" w:sz="0" w:space="0" w:color="auto"/>
      </w:divBdr>
      <w:divsChild>
        <w:div w:id="180050616">
          <w:marLeft w:val="302"/>
          <w:marRight w:val="0"/>
          <w:marTop w:val="0"/>
          <w:marBottom w:val="0"/>
          <w:divBdr>
            <w:top w:val="none" w:sz="0" w:space="0" w:color="auto"/>
            <w:left w:val="none" w:sz="0" w:space="0" w:color="auto"/>
            <w:bottom w:val="none" w:sz="0" w:space="0" w:color="auto"/>
            <w:right w:val="none" w:sz="0" w:space="0" w:color="auto"/>
          </w:divBdr>
        </w:div>
        <w:div w:id="379595754">
          <w:marLeft w:val="302"/>
          <w:marRight w:val="0"/>
          <w:marTop w:val="0"/>
          <w:marBottom w:val="0"/>
          <w:divBdr>
            <w:top w:val="none" w:sz="0" w:space="0" w:color="auto"/>
            <w:left w:val="none" w:sz="0" w:space="0" w:color="auto"/>
            <w:bottom w:val="none" w:sz="0" w:space="0" w:color="auto"/>
            <w:right w:val="none" w:sz="0" w:space="0" w:color="auto"/>
          </w:divBdr>
        </w:div>
        <w:div w:id="1215265848">
          <w:marLeft w:val="302"/>
          <w:marRight w:val="0"/>
          <w:marTop w:val="0"/>
          <w:marBottom w:val="0"/>
          <w:divBdr>
            <w:top w:val="none" w:sz="0" w:space="0" w:color="auto"/>
            <w:left w:val="none" w:sz="0" w:space="0" w:color="auto"/>
            <w:bottom w:val="none" w:sz="0" w:space="0" w:color="auto"/>
            <w:right w:val="none" w:sz="0" w:space="0" w:color="auto"/>
          </w:divBdr>
        </w:div>
        <w:div w:id="1525173840">
          <w:marLeft w:val="302"/>
          <w:marRight w:val="0"/>
          <w:marTop w:val="0"/>
          <w:marBottom w:val="0"/>
          <w:divBdr>
            <w:top w:val="none" w:sz="0" w:space="0" w:color="auto"/>
            <w:left w:val="none" w:sz="0" w:space="0" w:color="auto"/>
            <w:bottom w:val="none" w:sz="0" w:space="0" w:color="auto"/>
            <w:right w:val="none" w:sz="0" w:space="0" w:color="auto"/>
          </w:divBdr>
        </w:div>
      </w:divsChild>
    </w:div>
    <w:div w:id="1377199042">
      <w:bodyDiv w:val="1"/>
      <w:marLeft w:val="0"/>
      <w:marRight w:val="0"/>
      <w:marTop w:val="0"/>
      <w:marBottom w:val="0"/>
      <w:divBdr>
        <w:top w:val="none" w:sz="0" w:space="0" w:color="auto"/>
        <w:left w:val="none" w:sz="0" w:space="0" w:color="auto"/>
        <w:bottom w:val="none" w:sz="0" w:space="0" w:color="auto"/>
        <w:right w:val="none" w:sz="0" w:space="0" w:color="auto"/>
      </w:divBdr>
    </w:div>
    <w:div w:id="1389652284">
      <w:bodyDiv w:val="1"/>
      <w:marLeft w:val="0"/>
      <w:marRight w:val="0"/>
      <w:marTop w:val="0"/>
      <w:marBottom w:val="0"/>
      <w:divBdr>
        <w:top w:val="none" w:sz="0" w:space="0" w:color="auto"/>
        <w:left w:val="none" w:sz="0" w:space="0" w:color="auto"/>
        <w:bottom w:val="none" w:sz="0" w:space="0" w:color="auto"/>
        <w:right w:val="none" w:sz="0" w:space="0" w:color="auto"/>
      </w:divBdr>
      <w:divsChild>
        <w:div w:id="968433360">
          <w:marLeft w:val="288"/>
          <w:marRight w:val="0"/>
          <w:marTop w:val="0"/>
          <w:marBottom w:val="120"/>
          <w:divBdr>
            <w:top w:val="none" w:sz="0" w:space="0" w:color="auto"/>
            <w:left w:val="none" w:sz="0" w:space="0" w:color="auto"/>
            <w:bottom w:val="none" w:sz="0" w:space="0" w:color="auto"/>
            <w:right w:val="none" w:sz="0" w:space="0" w:color="auto"/>
          </w:divBdr>
        </w:div>
        <w:div w:id="1671759784">
          <w:marLeft w:val="288"/>
          <w:marRight w:val="0"/>
          <w:marTop w:val="0"/>
          <w:marBottom w:val="120"/>
          <w:divBdr>
            <w:top w:val="none" w:sz="0" w:space="0" w:color="auto"/>
            <w:left w:val="none" w:sz="0" w:space="0" w:color="auto"/>
            <w:bottom w:val="none" w:sz="0" w:space="0" w:color="auto"/>
            <w:right w:val="none" w:sz="0" w:space="0" w:color="auto"/>
          </w:divBdr>
        </w:div>
      </w:divsChild>
    </w:div>
    <w:div w:id="1390150406">
      <w:bodyDiv w:val="1"/>
      <w:marLeft w:val="0"/>
      <w:marRight w:val="0"/>
      <w:marTop w:val="0"/>
      <w:marBottom w:val="0"/>
      <w:divBdr>
        <w:top w:val="none" w:sz="0" w:space="0" w:color="auto"/>
        <w:left w:val="none" w:sz="0" w:space="0" w:color="auto"/>
        <w:bottom w:val="none" w:sz="0" w:space="0" w:color="auto"/>
        <w:right w:val="none" w:sz="0" w:space="0" w:color="auto"/>
      </w:divBdr>
    </w:div>
    <w:div w:id="1416512494">
      <w:bodyDiv w:val="1"/>
      <w:marLeft w:val="0"/>
      <w:marRight w:val="0"/>
      <w:marTop w:val="0"/>
      <w:marBottom w:val="0"/>
      <w:divBdr>
        <w:top w:val="none" w:sz="0" w:space="0" w:color="auto"/>
        <w:left w:val="none" w:sz="0" w:space="0" w:color="auto"/>
        <w:bottom w:val="none" w:sz="0" w:space="0" w:color="auto"/>
        <w:right w:val="none" w:sz="0" w:space="0" w:color="auto"/>
      </w:divBdr>
    </w:div>
    <w:div w:id="1428189793">
      <w:bodyDiv w:val="1"/>
      <w:marLeft w:val="0"/>
      <w:marRight w:val="0"/>
      <w:marTop w:val="0"/>
      <w:marBottom w:val="0"/>
      <w:divBdr>
        <w:top w:val="none" w:sz="0" w:space="0" w:color="auto"/>
        <w:left w:val="none" w:sz="0" w:space="0" w:color="auto"/>
        <w:bottom w:val="none" w:sz="0" w:space="0" w:color="auto"/>
        <w:right w:val="none" w:sz="0" w:space="0" w:color="auto"/>
      </w:divBdr>
      <w:divsChild>
        <w:div w:id="195429833">
          <w:marLeft w:val="274"/>
          <w:marRight w:val="0"/>
          <w:marTop w:val="0"/>
          <w:marBottom w:val="0"/>
          <w:divBdr>
            <w:top w:val="none" w:sz="0" w:space="0" w:color="auto"/>
            <w:left w:val="none" w:sz="0" w:space="0" w:color="auto"/>
            <w:bottom w:val="none" w:sz="0" w:space="0" w:color="auto"/>
            <w:right w:val="none" w:sz="0" w:space="0" w:color="auto"/>
          </w:divBdr>
        </w:div>
        <w:div w:id="644361641">
          <w:marLeft w:val="274"/>
          <w:marRight w:val="0"/>
          <w:marTop w:val="0"/>
          <w:marBottom w:val="0"/>
          <w:divBdr>
            <w:top w:val="none" w:sz="0" w:space="0" w:color="auto"/>
            <w:left w:val="none" w:sz="0" w:space="0" w:color="auto"/>
            <w:bottom w:val="none" w:sz="0" w:space="0" w:color="auto"/>
            <w:right w:val="none" w:sz="0" w:space="0" w:color="auto"/>
          </w:divBdr>
        </w:div>
        <w:div w:id="950092328">
          <w:marLeft w:val="274"/>
          <w:marRight w:val="0"/>
          <w:marTop w:val="0"/>
          <w:marBottom w:val="0"/>
          <w:divBdr>
            <w:top w:val="none" w:sz="0" w:space="0" w:color="auto"/>
            <w:left w:val="none" w:sz="0" w:space="0" w:color="auto"/>
            <w:bottom w:val="none" w:sz="0" w:space="0" w:color="auto"/>
            <w:right w:val="none" w:sz="0" w:space="0" w:color="auto"/>
          </w:divBdr>
        </w:div>
        <w:div w:id="1063721282">
          <w:marLeft w:val="274"/>
          <w:marRight w:val="0"/>
          <w:marTop w:val="0"/>
          <w:marBottom w:val="0"/>
          <w:divBdr>
            <w:top w:val="none" w:sz="0" w:space="0" w:color="auto"/>
            <w:left w:val="none" w:sz="0" w:space="0" w:color="auto"/>
            <w:bottom w:val="none" w:sz="0" w:space="0" w:color="auto"/>
            <w:right w:val="none" w:sz="0" w:space="0" w:color="auto"/>
          </w:divBdr>
        </w:div>
        <w:div w:id="1216087566">
          <w:marLeft w:val="274"/>
          <w:marRight w:val="0"/>
          <w:marTop w:val="0"/>
          <w:marBottom w:val="0"/>
          <w:divBdr>
            <w:top w:val="none" w:sz="0" w:space="0" w:color="auto"/>
            <w:left w:val="none" w:sz="0" w:space="0" w:color="auto"/>
            <w:bottom w:val="none" w:sz="0" w:space="0" w:color="auto"/>
            <w:right w:val="none" w:sz="0" w:space="0" w:color="auto"/>
          </w:divBdr>
        </w:div>
        <w:div w:id="1491215111">
          <w:marLeft w:val="274"/>
          <w:marRight w:val="0"/>
          <w:marTop w:val="0"/>
          <w:marBottom w:val="0"/>
          <w:divBdr>
            <w:top w:val="none" w:sz="0" w:space="0" w:color="auto"/>
            <w:left w:val="none" w:sz="0" w:space="0" w:color="auto"/>
            <w:bottom w:val="none" w:sz="0" w:space="0" w:color="auto"/>
            <w:right w:val="none" w:sz="0" w:space="0" w:color="auto"/>
          </w:divBdr>
        </w:div>
      </w:divsChild>
    </w:div>
    <w:div w:id="1428306594">
      <w:bodyDiv w:val="1"/>
      <w:marLeft w:val="0"/>
      <w:marRight w:val="0"/>
      <w:marTop w:val="0"/>
      <w:marBottom w:val="0"/>
      <w:divBdr>
        <w:top w:val="none" w:sz="0" w:space="0" w:color="auto"/>
        <w:left w:val="none" w:sz="0" w:space="0" w:color="auto"/>
        <w:bottom w:val="none" w:sz="0" w:space="0" w:color="auto"/>
        <w:right w:val="none" w:sz="0" w:space="0" w:color="auto"/>
      </w:divBdr>
      <w:divsChild>
        <w:div w:id="338846866">
          <w:marLeft w:val="994"/>
          <w:marRight w:val="0"/>
          <w:marTop w:val="0"/>
          <w:marBottom w:val="0"/>
          <w:divBdr>
            <w:top w:val="none" w:sz="0" w:space="0" w:color="auto"/>
            <w:left w:val="none" w:sz="0" w:space="0" w:color="auto"/>
            <w:bottom w:val="none" w:sz="0" w:space="0" w:color="auto"/>
            <w:right w:val="none" w:sz="0" w:space="0" w:color="auto"/>
          </w:divBdr>
        </w:div>
        <w:div w:id="348914533">
          <w:marLeft w:val="994"/>
          <w:marRight w:val="0"/>
          <w:marTop w:val="0"/>
          <w:marBottom w:val="0"/>
          <w:divBdr>
            <w:top w:val="none" w:sz="0" w:space="0" w:color="auto"/>
            <w:left w:val="none" w:sz="0" w:space="0" w:color="auto"/>
            <w:bottom w:val="none" w:sz="0" w:space="0" w:color="auto"/>
            <w:right w:val="none" w:sz="0" w:space="0" w:color="auto"/>
          </w:divBdr>
        </w:div>
        <w:div w:id="372539249">
          <w:marLeft w:val="994"/>
          <w:marRight w:val="0"/>
          <w:marTop w:val="0"/>
          <w:marBottom w:val="0"/>
          <w:divBdr>
            <w:top w:val="none" w:sz="0" w:space="0" w:color="auto"/>
            <w:left w:val="none" w:sz="0" w:space="0" w:color="auto"/>
            <w:bottom w:val="none" w:sz="0" w:space="0" w:color="auto"/>
            <w:right w:val="none" w:sz="0" w:space="0" w:color="auto"/>
          </w:divBdr>
        </w:div>
        <w:div w:id="418259449">
          <w:marLeft w:val="994"/>
          <w:marRight w:val="0"/>
          <w:marTop w:val="0"/>
          <w:marBottom w:val="0"/>
          <w:divBdr>
            <w:top w:val="none" w:sz="0" w:space="0" w:color="auto"/>
            <w:left w:val="none" w:sz="0" w:space="0" w:color="auto"/>
            <w:bottom w:val="none" w:sz="0" w:space="0" w:color="auto"/>
            <w:right w:val="none" w:sz="0" w:space="0" w:color="auto"/>
          </w:divBdr>
        </w:div>
        <w:div w:id="815686559">
          <w:marLeft w:val="432"/>
          <w:marRight w:val="0"/>
          <w:marTop w:val="0"/>
          <w:marBottom w:val="0"/>
          <w:divBdr>
            <w:top w:val="none" w:sz="0" w:space="0" w:color="auto"/>
            <w:left w:val="none" w:sz="0" w:space="0" w:color="auto"/>
            <w:bottom w:val="none" w:sz="0" w:space="0" w:color="auto"/>
            <w:right w:val="none" w:sz="0" w:space="0" w:color="auto"/>
          </w:divBdr>
        </w:div>
        <w:div w:id="851921712">
          <w:marLeft w:val="994"/>
          <w:marRight w:val="0"/>
          <w:marTop w:val="0"/>
          <w:marBottom w:val="0"/>
          <w:divBdr>
            <w:top w:val="none" w:sz="0" w:space="0" w:color="auto"/>
            <w:left w:val="none" w:sz="0" w:space="0" w:color="auto"/>
            <w:bottom w:val="none" w:sz="0" w:space="0" w:color="auto"/>
            <w:right w:val="none" w:sz="0" w:space="0" w:color="auto"/>
          </w:divBdr>
        </w:div>
        <w:div w:id="977145818">
          <w:marLeft w:val="994"/>
          <w:marRight w:val="0"/>
          <w:marTop w:val="0"/>
          <w:marBottom w:val="0"/>
          <w:divBdr>
            <w:top w:val="none" w:sz="0" w:space="0" w:color="auto"/>
            <w:left w:val="none" w:sz="0" w:space="0" w:color="auto"/>
            <w:bottom w:val="none" w:sz="0" w:space="0" w:color="auto"/>
            <w:right w:val="none" w:sz="0" w:space="0" w:color="auto"/>
          </w:divBdr>
        </w:div>
        <w:div w:id="2040860265">
          <w:marLeft w:val="432"/>
          <w:marRight w:val="0"/>
          <w:marTop w:val="0"/>
          <w:marBottom w:val="0"/>
          <w:divBdr>
            <w:top w:val="none" w:sz="0" w:space="0" w:color="auto"/>
            <w:left w:val="none" w:sz="0" w:space="0" w:color="auto"/>
            <w:bottom w:val="none" w:sz="0" w:space="0" w:color="auto"/>
            <w:right w:val="none" w:sz="0" w:space="0" w:color="auto"/>
          </w:divBdr>
        </w:div>
      </w:divsChild>
    </w:div>
    <w:div w:id="1432973407">
      <w:bodyDiv w:val="1"/>
      <w:marLeft w:val="0"/>
      <w:marRight w:val="0"/>
      <w:marTop w:val="0"/>
      <w:marBottom w:val="0"/>
      <w:divBdr>
        <w:top w:val="none" w:sz="0" w:space="0" w:color="auto"/>
        <w:left w:val="none" w:sz="0" w:space="0" w:color="auto"/>
        <w:bottom w:val="none" w:sz="0" w:space="0" w:color="auto"/>
        <w:right w:val="none" w:sz="0" w:space="0" w:color="auto"/>
      </w:divBdr>
    </w:div>
    <w:div w:id="1444425922">
      <w:bodyDiv w:val="1"/>
      <w:marLeft w:val="0"/>
      <w:marRight w:val="0"/>
      <w:marTop w:val="0"/>
      <w:marBottom w:val="0"/>
      <w:divBdr>
        <w:top w:val="none" w:sz="0" w:space="0" w:color="auto"/>
        <w:left w:val="none" w:sz="0" w:space="0" w:color="auto"/>
        <w:bottom w:val="none" w:sz="0" w:space="0" w:color="auto"/>
        <w:right w:val="none" w:sz="0" w:space="0" w:color="auto"/>
      </w:divBdr>
    </w:div>
    <w:div w:id="1444495261">
      <w:bodyDiv w:val="1"/>
      <w:marLeft w:val="0"/>
      <w:marRight w:val="0"/>
      <w:marTop w:val="0"/>
      <w:marBottom w:val="0"/>
      <w:divBdr>
        <w:top w:val="none" w:sz="0" w:space="0" w:color="auto"/>
        <w:left w:val="none" w:sz="0" w:space="0" w:color="auto"/>
        <w:bottom w:val="none" w:sz="0" w:space="0" w:color="auto"/>
        <w:right w:val="none" w:sz="0" w:space="0" w:color="auto"/>
      </w:divBdr>
      <w:divsChild>
        <w:div w:id="1227912666">
          <w:marLeft w:val="274"/>
          <w:marRight w:val="0"/>
          <w:marTop w:val="0"/>
          <w:marBottom w:val="0"/>
          <w:divBdr>
            <w:top w:val="none" w:sz="0" w:space="0" w:color="auto"/>
            <w:left w:val="none" w:sz="0" w:space="0" w:color="auto"/>
            <w:bottom w:val="none" w:sz="0" w:space="0" w:color="auto"/>
            <w:right w:val="none" w:sz="0" w:space="0" w:color="auto"/>
          </w:divBdr>
        </w:div>
        <w:div w:id="1857959302">
          <w:marLeft w:val="274"/>
          <w:marRight w:val="0"/>
          <w:marTop w:val="0"/>
          <w:marBottom w:val="0"/>
          <w:divBdr>
            <w:top w:val="none" w:sz="0" w:space="0" w:color="auto"/>
            <w:left w:val="none" w:sz="0" w:space="0" w:color="auto"/>
            <w:bottom w:val="none" w:sz="0" w:space="0" w:color="auto"/>
            <w:right w:val="none" w:sz="0" w:space="0" w:color="auto"/>
          </w:divBdr>
        </w:div>
        <w:div w:id="1930500484">
          <w:marLeft w:val="274"/>
          <w:marRight w:val="0"/>
          <w:marTop w:val="0"/>
          <w:marBottom w:val="0"/>
          <w:divBdr>
            <w:top w:val="none" w:sz="0" w:space="0" w:color="auto"/>
            <w:left w:val="none" w:sz="0" w:space="0" w:color="auto"/>
            <w:bottom w:val="none" w:sz="0" w:space="0" w:color="auto"/>
            <w:right w:val="none" w:sz="0" w:space="0" w:color="auto"/>
          </w:divBdr>
        </w:div>
      </w:divsChild>
    </w:div>
    <w:div w:id="1449818429">
      <w:bodyDiv w:val="1"/>
      <w:marLeft w:val="0"/>
      <w:marRight w:val="0"/>
      <w:marTop w:val="0"/>
      <w:marBottom w:val="0"/>
      <w:divBdr>
        <w:top w:val="none" w:sz="0" w:space="0" w:color="auto"/>
        <w:left w:val="none" w:sz="0" w:space="0" w:color="auto"/>
        <w:bottom w:val="none" w:sz="0" w:space="0" w:color="auto"/>
        <w:right w:val="none" w:sz="0" w:space="0" w:color="auto"/>
      </w:divBdr>
    </w:div>
    <w:div w:id="1454011765">
      <w:bodyDiv w:val="1"/>
      <w:marLeft w:val="0"/>
      <w:marRight w:val="0"/>
      <w:marTop w:val="0"/>
      <w:marBottom w:val="0"/>
      <w:divBdr>
        <w:top w:val="none" w:sz="0" w:space="0" w:color="auto"/>
        <w:left w:val="none" w:sz="0" w:space="0" w:color="auto"/>
        <w:bottom w:val="none" w:sz="0" w:space="0" w:color="auto"/>
        <w:right w:val="none" w:sz="0" w:space="0" w:color="auto"/>
      </w:divBdr>
    </w:div>
    <w:div w:id="1454712933">
      <w:bodyDiv w:val="1"/>
      <w:marLeft w:val="0"/>
      <w:marRight w:val="0"/>
      <w:marTop w:val="0"/>
      <w:marBottom w:val="0"/>
      <w:divBdr>
        <w:top w:val="none" w:sz="0" w:space="0" w:color="auto"/>
        <w:left w:val="none" w:sz="0" w:space="0" w:color="auto"/>
        <w:bottom w:val="none" w:sz="0" w:space="0" w:color="auto"/>
        <w:right w:val="none" w:sz="0" w:space="0" w:color="auto"/>
      </w:divBdr>
      <w:divsChild>
        <w:div w:id="55666634">
          <w:marLeft w:val="302"/>
          <w:marRight w:val="0"/>
          <w:marTop w:val="0"/>
          <w:marBottom w:val="0"/>
          <w:divBdr>
            <w:top w:val="none" w:sz="0" w:space="0" w:color="auto"/>
            <w:left w:val="none" w:sz="0" w:space="0" w:color="auto"/>
            <w:bottom w:val="none" w:sz="0" w:space="0" w:color="auto"/>
            <w:right w:val="none" w:sz="0" w:space="0" w:color="auto"/>
          </w:divBdr>
        </w:div>
        <w:div w:id="318117148">
          <w:marLeft w:val="302"/>
          <w:marRight w:val="0"/>
          <w:marTop w:val="0"/>
          <w:marBottom w:val="0"/>
          <w:divBdr>
            <w:top w:val="none" w:sz="0" w:space="0" w:color="auto"/>
            <w:left w:val="none" w:sz="0" w:space="0" w:color="auto"/>
            <w:bottom w:val="none" w:sz="0" w:space="0" w:color="auto"/>
            <w:right w:val="none" w:sz="0" w:space="0" w:color="auto"/>
          </w:divBdr>
        </w:div>
        <w:div w:id="828717227">
          <w:marLeft w:val="302"/>
          <w:marRight w:val="0"/>
          <w:marTop w:val="0"/>
          <w:marBottom w:val="0"/>
          <w:divBdr>
            <w:top w:val="none" w:sz="0" w:space="0" w:color="auto"/>
            <w:left w:val="none" w:sz="0" w:space="0" w:color="auto"/>
            <w:bottom w:val="none" w:sz="0" w:space="0" w:color="auto"/>
            <w:right w:val="none" w:sz="0" w:space="0" w:color="auto"/>
          </w:divBdr>
        </w:div>
        <w:div w:id="980158693">
          <w:marLeft w:val="302"/>
          <w:marRight w:val="0"/>
          <w:marTop w:val="0"/>
          <w:marBottom w:val="0"/>
          <w:divBdr>
            <w:top w:val="none" w:sz="0" w:space="0" w:color="auto"/>
            <w:left w:val="none" w:sz="0" w:space="0" w:color="auto"/>
            <w:bottom w:val="none" w:sz="0" w:space="0" w:color="auto"/>
            <w:right w:val="none" w:sz="0" w:space="0" w:color="auto"/>
          </w:divBdr>
        </w:div>
        <w:div w:id="1094667327">
          <w:marLeft w:val="302"/>
          <w:marRight w:val="0"/>
          <w:marTop w:val="0"/>
          <w:marBottom w:val="0"/>
          <w:divBdr>
            <w:top w:val="none" w:sz="0" w:space="0" w:color="auto"/>
            <w:left w:val="none" w:sz="0" w:space="0" w:color="auto"/>
            <w:bottom w:val="none" w:sz="0" w:space="0" w:color="auto"/>
            <w:right w:val="none" w:sz="0" w:space="0" w:color="auto"/>
          </w:divBdr>
        </w:div>
        <w:div w:id="1654066646">
          <w:marLeft w:val="302"/>
          <w:marRight w:val="0"/>
          <w:marTop w:val="0"/>
          <w:marBottom w:val="0"/>
          <w:divBdr>
            <w:top w:val="none" w:sz="0" w:space="0" w:color="auto"/>
            <w:left w:val="none" w:sz="0" w:space="0" w:color="auto"/>
            <w:bottom w:val="none" w:sz="0" w:space="0" w:color="auto"/>
            <w:right w:val="none" w:sz="0" w:space="0" w:color="auto"/>
          </w:divBdr>
        </w:div>
      </w:divsChild>
    </w:div>
    <w:div w:id="1457483621">
      <w:bodyDiv w:val="1"/>
      <w:marLeft w:val="0"/>
      <w:marRight w:val="0"/>
      <w:marTop w:val="0"/>
      <w:marBottom w:val="0"/>
      <w:divBdr>
        <w:top w:val="none" w:sz="0" w:space="0" w:color="auto"/>
        <w:left w:val="none" w:sz="0" w:space="0" w:color="auto"/>
        <w:bottom w:val="none" w:sz="0" w:space="0" w:color="auto"/>
        <w:right w:val="none" w:sz="0" w:space="0" w:color="auto"/>
      </w:divBdr>
    </w:div>
    <w:div w:id="1459487773">
      <w:bodyDiv w:val="1"/>
      <w:marLeft w:val="0"/>
      <w:marRight w:val="0"/>
      <w:marTop w:val="0"/>
      <w:marBottom w:val="0"/>
      <w:divBdr>
        <w:top w:val="none" w:sz="0" w:space="0" w:color="auto"/>
        <w:left w:val="none" w:sz="0" w:space="0" w:color="auto"/>
        <w:bottom w:val="none" w:sz="0" w:space="0" w:color="auto"/>
        <w:right w:val="none" w:sz="0" w:space="0" w:color="auto"/>
      </w:divBdr>
      <w:divsChild>
        <w:div w:id="1584756486">
          <w:marLeft w:val="302"/>
          <w:marRight w:val="0"/>
          <w:marTop w:val="0"/>
          <w:marBottom w:val="0"/>
          <w:divBdr>
            <w:top w:val="none" w:sz="0" w:space="0" w:color="auto"/>
            <w:left w:val="none" w:sz="0" w:space="0" w:color="auto"/>
            <w:bottom w:val="none" w:sz="0" w:space="0" w:color="auto"/>
            <w:right w:val="none" w:sz="0" w:space="0" w:color="auto"/>
          </w:divBdr>
        </w:div>
      </w:divsChild>
    </w:div>
    <w:div w:id="1463963144">
      <w:bodyDiv w:val="1"/>
      <w:marLeft w:val="0"/>
      <w:marRight w:val="0"/>
      <w:marTop w:val="0"/>
      <w:marBottom w:val="0"/>
      <w:divBdr>
        <w:top w:val="none" w:sz="0" w:space="0" w:color="auto"/>
        <w:left w:val="none" w:sz="0" w:space="0" w:color="auto"/>
        <w:bottom w:val="none" w:sz="0" w:space="0" w:color="auto"/>
        <w:right w:val="none" w:sz="0" w:space="0" w:color="auto"/>
      </w:divBdr>
    </w:div>
    <w:div w:id="1464227346">
      <w:bodyDiv w:val="1"/>
      <w:marLeft w:val="0"/>
      <w:marRight w:val="0"/>
      <w:marTop w:val="0"/>
      <w:marBottom w:val="0"/>
      <w:divBdr>
        <w:top w:val="none" w:sz="0" w:space="0" w:color="auto"/>
        <w:left w:val="none" w:sz="0" w:space="0" w:color="auto"/>
        <w:bottom w:val="none" w:sz="0" w:space="0" w:color="auto"/>
        <w:right w:val="none" w:sz="0" w:space="0" w:color="auto"/>
      </w:divBdr>
    </w:div>
    <w:div w:id="1468356861">
      <w:bodyDiv w:val="1"/>
      <w:marLeft w:val="0"/>
      <w:marRight w:val="0"/>
      <w:marTop w:val="0"/>
      <w:marBottom w:val="0"/>
      <w:divBdr>
        <w:top w:val="none" w:sz="0" w:space="0" w:color="auto"/>
        <w:left w:val="none" w:sz="0" w:space="0" w:color="auto"/>
        <w:bottom w:val="none" w:sz="0" w:space="0" w:color="auto"/>
        <w:right w:val="none" w:sz="0" w:space="0" w:color="auto"/>
      </w:divBdr>
    </w:div>
    <w:div w:id="1472207320">
      <w:bodyDiv w:val="1"/>
      <w:marLeft w:val="0"/>
      <w:marRight w:val="0"/>
      <w:marTop w:val="0"/>
      <w:marBottom w:val="0"/>
      <w:divBdr>
        <w:top w:val="none" w:sz="0" w:space="0" w:color="auto"/>
        <w:left w:val="none" w:sz="0" w:space="0" w:color="auto"/>
        <w:bottom w:val="none" w:sz="0" w:space="0" w:color="auto"/>
        <w:right w:val="none" w:sz="0" w:space="0" w:color="auto"/>
      </w:divBdr>
    </w:div>
    <w:div w:id="1472669934">
      <w:bodyDiv w:val="1"/>
      <w:marLeft w:val="0"/>
      <w:marRight w:val="0"/>
      <w:marTop w:val="0"/>
      <w:marBottom w:val="0"/>
      <w:divBdr>
        <w:top w:val="none" w:sz="0" w:space="0" w:color="auto"/>
        <w:left w:val="none" w:sz="0" w:space="0" w:color="auto"/>
        <w:bottom w:val="none" w:sz="0" w:space="0" w:color="auto"/>
        <w:right w:val="none" w:sz="0" w:space="0" w:color="auto"/>
      </w:divBdr>
      <w:divsChild>
        <w:div w:id="176700229">
          <w:marLeft w:val="302"/>
          <w:marRight w:val="0"/>
          <w:marTop w:val="0"/>
          <w:marBottom w:val="0"/>
          <w:divBdr>
            <w:top w:val="none" w:sz="0" w:space="0" w:color="auto"/>
            <w:left w:val="none" w:sz="0" w:space="0" w:color="auto"/>
            <w:bottom w:val="none" w:sz="0" w:space="0" w:color="auto"/>
            <w:right w:val="none" w:sz="0" w:space="0" w:color="auto"/>
          </w:divBdr>
        </w:div>
        <w:div w:id="218790026">
          <w:marLeft w:val="302"/>
          <w:marRight w:val="0"/>
          <w:marTop w:val="0"/>
          <w:marBottom w:val="0"/>
          <w:divBdr>
            <w:top w:val="none" w:sz="0" w:space="0" w:color="auto"/>
            <w:left w:val="none" w:sz="0" w:space="0" w:color="auto"/>
            <w:bottom w:val="none" w:sz="0" w:space="0" w:color="auto"/>
            <w:right w:val="none" w:sz="0" w:space="0" w:color="auto"/>
          </w:divBdr>
        </w:div>
        <w:div w:id="1880127445">
          <w:marLeft w:val="302"/>
          <w:marRight w:val="0"/>
          <w:marTop w:val="0"/>
          <w:marBottom w:val="0"/>
          <w:divBdr>
            <w:top w:val="none" w:sz="0" w:space="0" w:color="auto"/>
            <w:left w:val="none" w:sz="0" w:space="0" w:color="auto"/>
            <w:bottom w:val="none" w:sz="0" w:space="0" w:color="auto"/>
            <w:right w:val="none" w:sz="0" w:space="0" w:color="auto"/>
          </w:divBdr>
        </w:div>
      </w:divsChild>
    </w:div>
    <w:div w:id="1480343075">
      <w:bodyDiv w:val="1"/>
      <w:marLeft w:val="0"/>
      <w:marRight w:val="0"/>
      <w:marTop w:val="0"/>
      <w:marBottom w:val="0"/>
      <w:divBdr>
        <w:top w:val="none" w:sz="0" w:space="0" w:color="auto"/>
        <w:left w:val="none" w:sz="0" w:space="0" w:color="auto"/>
        <w:bottom w:val="none" w:sz="0" w:space="0" w:color="auto"/>
        <w:right w:val="none" w:sz="0" w:space="0" w:color="auto"/>
      </w:divBdr>
    </w:div>
    <w:div w:id="1481997410">
      <w:bodyDiv w:val="1"/>
      <w:marLeft w:val="0"/>
      <w:marRight w:val="0"/>
      <w:marTop w:val="0"/>
      <w:marBottom w:val="0"/>
      <w:divBdr>
        <w:top w:val="none" w:sz="0" w:space="0" w:color="auto"/>
        <w:left w:val="none" w:sz="0" w:space="0" w:color="auto"/>
        <w:bottom w:val="none" w:sz="0" w:space="0" w:color="auto"/>
        <w:right w:val="none" w:sz="0" w:space="0" w:color="auto"/>
      </w:divBdr>
    </w:div>
    <w:div w:id="1491362850">
      <w:bodyDiv w:val="1"/>
      <w:marLeft w:val="0"/>
      <w:marRight w:val="0"/>
      <w:marTop w:val="0"/>
      <w:marBottom w:val="0"/>
      <w:divBdr>
        <w:top w:val="none" w:sz="0" w:space="0" w:color="auto"/>
        <w:left w:val="none" w:sz="0" w:space="0" w:color="auto"/>
        <w:bottom w:val="none" w:sz="0" w:space="0" w:color="auto"/>
        <w:right w:val="none" w:sz="0" w:space="0" w:color="auto"/>
      </w:divBdr>
      <w:divsChild>
        <w:div w:id="760641544">
          <w:marLeft w:val="835"/>
          <w:marRight w:val="0"/>
          <w:marTop w:val="80"/>
          <w:marBottom w:val="0"/>
          <w:divBdr>
            <w:top w:val="none" w:sz="0" w:space="0" w:color="auto"/>
            <w:left w:val="none" w:sz="0" w:space="0" w:color="auto"/>
            <w:bottom w:val="none" w:sz="0" w:space="0" w:color="auto"/>
            <w:right w:val="none" w:sz="0" w:space="0" w:color="auto"/>
          </w:divBdr>
        </w:div>
        <w:div w:id="913248225">
          <w:marLeft w:val="835"/>
          <w:marRight w:val="0"/>
          <w:marTop w:val="80"/>
          <w:marBottom w:val="0"/>
          <w:divBdr>
            <w:top w:val="none" w:sz="0" w:space="0" w:color="auto"/>
            <w:left w:val="none" w:sz="0" w:space="0" w:color="auto"/>
            <w:bottom w:val="none" w:sz="0" w:space="0" w:color="auto"/>
            <w:right w:val="none" w:sz="0" w:space="0" w:color="auto"/>
          </w:divBdr>
        </w:div>
        <w:div w:id="1210848333">
          <w:marLeft w:val="835"/>
          <w:marRight w:val="0"/>
          <w:marTop w:val="80"/>
          <w:marBottom w:val="0"/>
          <w:divBdr>
            <w:top w:val="none" w:sz="0" w:space="0" w:color="auto"/>
            <w:left w:val="none" w:sz="0" w:space="0" w:color="auto"/>
            <w:bottom w:val="none" w:sz="0" w:space="0" w:color="auto"/>
            <w:right w:val="none" w:sz="0" w:space="0" w:color="auto"/>
          </w:divBdr>
        </w:div>
      </w:divsChild>
    </w:div>
    <w:div w:id="1491481048">
      <w:bodyDiv w:val="1"/>
      <w:marLeft w:val="0"/>
      <w:marRight w:val="0"/>
      <w:marTop w:val="0"/>
      <w:marBottom w:val="0"/>
      <w:divBdr>
        <w:top w:val="none" w:sz="0" w:space="0" w:color="auto"/>
        <w:left w:val="none" w:sz="0" w:space="0" w:color="auto"/>
        <w:bottom w:val="none" w:sz="0" w:space="0" w:color="auto"/>
        <w:right w:val="none" w:sz="0" w:space="0" w:color="auto"/>
      </w:divBdr>
      <w:divsChild>
        <w:div w:id="850030490">
          <w:marLeft w:val="619"/>
          <w:marRight w:val="0"/>
          <w:marTop w:val="0"/>
          <w:marBottom w:val="0"/>
          <w:divBdr>
            <w:top w:val="none" w:sz="0" w:space="0" w:color="auto"/>
            <w:left w:val="none" w:sz="0" w:space="0" w:color="auto"/>
            <w:bottom w:val="none" w:sz="0" w:space="0" w:color="auto"/>
            <w:right w:val="none" w:sz="0" w:space="0" w:color="auto"/>
          </w:divBdr>
        </w:div>
        <w:div w:id="1007951376">
          <w:marLeft w:val="302"/>
          <w:marRight w:val="0"/>
          <w:marTop w:val="0"/>
          <w:marBottom w:val="0"/>
          <w:divBdr>
            <w:top w:val="none" w:sz="0" w:space="0" w:color="auto"/>
            <w:left w:val="none" w:sz="0" w:space="0" w:color="auto"/>
            <w:bottom w:val="none" w:sz="0" w:space="0" w:color="auto"/>
            <w:right w:val="none" w:sz="0" w:space="0" w:color="auto"/>
          </w:divBdr>
        </w:div>
        <w:div w:id="1237470673">
          <w:marLeft w:val="302"/>
          <w:marRight w:val="0"/>
          <w:marTop w:val="0"/>
          <w:marBottom w:val="0"/>
          <w:divBdr>
            <w:top w:val="none" w:sz="0" w:space="0" w:color="auto"/>
            <w:left w:val="none" w:sz="0" w:space="0" w:color="auto"/>
            <w:bottom w:val="none" w:sz="0" w:space="0" w:color="auto"/>
            <w:right w:val="none" w:sz="0" w:space="0" w:color="auto"/>
          </w:divBdr>
        </w:div>
        <w:div w:id="1629435879">
          <w:marLeft w:val="619"/>
          <w:marRight w:val="0"/>
          <w:marTop w:val="0"/>
          <w:marBottom w:val="0"/>
          <w:divBdr>
            <w:top w:val="none" w:sz="0" w:space="0" w:color="auto"/>
            <w:left w:val="none" w:sz="0" w:space="0" w:color="auto"/>
            <w:bottom w:val="none" w:sz="0" w:space="0" w:color="auto"/>
            <w:right w:val="none" w:sz="0" w:space="0" w:color="auto"/>
          </w:divBdr>
        </w:div>
        <w:div w:id="1695568934">
          <w:marLeft w:val="302"/>
          <w:marRight w:val="0"/>
          <w:marTop w:val="0"/>
          <w:marBottom w:val="0"/>
          <w:divBdr>
            <w:top w:val="none" w:sz="0" w:space="0" w:color="auto"/>
            <w:left w:val="none" w:sz="0" w:space="0" w:color="auto"/>
            <w:bottom w:val="none" w:sz="0" w:space="0" w:color="auto"/>
            <w:right w:val="none" w:sz="0" w:space="0" w:color="auto"/>
          </w:divBdr>
        </w:div>
      </w:divsChild>
    </w:div>
    <w:div w:id="1493139104">
      <w:bodyDiv w:val="1"/>
      <w:marLeft w:val="0"/>
      <w:marRight w:val="0"/>
      <w:marTop w:val="0"/>
      <w:marBottom w:val="0"/>
      <w:divBdr>
        <w:top w:val="none" w:sz="0" w:space="0" w:color="auto"/>
        <w:left w:val="none" w:sz="0" w:space="0" w:color="auto"/>
        <w:bottom w:val="none" w:sz="0" w:space="0" w:color="auto"/>
        <w:right w:val="none" w:sz="0" w:space="0" w:color="auto"/>
      </w:divBdr>
    </w:div>
    <w:div w:id="1502621469">
      <w:bodyDiv w:val="1"/>
      <w:marLeft w:val="0"/>
      <w:marRight w:val="0"/>
      <w:marTop w:val="0"/>
      <w:marBottom w:val="0"/>
      <w:divBdr>
        <w:top w:val="none" w:sz="0" w:space="0" w:color="auto"/>
        <w:left w:val="none" w:sz="0" w:space="0" w:color="auto"/>
        <w:bottom w:val="none" w:sz="0" w:space="0" w:color="auto"/>
        <w:right w:val="none" w:sz="0" w:space="0" w:color="auto"/>
      </w:divBdr>
    </w:div>
    <w:div w:id="1507402736">
      <w:bodyDiv w:val="1"/>
      <w:marLeft w:val="0"/>
      <w:marRight w:val="0"/>
      <w:marTop w:val="0"/>
      <w:marBottom w:val="0"/>
      <w:divBdr>
        <w:top w:val="none" w:sz="0" w:space="0" w:color="auto"/>
        <w:left w:val="none" w:sz="0" w:space="0" w:color="auto"/>
        <w:bottom w:val="none" w:sz="0" w:space="0" w:color="auto"/>
        <w:right w:val="none" w:sz="0" w:space="0" w:color="auto"/>
      </w:divBdr>
    </w:div>
    <w:div w:id="1515417230">
      <w:bodyDiv w:val="1"/>
      <w:marLeft w:val="0"/>
      <w:marRight w:val="0"/>
      <w:marTop w:val="0"/>
      <w:marBottom w:val="0"/>
      <w:divBdr>
        <w:top w:val="none" w:sz="0" w:space="0" w:color="auto"/>
        <w:left w:val="none" w:sz="0" w:space="0" w:color="auto"/>
        <w:bottom w:val="none" w:sz="0" w:space="0" w:color="auto"/>
        <w:right w:val="none" w:sz="0" w:space="0" w:color="auto"/>
      </w:divBdr>
    </w:div>
    <w:div w:id="1515923298">
      <w:bodyDiv w:val="1"/>
      <w:marLeft w:val="0"/>
      <w:marRight w:val="0"/>
      <w:marTop w:val="0"/>
      <w:marBottom w:val="0"/>
      <w:divBdr>
        <w:top w:val="none" w:sz="0" w:space="0" w:color="auto"/>
        <w:left w:val="none" w:sz="0" w:space="0" w:color="auto"/>
        <w:bottom w:val="none" w:sz="0" w:space="0" w:color="auto"/>
        <w:right w:val="none" w:sz="0" w:space="0" w:color="auto"/>
      </w:divBdr>
    </w:div>
    <w:div w:id="1526792323">
      <w:bodyDiv w:val="1"/>
      <w:marLeft w:val="0"/>
      <w:marRight w:val="0"/>
      <w:marTop w:val="0"/>
      <w:marBottom w:val="0"/>
      <w:divBdr>
        <w:top w:val="none" w:sz="0" w:space="0" w:color="auto"/>
        <w:left w:val="none" w:sz="0" w:space="0" w:color="auto"/>
        <w:bottom w:val="none" w:sz="0" w:space="0" w:color="auto"/>
        <w:right w:val="none" w:sz="0" w:space="0" w:color="auto"/>
      </w:divBdr>
    </w:div>
    <w:div w:id="1535843470">
      <w:bodyDiv w:val="1"/>
      <w:marLeft w:val="0"/>
      <w:marRight w:val="0"/>
      <w:marTop w:val="0"/>
      <w:marBottom w:val="0"/>
      <w:divBdr>
        <w:top w:val="none" w:sz="0" w:space="0" w:color="auto"/>
        <w:left w:val="none" w:sz="0" w:space="0" w:color="auto"/>
        <w:bottom w:val="none" w:sz="0" w:space="0" w:color="auto"/>
        <w:right w:val="none" w:sz="0" w:space="0" w:color="auto"/>
      </w:divBdr>
    </w:div>
    <w:div w:id="1536581298">
      <w:bodyDiv w:val="1"/>
      <w:marLeft w:val="0"/>
      <w:marRight w:val="0"/>
      <w:marTop w:val="0"/>
      <w:marBottom w:val="0"/>
      <w:divBdr>
        <w:top w:val="none" w:sz="0" w:space="0" w:color="auto"/>
        <w:left w:val="none" w:sz="0" w:space="0" w:color="auto"/>
        <w:bottom w:val="none" w:sz="0" w:space="0" w:color="auto"/>
        <w:right w:val="none" w:sz="0" w:space="0" w:color="auto"/>
      </w:divBdr>
    </w:div>
    <w:div w:id="1537044712">
      <w:bodyDiv w:val="1"/>
      <w:marLeft w:val="0"/>
      <w:marRight w:val="0"/>
      <w:marTop w:val="0"/>
      <w:marBottom w:val="0"/>
      <w:divBdr>
        <w:top w:val="none" w:sz="0" w:space="0" w:color="auto"/>
        <w:left w:val="none" w:sz="0" w:space="0" w:color="auto"/>
        <w:bottom w:val="none" w:sz="0" w:space="0" w:color="auto"/>
        <w:right w:val="none" w:sz="0" w:space="0" w:color="auto"/>
      </w:divBdr>
    </w:div>
    <w:div w:id="1546258371">
      <w:bodyDiv w:val="1"/>
      <w:marLeft w:val="0"/>
      <w:marRight w:val="0"/>
      <w:marTop w:val="0"/>
      <w:marBottom w:val="0"/>
      <w:divBdr>
        <w:top w:val="none" w:sz="0" w:space="0" w:color="auto"/>
        <w:left w:val="none" w:sz="0" w:space="0" w:color="auto"/>
        <w:bottom w:val="none" w:sz="0" w:space="0" w:color="auto"/>
        <w:right w:val="none" w:sz="0" w:space="0" w:color="auto"/>
      </w:divBdr>
    </w:div>
    <w:div w:id="1546329224">
      <w:bodyDiv w:val="1"/>
      <w:marLeft w:val="0"/>
      <w:marRight w:val="0"/>
      <w:marTop w:val="0"/>
      <w:marBottom w:val="0"/>
      <w:divBdr>
        <w:top w:val="none" w:sz="0" w:space="0" w:color="auto"/>
        <w:left w:val="none" w:sz="0" w:space="0" w:color="auto"/>
        <w:bottom w:val="none" w:sz="0" w:space="0" w:color="auto"/>
        <w:right w:val="none" w:sz="0" w:space="0" w:color="auto"/>
      </w:divBdr>
    </w:div>
    <w:div w:id="1547180409">
      <w:bodyDiv w:val="1"/>
      <w:marLeft w:val="0"/>
      <w:marRight w:val="0"/>
      <w:marTop w:val="0"/>
      <w:marBottom w:val="0"/>
      <w:divBdr>
        <w:top w:val="none" w:sz="0" w:space="0" w:color="auto"/>
        <w:left w:val="none" w:sz="0" w:space="0" w:color="auto"/>
        <w:bottom w:val="none" w:sz="0" w:space="0" w:color="auto"/>
        <w:right w:val="none" w:sz="0" w:space="0" w:color="auto"/>
      </w:divBdr>
      <w:divsChild>
        <w:div w:id="43256933">
          <w:marLeft w:val="1080"/>
          <w:marRight w:val="0"/>
          <w:marTop w:val="0"/>
          <w:marBottom w:val="0"/>
          <w:divBdr>
            <w:top w:val="none" w:sz="0" w:space="0" w:color="auto"/>
            <w:left w:val="none" w:sz="0" w:space="0" w:color="auto"/>
            <w:bottom w:val="none" w:sz="0" w:space="0" w:color="auto"/>
            <w:right w:val="none" w:sz="0" w:space="0" w:color="auto"/>
          </w:divBdr>
        </w:div>
        <w:div w:id="66458663">
          <w:marLeft w:val="418"/>
          <w:marRight w:val="0"/>
          <w:marTop w:val="0"/>
          <w:marBottom w:val="0"/>
          <w:divBdr>
            <w:top w:val="none" w:sz="0" w:space="0" w:color="auto"/>
            <w:left w:val="none" w:sz="0" w:space="0" w:color="auto"/>
            <w:bottom w:val="none" w:sz="0" w:space="0" w:color="auto"/>
            <w:right w:val="none" w:sz="0" w:space="0" w:color="auto"/>
          </w:divBdr>
        </w:div>
        <w:div w:id="175924956">
          <w:marLeft w:val="1066"/>
          <w:marRight w:val="0"/>
          <w:marTop w:val="0"/>
          <w:marBottom w:val="0"/>
          <w:divBdr>
            <w:top w:val="none" w:sz="0" w:space="0" w:color="auto"/>
            <w:left w:val="none" w:sz="0" w:space="0" w:color="auto"/>
            <w:bottom w:val="none" w:sz="0" w:space="0" w:color="auto"/>
            <w:right w:val="none" w:sz="0" w:space="0" w:color="auto"/>
          </w:divBdr>
        </w:div>
        <w:div w:id="239950660">
          <w:marLeft w:val="1080"/>
          <w:marRight w:val="0"/>
          <w:marTop w:val="0"/>
          <w:marBottom w:val="0"/>
          <w:divBdr>
            <w:top w:val="none" w:sz="0" w:space="0" w:color="auto"/>
            <w:left w:val="none" w:sz="0" w:space="0" w:color="auto"/>
            <w:bottom w:val="none" w:sz="0" w:space="0" w:color="auto"/>
            <w:right w:val="none" w:sz="0" w:space="0" w:color="auto"/>
          </w:divBdr>
        </w:div>
        <w:div w:id="308286060">
          <w:marLeft w:val="1123"/>
          <w:marRight w:val="0"/>
          <w:marTop w:val="0"/>
          <w:marBottom w:val="0"/>
          <w:divBdr>
            <w:top w:val="none" w:sz="0" w:space="0" w:color="auto"/>
            <w:left w:val="none" w:sz="0" w:space="0" w:color="auto"/>
            <w:bottom w:val="none" w:sz="0" w:space="0" w:color="auto"/>
            <w:right w:val="none" w:sz="0" w:space="0" w:color="auto"/>
          </w:divBdr>
        </w:div>
        <w:div w:id="525214086">
          <w:marLeft w:val="418"/>
          <w:marRight w:val="0"/>
          <w:marTop w:val="0"/>
          <w:marBottom w:val="0"/>
          <w:divBdr>
            <w:top w:val="none" w:sz="0" w:space="0" w:color="auto"/>
            <w:left w:val="none" w:sz="0" w:space="0" w:color="auto"/>
            <w:bottom w:val="none" w:sz="0" w:space="0" w:color="auto"/>
            <w:right w:val="none" w:sz="0" w:space="0" w:color="auto"/>
          </w:divBdr>
        </w:div>
        <w:div w:id="1084303200">
          <w:marLeft w:val="274"/>
          <w:marRight w:val="0"/>
          <w:marTop w:val="0"/>
          <w:marBottom w:val="0"/>
          <w:divBdr>
            <w:top w:val="none" w:sz="0" w:space="0" w:color="auto"/>
            <w:left w:val="none" w:sz="0" w:space="0" w:color="auto"/>
            <w:bottom w:val="none" w:sz="0" w:space="0" w:color="auto"/>
            <w:right w:val="none" w:sz="0" w:space="0" w:color="auto"/>
          </w:divBdr>
        </w:div>
        <w:div w:id="1117480364">
          <w:marLeft w:val="274"/>
          <w:marRight w:val="0"/>
          <w:marTop w:val="0"/>
          <w:marBottom w:val="0"/>
          <w:divBdr>
            <w:top w:val="none" w:sz="0" w:space="0" w:color="auto"/>
            <w:left w:val="none" w:sz="0" w:space="0" w:color="auto"/>
            <w:bottom w:val="none" w:sz="0" w:space="0" w:color="auto"/>
            <w:right w:val="none" w:sz="0" w:space="0" w:color="auto"/>
          </w:divBdr>
        </w:div>
        <w:div w:id="1161502712">
          <w:marLeft w:val="1080"/>
          <w:marRight w:val="0"/>
          <w:marTop w:val="0"/>
          <w:marBottom w:val="0"/>
          <w:divBdr>
            <w:top w:val="none" w:sz="0" w:space="0" w:color="auto"/>
            <w:left w:val="none" w:sz="0" w:space="0" w:color="auto"/>
            <w:bottom w:val="none" w:sz="0" w:space="0" w:color="auto"/>
            <w:right w:val="none" w:sz="0" w:space="0" w:color="auto"/>
          </w:divBdr>
        </w:div>
        <w:div w:id="1164978950">
          <w:marLeft w:val="1080"/>
          <w:marRight w:val="0"/>
          <w:marTop w:val="0"/>
          <w:marBottom w:val="0"/>
          <w:divBdr>
            <w:top w:val="none" w:sz="0" w:space="0" w:color="auto"/>
            <w:left w:val="none" w:sz="0" w:space="0" w:color="auto"/>
            <w:bottom w:val="none" w:sz="0" w:space="0" w:color="auto"/>
            <w:right w:val="none" w:sz="0" w:space="0" w:color="auto"/>
          </w:divBdr>
        </w:div>
        <w:div w:id="1198929076">
          <w:marLeft w:val="1051"/>
          <w:marRight w:val="0"/>
          <w:marTop w:val="0"/>
          <w:marBottom w:val="0"/>
          <w:divBdr>
            <w:top w:val="none" w:sz="0" w:space="0" w:color="auto"/>
            <w:left w:val="none" w:sz="0" w:space="0" w:color="auto"/>
            <w:bottom w:val="none" w:sz="0" w:space="0" w:color="auto"/>
            <w:right w:val="none" w:sz="0" w:space="0" w:color="auto"/>
          </w:divBdr>
        </w:div>
        <w:div w:id="1213299934">
          <w:marLeft w:val="1080"/>
          <w:marRight w:val="0"/>
          <w:marTop w:val="0"/>
          <w:marBottom w:val="0"/>
          <w:divBdr>
            <w:top w:val="none" w:sz="0" w:space="0" w:color="auto"/>
            <w:left w:val="none" w:sz="0" w:space="0" w:color="auto"/>
            <w:bottom w:val="none" w:sz="0" w:space="0" w:color="auto"/>
            <w:right w:val="none" w:sz="0" w:space="0" w:color="auto"/>
          </w:divBdr>
        </w:div>
        <w:div w:id="1221290674">
          <w:marLeft w:val="1080"/>
          <w:marRight w:val="0"/>
          <w:marTop w:val="0"/>
          <w:marBottom w:val="0"/>
          <w:divBdr>
            <w:top w:val="none" w:sz="0" w:space="0" w:color="auto"/>
            <w:left w:val="none" w:sz="0" w:space="0" w:color="auto"/>
            <w:bottom w:val="none" w:sz="0" w:space="0" w:color="auto"/>
            <w:right w:val="none" w:sz="0" w:space="0" w:color="auto"/>
          </w:divBdr>
        </w:div>
        <w:div w:id="1240597627">
          <w:marLeft w:val="1080"/>
          <w:marRight w:val="0"/>
          <w:marTop w:val="0"/>
          <w:marBottom w:val="0"/>
          <w:divBdr>
            <w:top w:val="none" w:sz="0" w:space="0" w:color="auto"/>
            <w:left w:val="none" w:sz="0" w:space="0" w:color="auto"/>
            <w:bottom w:val="none" w:sz="0" w:space="0" w:color="auto"/>
            <w:right w:val="none" w:sz="0" w:space="0" w:color="auto"/>
          </w:divBdr>
        </w:div>
        <w:div w:id="1340544874">
          <w:marLeft w:val="1080"/>
          <w:marRight w:val="0"/>
          <w:marTop w:val="0"/>
          <w:marBottom w:val="0"/>
          <w:divBdr>
            <w:top w:val="none" w:sz="0" w:space="0" w:color="auto"/>
            <w:left w:val="none" w:sz="0" w:space="0" w:color="auto"/>
            <w:bottom w:val="none" w:sz="0" w:space="0" w:color="auto"/>
            <w:right w:val="none" w:sz="0" w:space="0" w:color="auto"/>
          </w:divBdr>
        </w:div>
        <w:div w:id="1515419974">
          <w:marLeft w:val="1066"/>
          <w:marRight w:val="0"/>
          <w:marTop w:val="0"/>
          <w:marBottom w:val="0"/>
          <w:divBdr>
            <w:top w:val="none" w:sz="0" w:space="0" w:color="auto"/>
            <w:left w:val="none" w:sz="0" w:space="0" w:color="auto"/>
            <w:bottom w:val="none" w:sz="0" w:space="0" w:color="auto"/>
            <w:right w:val="none" w:sz="0" w:space="0" w:color="auto"/>
          </w:divBdr>
        </w:div>
        <w:div w:id="1541744920">
          <w:marLeft w:val="418"/>
          <w:marRight w:val="0"/>
          <w:marTop w:val="0"/>
          <w:marBottom w:val="0"/>
          <w:divBdr>
            <w:top w:val="none" w:sz="0" w:space="0" w:color="auto"/>
            <w:left w:val="none" w:sz="0" w:space="0" w:color="auto"/>
            <w:bottom w:val="none" w:sz="0" w:space="0" w:color="auto"/>
            <w:right w:val="none" w:sz="0" w:space="0" w:color="auto"/>
          </w:divBdr>
        </w:div>
        <w:div w:id="1754818562">
          <w:marLeft w:val="1123"/>
          <w:marRight w:val="0"/>
          <w:marTop w:val="0"/>
          <w:marBottom w:val="0"/>
          <w:divBdr>
            <w:top w:val="none" w:sz="0" w:space="0" w:color="auto"/>
            <w:left w:val="none" w:sz="0" w:space="0" w:color="auto"/>
            <w:bottom w:val="none" w:sz="0" w:space="0" w:color="auto"/>
            <w:right w:val="none" w:sz="0" w:space="0" w:color="auto"/>
          </w:divBdr>
        </w:div>
        <w:div w:id="1825126806">
          <w:marLeft w:val="1051"/>
          <w:marRight w:val="0"/>
          <w:marTop w:val="0"/>
          <w:marBottom w:val="0"/>
          <w:divBdr>
            <w:top w:val="none" w:sz="0" w:space="0" w:color="auto"/>
            <w:left w:val="none" w:sz="0" w:space="0" w:color="auto"/>
            <w:bottom w:val="none" w:sz="0" w:space="0" w:color="auto"/>
            <w:right w:val="none" w:sz="0" w:space="0" w:color="auto"/>
          </w:divBdr>
        </w:div>
        <w:div w:id="1887719793">
          <w:marLeft w:val="274"/>
          <w:marRight w:val="0"/>
          <w:marTop w:val="0"/>
          <w:marBottom w:val="0"/>
          <w:divBdr>
            <w:top w:val="none" w:sz="0" w:space="0" w:color="auto"/>
            <w:left w:val="none" w:sz="0" w:space="0" w:color="auto"/>
            <w:bottom w:val="none" w:sz="0" w:space="0" w:color="auto"/>
            <w:right w:val="none" w:sz="0" w:space="0" w:color="auto"/>
          </w:divBdr>
        </w:div>
        <w:div w:id="1981839240">
          <w:marLeft w:val="288"/>
          <w:marRight w:val="0"/>
          <w:marTop w:val="0"/>
          <w:marBottom w:val="0"/>
          <w:divBdr>
            <w:top w:val="none" w:sz="0" w:space="0" w:color="auto"/>
            <w:left w:val="none" w:sz="0" w:space="0" w:color="auto"/>
            <w:bottom w:val="none" w:sz="0" w:space="0" w:color="auto"/>
            <w:right w:val="none" w:sz="0" w:space="0" w:color="auto"/>
          </w:divBdr>
        </w:div>
        <w:div w:id="2028821993">
          <w:marLeft w:val="1051"/>
          <w:marRight w:val="0"/>
          <w:marTop w:val="0"/>
          <w:marBottom w:val="0"/>
          <w:divBdr>
            <w:top w:val="none" w:sz="0" w:space="0" w:color="auto"/>
            <w:left w:val="none" w:sz="0" w:space="0" w:color="auto"/>
            <w:bottom w:val="none" w:sz="0" w:space="0" w:color="auto"/>
            <w:right w:val="none" w:sz="0" w:space="0" w:color="auto"/>
          </w:divBdr>
        </w:div>
      </w:divsChild>
    </w:div>
    <w:div w:id="1547181895">
      <w:bodyDiv w:val="1"/>
      <w:marLeft w:val="0"/>
      <w:marRight w:val="0"/>
      <w:marTop w:val="0"/>
      <w:marBottom w:val="0"/>
      <w:divBdr>
        <w:top w:val="none" w:sz="0" w:space="0" w:color="auto"/>
        <w:left w:val="none" w:sz="0" w:space="0" w:color="auto"/>
        <w:bottom w:val="none" w:sz="0" w:space="0" w:color="auto"/>
        <w:right w:val="none" w:sz="0" w:space="0" w:color="auto"/>
      </w:divBdr>
      <w:divsChild>
        <w:div w:id="242448755">
          <w:marLeft w:val="288"/>
          <w:marRight w:val="0"/>
          <w:marTop w:val="0"/>
          <w:marBottom w:val="120"/>
          <w:divBdr>
            <w:top w:val="none" w:sz="0" w:space="0" w:color="auto"/>
            <w:left w:val="none" w:sz="0" w:space="0" w:color="auto"/>
            <w:bottom w:val="none" w:sz="0" w:space="0" w:color="auto"/>
            <w:right w:val="none" w:sz="0" w:space="0" w:color="auto"/>
          </w:divBdr>
        </w:div>
        <w:div w:id="374308591">
          <w:marLeft w:val="288"/>
          <w:marRight w:val="0"/>
          <w:marTop w:val="0"/>
          <w:marBottom w:val="120"/>
          <w:divBdr>
            <w:top w:val="none" w:sz="0" w:space="0" w:color="auto"/>
            <w:left w:val="none" w:sz="0" w:space="0" w:color="auto"/>
            <w:bottom w:val="none" w:sz="0" w:space="0" w:color="auto"/>
            <w:right w:val="none" w:sz="0" w:space="0" w:color="auto"/>
          </w:divBdr>
        </w:div>
        <w:div w:id="748695754">
          <w:marLeft w:val="288"/>
          <w:marRight w:val="0"/>
          <w:marTop w:val="0"/>
          <w:marBottom w:val="120"/>
          <w:divBdr>
            <w:top w:val="none" w:sz="0" w:space="0" w:color="auto"/>
            <w:left w:val="none" w:sz="0" w:space="0" w:color="auto"/>
            <w:bottom w:val="none" w:sz="0" w:space="0" w:color="auto"/>
            <w:right w:val="none" w:sz="0" w:space="0" w:color="auto"/>
          </w:divBdr>
        </w:div>
        <w:div w:id="1000087568">
          <w:marLeft w:val="288"/>
          <w:marRight w:val="0"/>
          <w:marTop w:val="0"/>
          <w:marBottom w:val="120"/>
          <w:divBdr>
            <w:top w:val="none" w:sz="0" w:space="0" w:color="auto"/>
            <w:left w:val="none" w:sz="0" w:space="0" w:color="auto"/>
            <w:bottom w:val="none" w:sz="0" w:space="0" w:color="auto"/>
            <w:right w:val="none" w:sz="0" w:space="0" w:color="auto"/>
          </w:divBdr>
        </w:div>
        <w:div w:id="1292782267">
          <w:marLeft w:val="288"/>
          <w:marRight w:val="0"/>
          <w:marTop w:val="0"/>
          <w:marBottom w:val="120"/>
          <w:divBdr>
            <w:top w:val="none" w:sz="0" w:space="0" w:color="auto"/>
            <w:left w:val="none" w:sz="0" w:space="0" w:color="auto"/>
            <w:bottom w:val="none" w:sz="0" w:space="0" w:color="auto"/>
            <w:right w:val="none" w:sz="0" w:space="0" w:color="auto"/>
          </w:divBdr>
        </w:div>
      </w:divsChild>
    </w:div>
    <w:div w:id="1547374890">
      <w:bodyDiv w:val="1"/>
      <w:marLeft w:val="0"/>
      <w:marRight w:val="0"/>
      <w:marTop w:val="0"/>
      <w:marBottom w:val="0"/>
      <w:divBdr>
        <w:top w:val="none" w:sz="0" w:space="0" w:color="auto"/>
        <w:left w:val="none" w:sz="0" w:space="0" w:color="auto"/>
        <w:bottom w:val="none" w:sz="0" w:space="0" w:color="auto"/>
        <w:right w:val="none" w:sz="0" w:space="0" w:color="auto"/>
      </w:divBdr>
    </w:div>
    <w:div w:id="1549803722">
      <w:bodyDiv w:val="1"/>
      <w:marLeft w:val="0"/>
      <w:marRight w:val="0"/>
      <w:marTop w:val="0"/>
      <w:marBottom w:val="0"/>
      <w:divBdr>
        <w:top w:val="none" w:sz="0" w:space="0" w:color="auto"/>
        <w:left w:val="none" w:sz="0" w:space="0" w:color="auto"/>
        <w:bottom w:val="none" w:sz="0" w:space="0" w:color="auto"/>
        <w:right w:val="none" w:sz="0" w:space="0" w:color="auto"/>
      </w:divBdr>
      <w:divsChild>
        <w:div w:id="57948887">
          <w:marLeft w:val="1022"/>
          <w:marRight w:val="0"/>
          <w:marTop w:val="0"/>
          <w:marBottom w:val="0"/>
          <w:divBdr>
            <w:top w:val="none" w:sz="0" w:space="0" w:color="auto"/>
            <w:left w:val="none" w:sz="0" w:space="0" w:color="auto"/>
            <w:bottom w:val="none" w:sz="0" w:space="0" w:color="auto"/>
            <w:right w:val="none" w:sz="0" w:space="0" w:color="auto"/>
          </w:divBdr>
        </w:div>
        <w:div w:id="864176632">
          <w:marLeft w:val="1022"/>
          <w:marRight w:val="0"/>
          <w:marTop w:val="0"/>
          <w:marBottom w:val="0"/>
          <w:divBdr>
            <w:top w:val="none" w:sz="0" w:space="0" w:color="auto"/>
            <w:left w:val="none" w:sz="0" w:space="0" w:color="auto"/>
            <w:bottom w:val="none" w:sz="0" w:space="0" w:color="auto"/>
            <w:right w:val="none" w:sz="0" w:space="0" w:color="auto"/>
          </w:divBdr>
        </w:div>
        <w:div w:id="943609534">
          <w:marLeft w:val="1022"/>
          <w:marRight w:val="0"/>
          <w:marTop w:val="0"/>
          <w:marBottom w:val="0"/>
          <w:divBdr>
            <w:top w:val="none" w:sz="0" w:space="0" w:color="auto"/>
            <w:left w:val="none" w:sz="0" w:space="0" w:color="auto"/>
            <w:bottom w:val="none" w:sz="0" w:space="0" w:color="auto"/>
            <w:right w:val="none" w:sz="0" w:space="0" w:color="auto"/>
          </w:divBdr>
        </w:div>
      </w:divsChild>
    </w:div>
    <w:div w:id="1554267057">
      <w:bodyDiv w:val="1"/>
      <w:marLeft w:val="0"/>
      <w:marRight w:val="0"/>
      <w:marTop w:val="0"/>
      <w:marBottom w:val="0"/>
      <w:divBdr>
        <w:top w:val="none" w:sz="0" w:space="0" w:color="auto"/>
        <w:left w:val="none" w:sz="0" w:space="0" w:color="auto"/>
        <w:bottom w:val="none" w:sz="0" w:space="0" w:color="auto"/>
        <w:right w:val="none" w:sz="0" w:space="0" w:color="auto"/>
      </w:divBdr>
      <w:divsChild>
        <w:div w:id="390268926">
          <w:marLeft w:val="720"/>
          <w:marRight w:val="0"/>
          <w:marTop w:val="0"/>
          <w:marBottom w:val="0"/>
          <w:divBdr>
            <w:top w:val="none" w:sz="0" w:space="0" w:color="auto"/>
            <w:left w:val="none" w:sz="0" w:space="0" w:color="auto"/>
            <w:bottom w:val="none" w:sz="0" w:space="0" w:color="auto"/>
            <w:right w:val="none" w:sz="0" w:space="0" w:color="auto"/>
          </w:divBdr>
        </w:div>
        <w:div w:id="505705486">
          <w:marLeft w:val="720"/>
          <w:marRight w:val="0"/>
          <w:marTop w:val="0"/>
          <w:marBottom w:val="0"/>
          <w:divBdr>
            <w:top w:val="none" w:sz="0" w:space="0" w:color="auto"/>
            <w:left w:val="none" w:sz="0" w:space="0" w:color="auto"/>
            <w:bottom w:val="none" w:sz="0" w:space="0" w:color="auto"/>
            <w:right w:val="none" w:sz="0" w:space="0" w:color="auto"/>
          </w:divBdr>
        </w:div>
        <w:div w:id="1364288059">
          <w:marLeft w:val="720"/>
          <w:marRight w:val="0"/>
          <w:marTop w:val="0"/>
          <w:marBottom w:val="0"/>
          <w:divBdr>
            <w:top w:val="none" w:sz="0" w:space="0" w:color="auto"/>
            <w:left w:val="none" w:sz="0" w:space="0" w:color="auto"/>
            <w:bottom w:val="none" w:sz="0" w:space="0" w:color="auto"/>
            <w:right w:val="none" w:sz="0" w:space="0" w:color="auto"/>
          </w:divBdr>
        </w:div>
        <w:div w:id="1384593799">
          <w:marLeft w:val="720"/>
          <w:marRight w:val="0"/>
          <w:marTop w:val="0"/>
          <w:marBottom w:val="0"/>
          <w:divBdr>
            <w:top w:val="none" w:sz="0" w:space="0" w:color="auto"/>
            <w:left w:val="none" w:sz="0" w:space="0" w:color="auto"/>
            <w:bottom w:val="none" w:sz="0" w:space="0" w:color="auto"/>
            <w:right w:val="none" w:sz="0" w:space="0" w:color="auto"/>
          </w:divBdr>
        </w:div>
      </w:divsChild>
    </w:div>
    <w:div w:id="1559512527">
      <w:bodyDiv w:val="1"/>
      <w:marLeft w:val="0"/>
      <w:marRight w:val="0"/>
      <w:marTop w:val="0"/>
      <w:marBottom w:val="0"/>
      <w:divBdr>
        <w:top w:val="none" w:sz="0" w:space="0" w:color="auto"/>
        <w:left w:val="none" w:sz="0" w:space="0" w:color="auto"/>
        <w:bottom w:val="none" w:sz="0" w:space="0" w:color="auto"/>
        <w:right w:val="none" w:sz="0" w:space="0" w:color="auto"/>
      </w:divBdr>
    </w:div>
    <w:div w:id="1569802655">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2">
          <w:marLeft w:val="720"/>
          <w:marRight w:val="0"/>
          <w:marTop w:val="0"/>
          <w:marBottom w:val="0"/>
          <w:divBdr>
            <w:top w:val="none" w:sz="0" w:space="0" w:color="auto"/>
            <w:left w:val="none" w:sz="0" w:space="0" w:color="auto"/>
            <w:bottom w:val="none" w:sz="0" w:space="0" w:color="auto"/>
            <w:right w:val="none" w:sz="0" w:space="0" w:color="auto"/>
          </w:divBdr>
        </w:div>
        <w:div w:id="1490291394">
          <w:marLeft w:val="720"/>
          <w:marRight w:val="0"/>
          <w:marTop w:val="0"/>
          <w:marBottom w:val="0"/>
          <w:divBdr>
            <w:top w:val="none" w:sz="0" w:space="0" w:color="auto"/>
            <w:left w:val="none" w:sz="0" w:space="0" w:color="auto"/>
            <w:bottom w:val="none" w:sz="0" w:space="0" w:color="auto"/>
            <w:right w:val="none" w:sz="0" w:space="0" w:color="auto"/>
          </w:divBdr>
        </w:div>
        <w:div w:id="1769037846">
          <w:marLeft w:val="720"/>
          <w:marRight w:val="0"/>
          <w:marTop w:val="0"/>
          <w:marBottom w:val="0"/>
          <w:divBdr>
            <w:top w:val="none" w:sz="0" w:space="0" w:color="auto"/>
            <w:left w:val="none" w:sz="0" w:space="0" w:color="auto"/>
            <w:bottom w:val="none" w:sz="0" w:space="0" w:color="auto"/>
            <w:right w:val="none" w:sz="0" w:space="0" w:color="auto"/>
          </w:divBdr>
        </w:div>
      </w:divsChild>
    </w:div>
    <w:div w:id="1587961767">
      <w:bodyDiv w:val="1"/>
      <w:marLeft w:val="0"/>
      <w:marRight w:val="0"/>
      <w:marTop w:val="0"/>
      <w:marBottom w:val="0"/>
      <w:divBdr>
        <w:top w:val="none" w:sz="0" w:space="0" w:color="auto"/>
        <w:left w:val="none" w:sz="0" w:space="0" w:color="auto"/>
        <w:bottom w:val="none" w:sz="0" w:space="0" w:color="auto"/>
        <w:right w:val="none" w:sz="0" w:space="0" w:color="auto"/>
      </w:divBdr>
    </w:div>
    <w:div w:id="1593666903">
      <w:bodyDiv w:val="1"/>
      <w:marLeft w:val="0"/>
      <w:marRight w:val="0"/>
      <w:marTop w:val="0"/>
      <w:marBottom w:val="0"/>
      <w:divBdr>
        <w:top w:val="none" w:sz="0" w:space="0" w:color="auto"/>
        <w:left w:val="none" w:sz="0" w:space="0" w:color="auto"/>
        <w:bottom w:val="none" w:sz="0" w:space="0" w:color="auto"/>
        <w:right w:val="none" w:sz="0" w:space="0" w:color="auto"/>
      </w:divBdr>
    </w:div>
    <w:div w:id="1598443405">
      <w:bodyDiv w:val="1"/>
      <w:marLeft w:val="0"/>
      <w:marRight w:val="0"/>
      <w:marTop w:val="0"/>
      <w:marBottom w:val="0"/>
      <w:divBdr>
        <w:top w:val="none" w:sz="0" w:space="0" w:color="auto"/>
        <w:left w:val="none" w:sz="0" w:space="0" w:color="auto"/>
        <w:bottom w:val="none" w:sz="0" w:space="0" w:color="auto"/>
        <w:right w:val="none" w:sz="0" w:space="0" w:color="auto"/>
      </w:divBdr>
      <w:divsChild>
        <w:div w:id="1253125849">
          <w:marLeft w:val="720"/>
          <w:marRight w:val="0"/>
          <w:marTop w:val="0"/>
          <w:marBottom w:val="0"/>
          <w:divBdr>
            <w:top w:val="none" w:sz="0" w:space="0" w:color="auto"/>
            <w:left w:val="none" w:sz="0" w:space="0" w:color="auto"/>
            <w:bottom w:val="none" w:sz="0" w:space="0" w:color="auto"/>
            <w:right w:val="none" w:sz="0" w:space="0" w:color="auto"/>
          </w:divBdr>
        </w:div>
        <w:div w:id="1369378958">
          <w:marLeft w:val="720"/>
          <w:marRight w:val="0"/>
          <w:marTop w:val="0"/>
          <w:marBottom w:val="0"/>
          <w:divBdr>
            <w:top w:val="none" w:sz="0" w:space="0" w:color="auto"/>
            <w:left w:val="none" w:sz="0" w:space="0" w:color="auto"/>
            <w:bottom w:val="none" w:sz="0" w:space="0" w:color="auto"/>
            <w:right w:val="none" w:sz="0" w:space="0" w:color="auto"/>
          </w:divBdr>
        </w:div>
      </w:divsChild>
    </w:div>
    <w:div w:id="1608927014">
      <w:bodyDiv w:val="1"/>
      <w:marLeft w:val="0"/>
      <w:marRight w:val="0"/>
      <w:marTop w:val="0"/>
      <w:marBottom w:val="0"/>
      <w:divBdr>
        <w:top w:val="none" w:sz="0" w:space="0" w:color="auto"/>
        <w:left w:val="none" w:sz="0" w:space="0" w:color="auto"/>
        <w:bottom w:val="none" w:sz="0" w:space="0" w:color="auto"/>
        <w:right w:val="none" w:sz="0" w:space="0" w:color="auto"/>
      </w:divBdr>
    </w:div>
    <w:div w:id="1615283119">
      <w:bodyDiv w:val="1"/>
      <w:marLeft w:val="0"/>
      <w:marRight w:val="0"/>
      <w:marTop w:val="0"/>
      <w:marBottom w:val="0"/>
      <w:divBdr>
        <w:top w:val="none" w:sz="0" w:space="0" w:color="auto"/>
        <w:left w:val="none" w:sz="0" w:space="0" w:color="auto"/>
        <w:bottom w:val="none" w:sz="0" w:space="0" w:color="auto"/>
        <w:right w:val="none" w:sz="0" w:space="0" w:color="auto"/>
      </w:divBdr>
      <w:divsChild>
        <w:div w:id="671416819">
          <w:marLeft w:val="1037"/>
          <w:marRight w:val="0"/>
          <w:marTop w:val="0"/>
          <w:marBottom w:val="0"/>
          <w:divBdr>
            <w:top w:val="none" w:sz="0" w:space="0" w:color="auto"/>
            <w:left w:val="none" w:sz="0" w:space="0" w:color="auto"/>
            <w:bottom w:val="none" w:sz="0" w:space="0" w:color="auto"/>
            <w:right w:val="none" w:sz="0" w:space="0" w:color="auto"/>
          </w:divBdr>
        </w:div>
        <w:div w:id="790898682">
          <w:marLeft w:val="1037"/>
          <w:marRight w:val="0"/>
          <w:marTop w:val="0"/>
          <w:marBottom w:val="0"/>
          <w:divBdr>
            <w:top w:val="none" w:sz="0" w:space="0" w:color="auto"/>
            <w:left w:val="none" w:sz="0" w:space="0" w:color="auto"/>
            <w:bottom w:val="none" w:sz="0" w:space="0" w:color="auto"/>
            <w:right w:val="none" w:sz="0" w:space="0" w:color="auto"/>
          </w:divBdr>
        </w:div>
        <w:div w:id="835147176">
          <w:marLeft w:val="1037"/>
          <w:marRight w:val="0"/>
          <w:marTop w:val="0"/>
          <w:marBottom w:val="0"/>
          <w:divBdr>
            <w:top w:val="none" w:sz="0" w:space="0" w:color="auto"/>
            <w:left w:val="none" w:sz="0" w:space="0" w:color="auto"/>
            <w:bottom w:val="none" w:sz="0" w:space="0" w:color="auto"/>
            <w:right w:val="none" w:sz="0" w:space="0" w:color="auto"/>
          </w:divBdr>
        </w:div>
      </w:divsChild>
    </w:div>
    <w:div w:id="1616323165">
      <w:bodyDiv w:val="1"/>
      <w:marLeft w:val="0"/>
      <w:marRight w:val="0"/>
      <w:marTop w:val="0"/>
      <w:marBottom w:val="0"/>
      <w:divBdr>
        <w:top w:val="none" w:sz="0" w:space="0" w:color="auto"/>
        <w:left w:val="none" w:sz="0" w:space="0" w:color="auto"/>
        <w:bottom w:val="none" w:sz="0" w:space="0" w:color="auto"/>
        <w:right w:val="none" w:sz="0" w:space="0" w:color="auto"/>
      </w:divBdr>
    </w:div>
    <w:div w:id="1624263142">
      <w:bodyDiv w:val="1"/>
      <w:marLeft w:val="0"/>
      <w:marRight w:val="0"/>
      <w:marTop w:val="0"/>
      <w:marBottom w:val="0"/>
      <w:divBdr>
        <w:top w:val="none" w:sz="0" w:space="0" w:color="auto"/>
        <w:left w:val="none" w:sz="0" w:space="0" w:color="auto"/>
        <w:bottom w:val="none" w:sz="0" w:space="0" w:color="auto"/>
        <w:right w:val="none" w:sz="0" w:space="0" w:color="auto"/>
      </w:divBdr>
      <w:divsChild>
        <w:div w:id="396167347">
          <w:marLeft w:val="0"/>
          <w:marRight w:val="0"/>
          <w:marTop w:val="0"/>
          <w:marBottom w:val="0"/>
          <w:divBdr>
            <w:top w:val="none" w:sz="0" w:space="0" w:color="auto"/>
            <w:left w:val="none" w:sz="0" w:space="0" w:color="auto"/>
            <w:bottom w:val="none" w:sz="0" w:space="0" w:color="auto"/>
            <w:right w:val="none" w:sz="0" w:space="0" w:color="auto"/>
          </w:divBdr>
        </w:div>
        <w:div w:id="714891375">
          <w:marLeft w:val="0"/>
          <w:marRight w:val="0"/>
          <w:marTop w:val="0"/>
          <w:marBottom w:val="0"/>
          <w:divBdr>
            <w:top w:val="none" w:sz="0" w:space="0" w:color="auto"/>
            <w:left w:val="none" w:sz="0" w:space="0" w:color="auto"/>
            <w:bottom w:val="none" w:sz="0" w:space="0" w:color="auto"/>
            <w:right w:val="none" w:sz="0" w:space="0" w:color="auto"/>
          </w:divBdr>
        </w:div>
        <w:div w:id="1240407295">
          <w:marLeft w:val="0"/>
          <w:marRight w:val="0"/>
          <w:marTop w:val="0"/>
          <w:marBottom w:val="0"/>
          <w:divBdr>
            <w:top w:val="none" w:sz="0" w:space="0" w:color="auto"/>
            <w:left w:val="none" w:sz="0" w:space="0" w:color="auto"/>
            <w:bottom w:val="none" w:sz="0" w:space="0" w:color="auto"/>
            <w:right w:val="none" w:sz="0" w:space="0" w:color="auto"/>
          </w:divBdr>
        </w:div>
      </w:divsChild>
    </w:div>
    <w:div w:id="1642226383">
      <w:bodyDiv w:val="1"/>
      <w:marLeft w:val="0"/>
      <w:marRight w:val="0"/>
      <w:marTop w:val="0"/>
      <w:marBottom w:val="0"/>
      <w:divBdr>
        <w:top w:val="none" w:sz="0" w:space="0" w:color="auto"/>
        <w:left w:val="none" w:sz="0" w:space="0" w:color="auto"/>
        <w:bottom w:val="none" w:sz="0" w:space="0" w:color="auto"/>
        <w:right w:val="none" w:sz="0" w:space="0" w:color="auto"/>
      </w:divBdr>
    </w:div>
    <w:div w:id="1642417945">
      <w:bodyDiv w:val="1"/>
      <w:marLeft w:val="0"/>
      <w:marRight w:val="0"/>
      <w:marTop w:val="0"/>
      <w:marBottom w:val="0"/>
      <w:divBdr>
        <w:top w:val="none" w:sz="0" w:space="0" w:color="auto"/>
        <w:left w:val="none" w:sz="0" w:space="0" w:color="auto"/>
        <w:bottom w:val="none" w:sz="0" w:space="0" w:color="auto"/>
        <w:right w:val="none" w:sz="0" w:space="0" w:color="auto"/>
      </w:divBdr>
    </w:div>
    <w:div w:id="1646549499">
      <w:bodyDiv w:val="1"/>
      <w:marLeft w:val="0"/>
      <w:marRight w:val="0"/>
      <w:marTop w:val="0"/>
      <w:marBottom w:val="0"/>
      <w:divBdr>
        <w:top w:val="none" w:sz="0" w:space="0" w:color="auto"/>
        <w:left w:val="none" w:sz="0" w:space="0" w:color="auto"/>
        <w:bottom w:val="none" w:sz="0" w:space="0" w:color="auto"/>
        <w:right w:val="none" w:sz="0" w:space="0" w:color="auto"/>
      </w:divBdr>
    </w:div>
    <w:div w:id="1672025414">
      <w:bodyDiv w:val="1"/>
      <w:marLeft w:val="0"/>
      <w:marRight w:val="0"/>
      <w:marTop w:val="0"/>
      <w:marBottom w:val="0"/>
      <w:divBdr>
        <w:top w:val="none" w:sz="0" w:space="0" w:color="auto"/>
        <w:left w:val="none" w:sz="0" w:space="0" w:color="auto"/>
        <w:bottom w:val="none" w:sz="0" w:space="0" w:color="auto"/>
        <w:right w:val="none" w:sz="0" w:space="0" w:color="auto"/>
      </w:divBdr>
      <w:divsChild>
        <w:div w:id="60716848">
          <w:marLeft w:val="1656"/>
          <w:marRight w:val="0"/>
          <w:marTop w:val="0"/>
          <w:marBottom w:val="0"/>
          <w:divBdr>
            <w:top w:val="none" w:sz="0" w:space="0" w:color="auto"/>
            <w:left w:val="none" w:sz="0" w:space="0" w:color="auto"/>
            <w:bottom w:val="none" w:sz="0" w:space="0" w:color="auto"/>
            <w:right w:val="none" w:sz="0" w:space="0" w:color="auto"/>
          </w:divBdr>
        </w:div>
        <w:div w:id="762259633">
          <w:marLeft w:val="1656"/>
          <w:marRight w:val="0"/>
          <w:marTop w:val="0"/>
          <w:marBottom w:val="0"/>
          <w:divBdr>
            <w:top w:val="none" w:sz="0" w:space="0" w:color="auto"/>
            <w:left w:val="none" w:sz="0" w:space="0" w:color="auto"/>
            <w:bottom w:val="none" w:sz="0" w:space="0" w:color="auto"/>
            <w:right w:val="none" w:sz="0" w:space="0" w:color="auto"/>
          </w:divBdr>
        </w:div>
        <w:div w:id="1386954824">
          <w:marLeft w:val="1656"/>
          <w:marRight w:val="0"/>
          <w:marTop w:val="0"/>
          <w:marBottom w:val="0"/>
          <w:divBdr>
            <w:top w:val="none" w:sz="0" w:space="0" w:color="auto"/>
            <w:left w:val="none" w:sz="0" w:space="0" w:color="auto"/>
            <w:bottom w:val="none" w:sz="0" w:space="0" w:color="auto"/>
            <w:right w:val="none" w:sz="0" w:space="0" w:color="auto"/>
          </w:divBdr>
        </w:div>
        <w:div w:id="1485661006">
          <w:marLeft w:val="936"/>
          <w:marRight w:val="0"/>
          <w:marTop w:val="0"/>
          <w:marBottom w:val="0"/>
          <w:divBdr>
            <w:top w:val="none" w:sz="0" w:space="0" w:color="auto"/>
            <w:left w:val="none" w:sz="0" w:space="0" w:color="auto"/>
            <w:bottom w:val="none" w:sz="0" w:space="0" w:color="auto"/>
            <w:right w:val="none" w:sz="0" w:space="0" w:color="auto"/>
          </w:divBdr>
        </w:div>
        <w:div w:id="1489322111">
          <w:marLeft w:val="274"/>
          <w:marRight w:val="0"/>
          <w:marTop w:val="0"/>
          <w:marBottom w:val="0"/>
          <w:divBdr>
            <w:top w:val="none" w:sz="0" w:space="0" w:color="auto"/>
            <w:left w:val="none" w:sz="0" w:space="0" w:color="auto"/>
            <w:bottom w:val="none" w:sz="0" w:space="0" w:color="auto"/>
            <w:right w:val="none" w:sz="0" w:space="0" w:color="auto"/>
          </w:divBdr>
        </w:div>
        <w:div w:id="1683358115">
          <w:marLeft w:val="936"/>
          <w:marRight w:val="0"/>
          <w:marTop w:val="0"/>
          <w:marBottom w:val="0"/>
          <w:divBdr>
            <w:top w:val="none" w:sz="0" w:space="0" w:color="auto"/>
            <w:left w:val="none" w:sz="0" w:space="0" w:color="auto"/>
            <w:bottom w:val="none" w:sz="0" w:space="0" w:color="auto"/>
            <w:right w:val="none" w:sz="0" w:space="0" w:color="auto"/>
          </w:divBdr>
        </w:div>
        <w:div w:id="1928034866">
          <w:marLeft w:val="936"/>
          <w:marRight w:val="0"/>
          <w:marTop w:val="0"/>
          <w:marBottom w:val="0"/>
          <w:divBdr>
            <w:top w:val="none" w:sz="0" w:space="0" w:color="auto"/>
            <w:left w:val="none" w:sz="0" w:space="0" w:color="auto"/>
            <w:bottom w:val="none" w:sz="0" w:space="0" w:color="auto"/>
            <w:right w:val="none" w:sz="0" w:space="0" w:color="auto"/>
          </w:divBdr>
        </w:div>
      </w:divsChild>
    </w:div>
    <w:div w:id="1674524816">
      <w:bodyDiv w:val="1"/>
      <w:marLeft w:val="0"/>
      <w:marRight w:val="0"/>
      <w:marTop w:val="0"/>
      <w:marBottom w:val="0"/>
      <w:divBdr>
        <w:top w:val="none" w:sz="0" w:space="0" w:color="auto"/>
        <w:left w:val="none" w:sz="0" w:space="0" w:color="auto"/>
        <w:bottom w:val="none" w:sz="0" w:space="0" w:color="auto"/>
        <w:right w:val="none" w:sz="0" w:space="0" w:color="auto"/>
      </w:divBdr>
    </w:div>
    <w:div w:id="1675693049">
      <w:bodyDiv w:val="1"/>
      <w:marLeft w:val="0"/>
      <w:marRight w:val="0"/>
      <w:marTop w:val="0"/>
      <w:marBottom w:val="0"/>
      <w:divBdr>
        <w:top w:val="none" w:sz="0" w:space="0" w:color="auto"/>
        <w:left w:val="none" w:sz="0" w:space="0" w:color="auto"/>
        <w:bottom w:val="none" w:sz="0" w:space="0" w:color="auto"/>
        <w:right w:val="none" w:sz="0" w:space="0" w:color="auto"/>
      </w:divBdr>
      <w:divsChild>
        <w:div w:id="1952584394">
          <w:marLeft w:val="302"/>
          <w:marRight w:val="0"/>
          <w:marTop w:val="0"/>
          <w:marBottom w:val="0"/>
          <w:divBdr>
            <w:top w:val="none" w:sz="0" w:space="0" w:color="auto"/>
            <w:left w:val="none" w:sz="0" w:space="0" w:color="auto"/>
            <w:bottom w:val="none" w:sz="0" w:space="0" w:color="auto"/>
            <w:right w:val="none" w:sz="0" w:space="0" w:color="auto"/>
          </w:divBdr>
        </w:div>
      </w:divsChild>
    </w:div>
    <w:div w:id="1680766589">
      <w:bodyDiv w:val="1"/>
      <w:marLeft w:val="0"/>
      <w:marRight w:val="0"/>
      <w:marTop w:val="0"/>
      <w:marBottom w:val="0"/>
      <w:divBdr>
        <w:top w:val="none" w:sz="0" w:space="0" w:color="auto"/>
        <w:left w:val="none" w:sz="0" w:space="0" w:color="auto"/>
        <w:bottom w:val="none" w:sz="0" w:space="0" w:color="auto"/>
        <w:right w:val="none" w:sz="0" w:space="0" w:color="auto"/>
      </w:divBdr>
    </w:div>
    <w:div w:id="1683238953">
      <w:bodyDiv w:val="1"/>
      <w:marLeft w:val="0"/>
      <w:marRight w:val="0"/>
      <w:marTop w:val="0"/>
      <w:marBottom w:val="0"/>
      <w:divBdr>
        <w:top w:val="none" w:sz="0" w:space="0" w:color="auto"/>
        <w:left w:val="none" w:sz="0" w:space="0" w:color="auto"/>
        <w:bottom w:val="none" w:sz="0" w:space="0" w:color="auto"/>
        <w:right w:val="none" w:sz="0" w:space="0" w:color="auto"/>
      </w:divBdr>
    </w:div>
    <w:div w:id="1689477602">
      <w:bodyDiv w:val="1"/>
      <w:marLeft w:val="0"/>
      <w:marRight w:val="0"/>
      <w:marTop w:val="0"/>
      <w:marBottom w:val="0"/>
      <w:divBdr>
        <w:top w:val="none" w:sz="0" w:space="0" w:color="auto"/>
        <w:left w:val="none" w:sz="0" w:space="0" w:color="auto"/>
        <w:bottom w:val="none" w:sz="0" w:space="0" w:color="auto"/>
        <w:right w:val="none" w:sz="0" w:space="0" w:color="auto"/>
      </w:divBdr>
    </w:div>
    <w:div w:id="1693145475">
      <w:bodyDiv w:val="1"/>
      <w:marLeft w:val="0"/>
      <w:marRight w:val="0"/>
      <w:marTop w:val="0"/>
      <w:marBottom w:val="0"/>
      <w:divBdr>
        <w:top w:val="none" w:sz="0" w:space="0" w:color="auto"/>
        <w:left w:val="none" w:sz="0" w:space="0" w:color="auto"/>
        <w:bottom w:val="none" w:sz="0" w:space="0" w:color="auto"/>
        <w:right w:val="none" w:sz="0" w:space="0" w:color="auto"/>
      </w:divBdr>
    </w:div>
    <w:div w:id="1701203498">
      <w:bodyDiv w:val="1"/>
      <w:marLeft w:val="0"/>
      <w:marRight w:val="0"/>
      <w:marTop w:val="0"/>
      <w:marBottom w:val="0"/>
      <w:divBdr>
        <w:top w:val="none" w:sz="0" w:space="0" w:color="auto"/>
        <w:left w:val="none" w:sz="0" w:space="0" w:color="auto"/>
        <w:bottom w:val="none" w:sz="0" w:space="0" w:color="auto"/>
        <w:right w:val="none" w:sz="0" w:space="0" w:color="auto"/>
      </w:divBdr>
      <w:divsChild>
        <w:div w:id="1484539007">
          <w:marLeft w:val="0"/>
          <w:marRight w:val="0"/>
          <w:marTop w:val="120"/>
          <w:marBottom w:val="0"/>
          <w:divBdr>
            <w:top w:val="none" w:sz="0" w:space="0" w:color="auto"/>
            <w:left w:val="none" w:sz="0" w:space="0" w:color="auto"/>
            <w:bottom w:val="none" w:sz="0" w:space="0" w:color="auto"/>
            <w:right w:val="none" w:sz="0" w:space="0" w:color="auto"/>
          </w:divBdr>
        </w:div>
      </w:divsChild>
    </w:div>
    <w:div w:id="1703819471">
      <w:bodyDiv w:val="1"/>
      <w:marLeft w:val="0"/>
      <w:marRight w:val="0"/>
      <w:marTop w:val="0"/>
      <w:marBottom w:val="0"/>
      <w:divBdr>
        <w:top w:val="none" w:sz="0" w:space="0" w:color="auto"/>
        <w:left w:val="none" w:sz="0" w:space="0" w:color="auto"/>
        <w:bottom w:val="none" w:sz="0" w:space="0" w:color="auto"/>
        <w:right w:val="none" w:sz="0" w:space="0" w:color="auto"/>
      </w:divBdr>
      <w:divsChild>
        <w:div w:id="178813065">
          <w:marLeft w:val="461"/>
          <w:marRight w:val="0"/>
          <w:marTop w:val="0"/>
          <w:marBottom w:val="0"/>
          <w:divBdr>
            <w:top w:val="none" w:sz="0" w:space="0" w:color="auto"/>
            <w:left w:val="none" w:sz="0" w:space="0" w:color="auto"/>
            <w:bottom w:val="none" w:sz="0" w:space="0" w:color="auto"/>
            <w:right w:val="none" w:sz="0" w:space="0" w:color="auto"/>
          </w:divBdr>
        </w:div>
        <w:div w:id="181629897">
          <w:marLeft w:val="461"/>
          <w:marRight w:val="0"/>
          <w:marTop w:val="0"/>
          <w:marBottom w:val="0"/>
          <w:divBdr>
            <w:top w:val="none" w:sz="0" w:space="0" w:color="auto"/>
            <w:left w:val="none" w:sz="0" w:space="0" w:color="auto"/>
            <w:bottom w:val="none" w:sz="0" w:space="0" w:color="auto"/>
            <w:right w:val="none" w:sz="0" w:space="0" w:color="auto"/>
          </w:divBdr>
        </w:div>
        <w:div w:id="184297858">
          <w:marLeft w:val="461"/>
          <w:marRight w:val="0"/>
          <w:marTop w:val="0"/>
          <w:marBottom w:val="0"/>
          <w:divBdr>
            <w:top w:val="none" w:sz="0" w:space="0" w:color="auto"/>
            <w:left w:val="none" w:sz="0" w:space="0" w:color="auto"/>
            <w:bottom w:val="none" w:sz="0" w:space="0" w:color="auto"/>
            <w:right w:val="none" w:sz="0" w:space="0" w:color="auto"/>
          </w:divBdr>
        </w:div>
        <w:div w:id="217672022">
          <w:marLeft w:val="461"/>
          <w:marRight w:val="0"/>
          <w:marTop w:val="0"/>
          <w:marBottom w:val="0"/>
          <w:divBdr>
            <w:top w:val="none" w:sz="0" w:space="0" w:color="auto"/>
            <w:left w:val="none" w:sz="0" w:space="0" w:color="auto"/>
            <w:bottom w:val="none" w:sz="0" w:space="0" w:color="auto"/>
            <w:right w:val="none" w:sz="0" w:space="0" w:color="auto"/>
          </w:divBdr>
        </w:div>
        <w:div w:id="265312644">
          <w:marLeft w:val="461"/>
          <w:marRight w:val="0"/>
          <w:marTop w:val="0"/>
          <w:marBottom w:val="0"/>
          <w:divBdr>
            <w:top w:val="none" w:sz="0" w:space="0" w:color="auto"/>
            <w:left w:val="none" w:sz="0" w:space="0" w:color="auto"/>
            <w:bottom w:val="none" w:sz="0" w:space="0" w:color="auto"/>
            <w:right w:val="none" w:sz="0" w:space="0" w:color="auto"/>
          </w:divBdr>
        </w:div>
        <w:div w:id="555622851">
          <w:marLeft w:val="461"/>
          <w:marRight w:val="0"/>
          <w:marTop w:val="0"/>
          <w:marBottom w:val="0"/>
          <w:divBdr>
            <w:top w:val="none" w:sz="0" w:space="0" w:color="auto"/>
            <w:left w:val="none" w:sz="0" w:space="0" w:color="auto"/>
            <w:bottom w:val="none" w:sz="0" w:space="0" w:color="auto"/>
            <w:right w:val="none" w:sz="0" w:space="0" w:color="auto"/>
          </w:divBdr>
        </w:div>
        <w:div w:id="606696335">
          <w:marLeft w:val="461"/>
          <w:marRight w:val="0"/>
          <w:marTop w:val="0"/>
          <w:marBottom w:val="0"/>
          <w:divBdr>
            <w:top w:val="none" w:sz="0" w:space="0" w:color="auto"/>
            <w:left w:val="none" w:sz="0" w:space="0" w:color="auto"/>
            <w:bottom w:val="none" w:sz="0" w:space="0" w:color="auto"/>
            <w:right w:val="none" w:sz="0" w:space="0" w:color="auto"/>
          </w:divBdr>
        </w:div>
        <w:div w:id="773982683">
          <w:marLeft w:val="461"/>
          <w:marRight w:val="0"/>
          <w:marTop w:val="0"/>
          <w:marBottom w:val="0"/>
          <w:divBdr>
            <w:top w:val="none" w:sz="0" w:space="0" w:color="auto"/>
            <w:left w:val="none" w:sz="0" w:space="0" w:color="auto"/>
            <w:bottom w:val="none" w:sz="0" w:space="0" w:color="auto"/>
            <w:right w:val="none" w:sz="0" w:space="0" w:color="auto"/>
          </w:divBdr>
        </w:div>
        <w:div w:id="1523856532">
          <w:marLeft w:val="461"/>
          <w:marRight w:val="0"/>
          <w:marTop w:val="0"/>
          <w:marBottom w:val="0"/>
          <w:divBdr>
            <w:top w:val="none" w:sz="0" w:space="0" w:color="auto"/>
            <w:left w:val="none" w:sz="0" w:space="0" w:color="auto"/>
            <w:bottom w:val="none" w:sz="0" w:space="0" w:color="auto"/>
            <w:right w:val="none" w:sz="0" w:space="0" w:color="auto"/>
          </w:divBdr>
        </w:div>
        <w:div w:id="1799689092">
          <w:marLeft w:val="461"/>
          <w:marRight w:val="0"/>
          <w:marTop w:val="0"/>
          <w:marBottom w:val="0"/>
          <w:divBdr>
            <w:top w:val="none" w:sz="0" w:space="0" w:color="auto"/>
            <w:left w:val="none" w:sz="0" w:space="0" w:color="auto"/>
            <w:bottom w:val="none" w:sz="0" w:space="0" w:color="auto"/>
            <w:right w:val="none" w:sz="0" w:space="0" w:color="auto"/>
          </w:divBdr>
        </w:div>
        <w:div w:id="1900166007">
          <w:marLeft w:val="461"/>
          <w:marRight w:val="0"/>
          <w:marTop w:val="0"/>
          <w:marBottom w:val="0"/>
          <w:divBdr>
            <w:top w:val="none" w:sz="0" w:space="0" w:color="auto"/>
            <w:left w:val="none" w:sz="0" w:space="0" w:color="auto"/>
            <w:bottom w:val="none" w:sz="0" w:space="0" w:color="auto"/>
            <w:right w:val="none" w:sz="0" w:space="0" w:color="auto"/>
          </w:divBdr>
        </w:div>
      </w:divsChild>
    </w:div>
    <w:div w:id="1703943982">
      <w:bodyDiv w:val="1"/>
      <w:marLeft w:val="0"/>
      <w:marRight w:val="0"/>
      <w:marTop w:val="0"/>
      <w:marBottom w:val="0"/>
      <w:divBdr>
        <w:top w:val="none" w:sz="0" w:space="0" w:color="auto"/>
        <w:left w:val="none" w:sz="0" w:space="0" w:color="auto"/>
        <w:bottom w:val="none" w:sz="0" w:space="0" w:color="auto"/>
        <w:right w:val="none" w:sz="0" w:space="0" w:color="auto"/>
      </w:divBdr>
    </w:div>
    <w:div w:id="1705592459">
      <w:bodyDiv w:val="1"/>
      <w:marLeft w:val="0"/>
      <w:marRight w:val="0"/>
      <w:marTop w:val="0"/>
      <w:marBottom w:val="0"/>
      <w:divBdr>
        <w:top w:val="none" w:sz="0" w:space="0" w:color="auto"/>
        <w:left w:val="none" w:sz="0" w:space="0" w:color="auto"/>
        <w:bottom w:val="none" w:sz="0" w:space="0" w:color="auto"/>
        <w:right w:val="none" w:sz="0" w:space="0" w:color="auto"/>
      </w:divBdr>
    </w:div>
    <w:div w:id="1710179181">
      <w:bodyDiv w:val="1"/>
      <w:marLeft w:val="0"/>
      <w:marRight w:val="0"/>
      <w:marTop w:val="0"/>
      <w:marBottom w:val="0"/>
      <w:divBdr>
        <w:top w:val="none" w:sz="0" w:space="0" w:color="auto"/>
        <w:left w:val="none" w:sz="0" w:space="0" w:color="auto"/>
        <w:bottom w:val="none" w:sz="0" w:space="0" w:color="auto"/>
        <w:right w:val="none" w:sz="0" w:space="0" w:color="auto"/>
      </w:divBdr>
    </w:div>
    <w:div w:id="1710492783">
      <w:bodyDiv w:val="1"/>
      <w:marLeft w:val="0"/>
      <w:marRight w:val="0"/>
      <w:marTop w:val="0"/>
      <w:marBottom w:val="0"/>
      <w:divBdr>
        <w:top w:val="none" w:sz="0" w:space="0" w:color="auto"/>
        <w:left w:val="none" w:sz="0" w:space="0" w:color="auto"/>
        <w:bottom w:val="none" w:sz="0" w:space="0" w:color="auto"/>
        <w:right w:val="none" w:sz="0" w:space="0" w:color="auto"/>
      </w:divBdr>
    </w:div>
    <w:div w:id="1712799249">
      <w:bodyDiv w:val="1"/>
      <w:marLeft w:val="0"/>
      <w:marRight w:val="0"/>
      <w:marTop w:val="0"/>
      <w:marBottom w:val="0"/>
      <w:divBdr>
        <w:top w:val="none" w:sz="0" w:space="0" w:color="auto"/>
        <w:left w:val="none" w:sz="0" w:space="0" w:color="auto"/>
        <w:bottom w:val="none" w:sz="0" w:space="0" w:color="auto"/>
        <w:right w:val="none" w:sz="0" w:space="0" w:color="auto"/>
      </w:divBdr>
      <w:divsChild>
        <w:div w:id="306520657">
          <w:marLeft w:val="461"/>
          <w:marRight w:val="0"/>
          <w:marTop w:val="0"/>
          <w:marBottom w:val="0"/>
          <w:divBdr>
            <w:top w:val="none" w:sz="0" w:space="0" w:color="auto"/>
            <w:left w:val="none" w:sz="0" w:space="0" w:color="auto"/>
            <w:bottom w:val="none" w:sz="0" w:space="0" w:color="auto"/>
            <w:right w:val="none" w:sz="0" w:space="0" w:color="auto"/>
          </w:divBdr>
        </w:div>
        <w:div w:id="515703364">
          <w:marLeft w:val="461"/>
          <w:marRight w:val="0"/>
          <w:marTop w:val="0"/>
          <w:marBottom w:val="0"/>
          <w:divBdr>
            <w:top w:val="none" w:sz="0" w:space="0" w:color="auto"/>
            <w:left w:val="none" w:sz="0" w:space="0" w:color="auto"/>
            <w:bottom w:val="none" w:sz="0" w:space="0" w:color="auto"/>
            <w:right w:val="none" w:sz="0" w:space="0" w:color="auto"/>
          </w:divBdr>
        </w:div>
        <w:div w:id="759260566">
          <w:marLeft w:val="461"/>
          <w:marRight w:val="0"/>
          <w:marTop w:val="0"/>
          <w:marBottom w:val="0"/>
          <w:divBdr>
            <w:top w:val="none" w:sz="0" w:space="0" w:color="auto"/>
            <w:left w:val="none" w:sz="0" w:space="0" w:color="auto"/>
            <w:bottom w:val="none" w:sz="0" w:space="0" w:color="auto"/>
            <w:right w:val="none" w:sz="0" w:space="0" w:color="auto"/>
          </w:divBdr>
        </w:div>
        <w:div w:id="815680748">
          <w:marLeft w:val="461"/>
          <w:marRight w:val="0"/>
          <w:marTop w:val="0"/>
          <w:marBottom w:val="0"/>
          <w:divBdr>
            <w:top w:val="none" w:sz="0" w:space="0" w:color="auto"/>
            <w:left w:val="none" w:sz="0" w:space="0" w:color="auto"/>
            <w:bottom w:val="none" w:sz="0" w:space="0" w:color="auto"/>
            <w:right w:val="none" w:sz="0" w:space="0" w:color="auto"/>
          </w:divBdr>
        </w:div>
        <w:div w:id="908072238">
          <w:marLeft w:val="461"/>
          <w:marRight w:val="0"/>
          <w:marTop w:val="0"/>
          <w:marBottom w:val="0"/>
          <w:divBdr>
            <w:top w:val="none" w:sz="0" w:space="0" w:color="auto"/>
            <w:left w:val="none" w:sz="0" w:space="0" w:color="auto"/>
            <w:bottom w:val="none" w:sz="0" w:space="0" w:color="auto"/>
            <w:right w:val="none" w:sz="0" w:space="0" w:color="auto"/>
          </w:divBdr>
        </w:div>
        <w:div w:id="1340497583">
          <w:marLeft w:val="461"/>
          <w:marRight w:val="0"/>
          <w:marTop w:val="0"/>
          <w:marBottom w:val="0"/>
          <w:divBdr>
            <w:top w:val="none" w:sz="0" w:space="0" w:color="auto"/>
            <w:left w:val="none" w:sz="0" w:space="0" w:color="auto"/>
            <w:bottom w:val="none" w:sz="0" w:space="0" w:color="auto"/>
            <w:right w:val="none" w:sz="0" w:space="0" w:color="auto"/>
          </w:divBdr>
        </w:div>
        <w:div w:id="1352495258">
          <w:marLeft w:val="461"/>
          <w:marRight w:val="0"/>
          <w:marTop w:val="0"/>
          <w:marBottom w:val="0"/>
          <w:divBdr>
            <w:top w:val="none" w:sz="0" w:space="0" w:color="auto"/>
            <w:left w:val="none" w:sz="0" w:space="0" w:color="auto"/>
            <w:bottom w:val="none" w:sz="0" w:space="0" w:color="auto"/>
            <w:right w:val="none" w:sz="0" w:space="0" w:color="auto"/>
          </w:divBdr>
        </w:div>
        <w:div w:id="1398745906">
          <w:marLeft w:val="461"/>
          <w:marRight w:val="0"/>
          <w:marTop w:val="0"/>
          <w:marBottom w:val="0"/>
          <w:divBdr>
            <w:top w:val="none" w:sz="0" w:space="0" w:color="auto"/>
            <w:left w:val="none" w:sz="0" w:space="0" w:color="auto"/>
            <w:bottom w:val="none" w:sz="0" w:space="0" w:color="auto"/>
            <w:right w:val="none" w:sz="0" w:space="0" w:color="auto"/>
          </w:divBdr>
        </w:div>
        <w:div w:id="1504005432">
          <w:marLeft w:val="461"/>
          <w:marRight w:val="0"/>
          <w:marTop w:val="0"/>
          <w:marBottom w:val="0"/>
          <w:divBdr>
            <w:top w:val="none" w:sz="0" w:space="0" w:color="auto"/>
            <w:left w:val="none" w:sz="0" w:space="0" w:color="auto"/>
            <w:bottom w:val="none" w:sz="0" w:space="0" w:color="auto"/>
            <w:right w:val="none" w:sz="0" w:space="0" w:color="auto"/>
          </w:divBdr>
        </w:div>
        <w:div w:id="1573347474">
          <w:marLeft w:val="461"/>
          <w:marRight w:val="0"/>
          <w:marTop w:val="0"/>
          <w:marBottom w:val="0"/>
          <w:divBdr>
            <w:top w:val="none" w:sz="0" w:space="0" w:color="auto"/>
            <w:left w:val="none" w:sz="0" w:space="0" w:color="auto"/>
            <w:bottom w:val="none" w:sz="0" w:space="0" w:color="auto"/>
            <w:right w:val="none" w:sz="0" w:space="0" w:color="auto"/>
          </w:divBdr>
        </w:div>
        <w:div w:id="1903247541">
          <w:marLeft w:val="461"/>
          <w:marRight w:val="0"/>
          <w:marTop w:val="0"/>
          <w:marBottom w:val="0"/>
          <w:divBdr>
            <w:top w:val="none" w:sz="0" w:space="0" w:color="auto"/>
            <w:left w:val="none" w:sz="0" w:space="0" w:color="auto"/>
            <w:bottom w:val="none" w:sz="0" w:space="0" w:color="auto"/>
            <w:right w:val="none" w:sz="0" w:space="0" w:color="auto"/>
          </w:divBdr>
        </w:div>
      </w:divsChild>
    </w:div>
    <w:div w:id="1714962583">
      <w:bodyDiv w:val="1"/>
      <w:marLeft w:val="0"/>
      <w:marRight w:val="0"/>
      <w:marTop w:val="0"/>
      <w:marBottom w:val="0"/>
      <w:divBdr>
        <w:top w:val="none" w:sz="0" w:space="0" w:color="auto"/>
        <w:left w:val="none" w:sz="0" w:space="0" w:color="auto"/>
        <w:bottom w:val="none" w:sz="0" w:space="0" w:color="auto"/>
        <w:right w:val="none" w:sz="0" w:space="0" w:color="auto"/>
      </w:divBdr>
      <w:divsChild>
        <w:div w:id="227886628">
          <w:marLeft w:val="720"/>
          <w:marRight w:val="0"/>
          <w:marTop w:val="0"/>
          <w:marBottom w:val="0"/>
          <w:divBdr>
            <w:top w:val="none" w:sz="0" w:space="0" w:color="auto"/>
            <w:left w:val="none" w:sz="0" w:space="0" w:color="auto"/>
            <w:bottom w:val="none" w:sz="0" w:space="0" w:color="auto"/>
            <w:right w:val="none" w:sz="0" w:space="0" w:color="auto"/>
          </w:divBdr>
        </w:div>
      </w:divsChild>
    </w:div>
    <w:div w:id="1718159025">
      <w:bodyDiv w:val="1"/>
      <w:marLeft w:val="0"/>
      <w:marRight w:val="0"/>
      <w:marTop w:val="0"/>
      <w:marBottom w:val="0"/>
      <w:divBdr>
        <w:top w:val="none" w:sz="0" w:space="0" w:color="auto"/>
        <w:left w:val="none" w:sz="0" w:space="0" w:color="auto"/>
        <w:bottom w:val="none" w:sz="0" w:space="0" w:color="auto"/>
        <w:right w:val="none" w:sz="0" w:space="0" w:color="auto"/>
      </w:divBdr>
    </w:div>
    <w:div w:id="1722439295">
      <w:bodyDiv w:val="1"/>
      <w:marLeft w:val="0"/>
      <w:marRight w:val="0"/>
      <w:marTop w:val="0"/>
      <w:marBottom w:val="0"/>
      <w:divBdr>
        <w:top w:val="none" w:sz="0" w:space="0" w:color="auto"/>
        <w:left w:val="none" w:sz="0" w:space="0" w:color="auto"/>
        <w:bottom w:val="none" w:sz="0" w:space="0" w:color="auto"/>
        <w:right w:val="none" w:sz="0" w:space="0" w:color="auto"/>
      </w:divBdr>
    </w:div>
    <w:div w:id="1726102308">
      <w:bodyDiv w:val="1"/>
      <w:marLeft w:val="0"/>
      <w:marRight w:val="0"/>
      <w:marTop w:val="0"/>
      <w:marBottom w:val="0"/>
      <w:divBdr>
        <w:top w:val="none" w:sz="0" w:space="0" w:color="auto"/>
        <w:left w:val="none" w:sz="0" w:space="0" w:color="auto"/>
        <w:bottom w:val="none" w:sz="0" w:space="0" w:color="auto"/>
        <w:right w:val="none" w:sz="0" w:space="0" w:color="auto"/>
      </w:divBdr>
      <w:divsChild>
        <w:div w:id="112553454">
          <w:marLeft w:val="302"/>
          <w:marRight w:val="0"/>
          <w:marTop w:val="0"/>
          <w:marBottom w:val="0"/>
          <w:divBdr>
            <w:top w:val="none" w:sz="0" w:space="0" w:color="auto"/>
            <w:left w:val="none" w:sz="0" w:space="0" w:color="auto"/>
            <w:bottom w:val="none" w:sz="0" w:space="0" w:color="auto"/>
            <w:right w:val="none" w:sz="0" w:space="0" w:color="auto"/>
          </w:divBdr>
        </w:div>
        <w:div w:id="267734210">
          <w:marLeft w:val="302"/>
          <w:marRight w:val="0"/>
          <w:marTop w:val="0"/>
          <w:marBottom w:val="0"/>
          <w:divBdr>
            <w:top w:val="none" w:sz="0" w:space="0" w:color="auto"/>
            <w:left w:val="none" w:sz="0" w:space="0" w:color="auto"/>
            <w:bottom w:val="none" w:sz="0" w:space="0" w:color="auto"/>
            <w:right w:val="none" w:sz="0" w:space="0" w:color="auto"/>
          </w:divBdr>
        </w:div>
        <w:div w:id="1643190645">
          <w:marLeft w:val="302"/>
          <w:marRight w:val="0"/>
          <w:marTop w:val="0"/>
          <w:marBottom w:val="0"/>
          <w:divBdr>
            <w:top w:val="none" w:sz="0" w:space="0" w:color="auto"/>
            <w:left w:val="none" w:sz="0" w:space="0" w:color="auto"/>
            <w:bottom w:val="none" w:sz="0" w:space="0" w:color="auto"/>
            <w:right w:val="none" w:sz="0" w:space="0" w:color="auto"/>
          </w:divBdr>
        </w:div>
        <w:div w:id="1760324887">
          <w:marLeft w:val="302"/>
          <w:marRight w:val="0"/>
          <w:marTop w:val="0"/>
          <w:marBottom w:val="0"/>
          <w:divBdr>
            <w:top w:val="none" w:sz="0" w:space="0" w:color="auto"/>
            <w:left w:val="none" w:sz="0" w:space="0" w:color="auto"/>
            <w:bottom w:val="none" w:sz="0" w:space="0" w:color="auto"/>
            <w:right w:val="none" w:sz="0" w:space="0" w:color="auto"/>
          </w:divBdr>
        </w:div>
      </w:divsChild>
    </w:div>
    <w:div w:id="1729986285">
      <w:bodyDiv w:val="1"/>
      <w:marLeft w:val="0"/>
      <w:marRight w:val="0"/>
      <w:marTop w:val="0"/>
      <w:marBottom w:val="0"/>
      <w:divBdr>
        <w:top w:val="none" w:sz="0" w:space="0" w:color="auto"/>
        <w:left w:val="none" w:sz="0" w:space="0" w:color="auto"/>
        <w:bottom w:val="none" w:sz="0" w:space="0" w:color="auto"/>
        <w:right w:val="none" w:sz="0" w:space="0" w:color="auto"/>
      </w:divBdr>
    </w:div>
    <w:div w:id="1731491754">
      <w:bodyDiv w:val="1"/>
      <w:marLeft w:val="0"/>
      <w:marRight w:val="0"/>
      <w:marTop w:val="0"/>
      <w:marBottom w:val="0"/>
      <w:divBdr>
        <w:top w:val="none" w:sz="0" w:space="0" w:color="auto"/>
        <w:left w:val="none" w:sz="0" w:space="0" w:color="auto"/>
        <w:bottom w:val="none" w:sz="0" w:space="0" w:color="auto"/>
        <w:right w:val="none" w:sz="0" w:space="0" w:color="auto"/>
      </w:divBdr>
      <w:divsChild>
        <w:div w:id="133840113">
          <w:marLeft w:val="274"/>
          <w:marRight w:val="0"/>
          <w:marTop w:val="0"/>
          <w:marBottom w:val="20"/>
          <w:divBdr>
            <w:top w:val="none" w:sz="0" w:space="0" w:color="auto"/>
            <w:left w:val="none" w:sz="0" w:space="0" w:color="auto"/>
            <w:bottom w:val="none" w:sz="0" w:space="0" w:color="auto"/>
            <w:right w:val="none" w:sz="0" w:space="0" w:color="auto"/>
          </w:divBdr>
        </w:div>
        <w:div w:id="177625463">
          <w:marLeft w:val="274"/>
          <w:marRight w:val="0"/>
          <w:marTop w:val="0"/>
          <w:marBottom w:val="20"/>
          <w:divBdr>
            <w:top w:val="none" w:sz="0" w:space="0" w:color="auto"/>
            <w:left w:val="none" w:sz="0" w:space="0" w:color="auto"/>
            <w:bottom w:val="none" w:sz="0" w:space="0" w:color="auto"/>
            <w:right w:val="none" w:sz="0" w:space="0" w:color="auto"/>
          </w:divBdr>
        </w:div>
        <w:div w:id="190531800">
          <w:marLeft w:val="274"/>
          <w:marRight w:val="0"/>
          <w:marTop w:val="0"/>
          <w:marBottom w:val="20"/>
          <w:divBdr>
            <w:top w:val="none" w:sz="0" w:space="0" w:color="auto"/>
            <w:left w:val="none" w:sz="0" w:space="0" w:color="auto"/>
            <w:bottom w:val="none" w:sz="0" w:space="0" w:color="auto"/>
            <w:right w:val="none" w:sz="0" w:space="0" w:color="auto"/>
          </w:divBdr>
        </w:div>
        <w:div w:id="327250848">
          <w:marLeft w:val="274"/>
          <w:marRight w:val="0"/>
          <w:marTop w:val="0"/>
          <w:marBottom w:val="20"/>
          <w:divBdr>
            <w:top w:val="none" w:sz="0" w:space="0" w:color="auto"/>
            <w:left w:val="none" w:sz="0" w:space="0" w:color="auto"/>
            <w:bottom w:val="none" w:sz="0" w:space="0" w:color="auto"/>
            <w:right w:val="none" w:sz="0" w:space="0" w:color="auto"/>
          </w:divBdr>
        </w:div>
        <w:div w:id="365105645">
          <w:marLeft w:val="274"/>
          <w:marRight w:val="0"/>
          <w:marTop w:val="0"/>
          <w:marBottom w:val="20"/>
          <w:divBdr>
            <w:top w:val="none" w:sz="0" w:space="0" w:color="auto"/>
            <w:left w:val="none" w:sz="0" w:space="0" w:color="auto"/>
            <w:bottom w:val="none" w:sz="0" w:space="0" w:color="auto"/>
            <w:right w:val="none" w:sz="0" w:space="0" w:color="auto"/>
          </w:divBdr>
        </w:div>
        <w:div w:id="524711343">
          <w:marLeft w:val="274"/>
          <w:marRight w:val="0"/>
          <w:marTop w:val="0"/>
          <w:marBottom w:val="20"/>
          <w:divBdr>
            <w:top w:val="none" w:sz="0" w:space="0" w:color="auto"/>
            <w:left w:val="none" w:sz="0" w:space="0" w:color="auto"/>
            <w:bottom w:val="none" w:sz="0" w:space="0" w:color="auto"/>
            <w:right w:val="none" w:sz="0" w:space="0" w:color="auto"/>
          </w:divBdr>
        </w:div>
        <w:div w:id="1145392764">
          <w:marLeft w:val="274"/>
          <w:marRight w:val="0"/>
          <w:marTop w:val="0"/>
          <w:marBottom w:val="20"/>
          <w:divBdr>
            <w:top w:val="none" w:sz="0" w:space="0" w:color="auto"/>
            <w:left w:val="none" w:sz="0" w:space="0" w:color="auto"/>
            <w:bottom w:val="none" w:sz="0" w:space="0" w:color="auto"/>
            <w:right w:val="none" w:sz="0" w:space="0" w:color="auto"/>
          </w:divBdr>
        </w:div>
        <w:div w:id="1180462741">
          <w:marLeft w:val="274"/>
          <w:marRight w:val="0"/>
          <w:marTop w:val="0"/>
          <w:marBottom w:val="20"/>
          <w:divBdr>
            <w:top w:val="none" w:sz="0" w:space="0" w:color="auto"/>
            <w:left w:val="none" w:sz="0" w:space="0" w:color="auto"/>
            <w:bottom w:val="none" w:sz="0" w:space="0" w:color="auto"/>
            <w:right w:val="none" w:sz="0" w:space="0" w:color="auto"/>
          </w:divBdr>
        </w:div>
        <w:div w:id="1490058850">
          <w:marLeft w:val="274"/>
          <w:marRight w:val="0"/>
          <w:marTop w:val="0"/>
          <w:marBottom w:val="20"/>
          <w:divBdr>
            <w:top w:val="none" w:sz="0" w:space="0" w:color="auto"/>
            <w:left w:val="none" w:sz="0" w:space="0" w:color="auto"/>
            <w:bottom w:val="none" w:sz="0" w:space="0" w:color="auto"/>
            <w:right w:val="none" w:sz="0" w:space="0" w:color="auto"/>
          </w:divBdr>
        </w:div>
        <w:div w:id="1643466361">
          <w:marLeft w:val="274"/>
          <w:marRight w:val="0"/>
          <w:marTop w:val="0"/>
          <w:marBottom w:val="20"/>
          <w:divBdr>
            <w:top w:val="none" w:sz="0" w:space="0" w:color="auto"/>
            <w:left w:val="none" w:sz="0" w:space="0" w:color="auto"/>
            <w:bottom w:val="none" w:sz="0" w:space="0" w:color="auto"/>
            <w:right w:val="none" w:sz="0" w:space="0" w:color="auto"/>
          </w:divBdr>
        </w:div>
        <w:div w:id="1758863829">
          <w:marLeft w:val="274"/>
          <w:marRight w:val="0"/>
          <w:marTop w:val="0"/>
          <w:marBottom w:val="20"/>
          <w:divBdr>
            <w:top w:val="none" w:sz="0" w:space="0" w:color="auto"/>
            <w:left w:val="none" w:sz="0" w:space="0" w:color="auto"/>
            <w:bottom w:val="none" w:sz="0" w:space="0" w:color="auto"/>
            <w:right w:val="none" w:sz="0" w:space="0" w:color="auto"/>
          </w:divBdr>
        </w:div>
        <w:div w:id="1954433940">
          <w:marLeft w:val="274"/>
          <w:marRight w:val="0"/>
          <w:marTop w:val="0"/>
          <w:marBottom w:val="20"/>
          <w:divBdr>
            <w:top w:val="none" w:sz="0" w:space="0" w:color="auto"/>
            <w:left w:val="none" w:sz="0" w:space="0" w:color="auto"/>
            <w:bottom w:val="none" w:sz="0" w:space="0" w:color="auto"/>
            <w:right w:val="none" w:sz="0" w:space="0" w:color="auto"/>
          </w:divBdr>
        </w:div>
      </w:divsChild>
    </w:div>
    <w:div w:id="1737971824">
      <w:bodyDiv w:val="1"/>
      <w:marLeft w:val="0"/>
      <w:marRight w:val="0"/>
      <w:marTop w:val="0"/>
      <w:marBottom w:val="0"/>
      <w:divBdr>
        <w:top w:val="none" w:sz="0" w:space="0" w:color="auto"/>
        <w:left w:val="none" w:sz="0" w:space="0" w:color="auto"/>
        <w:bottom w:val="none" w:sz="0" w:space="0" w:color="auto"/>
        <w:right w:val="none" w:sz="0" w:space="0" w:color="auto"/>
      </w:divBdr>
    </w:div>
    <w:div w:id="1747452675">
      <w:bodyDiv w:val="1"/>
      <w:marLeft w:val="0"/>
      <w:marRight w:val="0"/>
      <w:marTop w:val="0"/>
      <w:marBottom w:val="0"/>
      <w:divBdr>
        <w:top w:val="none" w:sz="0" w:space="0" w:color="auto"/>
        <w:left w:val="none" w:sz="0" w:space="0" w:color="auto"/>
        <w:bottom w:val="none" w:sz="0" w:space="0" w:color="auto"/>
        <w:right w:val="none" w:sz="0" w:space="0" w:color="auto"/>
      </w:divBdr>
      <w:divsChild>
        <w:div w:id="1105080816">
          <w:marLeft w:val="0"/>
          <w:marRight w:val="0"/>
          <w:marTop w:val="0"/>
          <w:marBottom w:val="20"/>
          <w:divBdr>
            <w:top w:val="none" w:sz="0" w:space="0" w:color="auto"/>
            <w:left w:val="none" w:sz="0" w:space="0" w:color="auto"/>
            <w:bottom w:val="none" w:sz="0" w:space="0" w:color="auto"/>
            <w:right w:val="none" w:sz="0" w:space="0" w:color="auto"/>
          </w:divBdr>
        </w:div>
      </w:divsChild>
    </w:div>
    <w:div w:id="1775515287">
      <w:bodyDiv w:val="1"/>
      <w:marLeft w:val="0"/>
      <w:marRight w:val="0"/>
      <w:marTop w:val="0"/>
      <w:marBottom w:val="0"/>
      <w:divBdr>
        <w:top w:val="none" w:sz="0" w:space="0" w:color="auto"/>
        <w:left w:val="none" w:sz="0" w:space="0" w:color="auto"/>
        <w:bottom w:val="none" w:sz="0" w:space="0" w:color="auto"/>
        <w:right w:val="none" w:sz="0" w:space="0" w:color="auto"/>
      </w:divBdr>
      <w:divsChild>
        <w:div w:id="114834196">
          <w:marLeft w:val="432"/>
          <w:marRight w:val="0"/>
          <w:marTop w:val="0"/>
          <w:marBottom w:val="0"/>
          <w:divBdr>
            <w:top w:val="none" w:sz="0" w:space="0" w:color="auto"/>
            <w:left w:val="none" w:sz="0" w:space="0" w:color="auto"/>
            <w:bottom w:val="none" w:sz="0" w:space="0" w:color="auto"/>
            <w:right w:val="none" w:sz="0" w:space="0" w:color="auto"/>
          </w:divBdr>
        </w:div>
        <w:div w:id="167335469">
          <w:marLeft w:val="432"/>
          <w:marRight w:val="0"/>
          <w:marTop w:val="0"/>
          <w:marBottom w:val="0"/>
          <w:divBdr>
            <w:top w:val="none" w:sz="0" w:space="0" w:color="auto"/>
            <w:left w:val="none" w:sz="0" w:space="0" w:color="auto"/>
            <w:bottom w:val="none" w:sz="0" w:space="0" w:color="auto"/>
            <w:right w:val="none" w:sz="0" w:space="0" w:color="auto"/>
          </w:divBdr>
        </w:div>
        <w:div w:id="235405371">
          <w:marLeft w:val="432"/>
          <w:marRight w:val="0"/>
          <w:marTop w:val="0"/>
          <w:marBottom w:val="0"/>
          <w:divBdr>
            <w:top w:val="none" w:sz="0" w:space="0" w:color="auto"/>
            <w:left w:val="none" w:sz="0" w:space="0" w:color="auto"/>
            <w:bottom w:val="none" w:sz="0" w:space="0" w:color="auto"/>
            <w:right w:val="none" w:sz="0" w:space="0" w:color="auto"/>
          </w:divBdr>
        </w:div>
        <w:div w:id="493952215">
          <w:marLeft w:val="432"/>
          <w:marRight w:val="0"/>
          <w:marTop w:val="0"/>
          <w:marBottom w:val="0"/>
          <w:divBdr>
            <w:top w:val="none" w:sz="0" w:space="0" w:color="auto"/>
            <w:left w:val="none" w:sz="0" w:space="0" w:color="auto"/>
            <w:bottom w:val="none" w:sz="0" w:space="0" w:color="auto"/>
            <w:right w:val="none" w:sz="0" w:space="0" w:color="auto"/>
          </w:divBdr>
        </w:div>
        <w:div w:id="538709527">
          <w:marLeft w:val="432"/>
          <w:marRight w:val="0"/>
          <w:marTop w:val="0"/>
          <w:marBottom w:val="0"/>
          <w:divBdr>
            <w:top w:val="none" w:sz="0" w:space="0" w:color="auto"/>
            <w:left w:val="none" w:sz="0" w:space="0" w:color="auto"/>
            <w:bottom w:val="none" w:sz="0" w:space="0" w:color="auto"/>
            <w:right w:val="none" w:sz="0" w:space="0" w:color="auto"/>
          </w:divBdr>
        </w:div>
        <w:div w:id="2071876736">
          <w:marLeft w:val="432"/>
          <w:marRight w:val="0"/>
          <w:marTop w:val="0"/>
          <w:marBottom w:val="0"/>
          <w:divBdr>
            <w:top w:val="none" w:sz="0" w:space="0" w:color="auto"/>
            <w:left w:val="none" w:sz="0" w:space="0" w:color="auto"/>
            <w:bottom w:val="none" w:sz="0" w:space="0" w:color="auto"/>
            <w:right w:val="none" w:sz="0" w:space="0" w:color="auto"/>
          </w:divBdr>
        </w:div>
      </w:divsChild>
    </w:div>
    <w:div w:id="1777015320">
      <w:bodyDiv w:val="1"/>
      <w:marLeft w:val="0"/>
      <w:marRight w:val="0"/>
      <w:marTop w:val="0"/>
      <w:marBottom w:val="0"/>
      <w:divBdr>
        <w:top w:val="none" w:sz="0" w:space="0" w:color="auto"/>
        <w:left w:val="none" w:sz="0" w:space="0" w:color="auto"/>
        <w:bottom w:val="none" w:sz="0" w:space="0" w:color="auto"/>
        <w:right w:val="none" w:sz="0" w:space="0" w:color="auto"/>
      </w:divBdr>
    </w:div>
    <w:div w:id="1780249194">
      <w:bodyDiv w:val="1"/>
      <w:marLeft w:val="0"/>
      <w:marRight w:val="0"/>
      <w:marTop w:val="0"/>
      <w:marBottom w:val="0"/>
      <w:divBdr>
        <w:top w:val="none" w:sz="0" w:space="0" w:color="auto"/>
        <w:left w:val="none" w:sz="0" w:space="0" w:color="auto"/>
        <w:bottom w:val="none" w:sz="0" w:space="0" w:color="auto"/>
        <w:right w:val="none" w:sz="0" w:space="0" w:color="auto"/>
      </w:divBdr>
    </w:div>
    <w:div w:id="1782869644">
      <w:bodyDiv w:val="1"/>
      <w:marLeft w:val="0"/>
      <w:marRight w:val="0"/>
      <w:marTop w:val="0"/>
      <w:marBottom w:val="0"/>
      <w:divBdr>
        <w:top w:val="none" w:sz="0" w:space="0" w:color="auto"/>
        <w:left w:val="none" w:sz="0" w:space="0" w:color="auto"/>
        <w:bottom w:val="none" w:sz="0" w:space="0" w:color="auto"/>
        <w:right w:val="none" w:sz="0" w:space="0" w:color="auto"/>
      </w:divBdr>
      <w:divsChild>
        <w:div w:id="1416509911">
          <w:marLeft w:val="302"/>
          <w:marRight w:val="0"/>
          <w:marTop w:val="0"/>
          <w:marBottom w:val="0"/>
          <w:divBdr>
            <w:top w:val="none" w:sz="0" w:space="0" w:color="auto"/>
            <w:left w:val="none" w:sz="0" w:space="0" w:color="auto"/>
            <w:bottom w:val="none" w:sz="0" w:space="0" w:color="auto"/>
            <w:right w:val="none" w:sz="0" w:space="0" w:color="auto"/>
          </w:divBdr>
        </w:div>
        <w:div w:id="1438909083">
          <w:marLeft w:val="302"/>
          <w:marRight w:val="0"/>
          <w:marTop w:val="0"/>
          <w:marBottom w:val="0"/>
          <w:divBdr>
            <w:top w:val="none" w:sz="0" w:space="0" w:color="auto"/>
            <w:left w:val="none" w:sz="0" w:space="0" w:color="auto"/>
            <w:bottom w:val="none" w:sz="0" w:space="0" w:color="auto"/>
            <w:right w:val="none" w:sz="0" w:space="0" w:color="auto"/>
          </w:divBdr>
        </w:div>
      </w:divsChild>
    </w:div>
    <w:div w:id="1793210890">
      <w:bodyDiv w:val="1"/>
      <w:marLeft w:val="0"/>
      <w:marRight w:val="0"/>
      <w:marTop w:val="0"/>
      <w:marBottom w:val="0"/>
      <w:divBdr>
        <w:top w:val="none" w:sz="0" w:space="0" w:color="auto"/>
        <w:left w:val="none" w:sz="0" w:space="0" w:color="auto"/>
        <w:bottom w:val="none" w:sz="0" w:space="0" w:color="auto"/>
        <w:right w:val="none" w:sz="0" w:space="0" w:color="auto"/>
      </w:divBdr>
    </w:div>
    <w:div w:id="1793552917">
      <w:bodyDiv w:val="1"/>
      <w:marLeft w:val="0"/>
      <w:marRight w:val="0"/>
      <w:marTop w:val="0"/>
      <w:marBottom w:val="0"/>
      <w:divBdr>
        <w:top w:val="none" w:sz="0" w:space="0" w:color="auto"/>
        <w:left w:val="none" w:sz="0" w:space="0" w:color="auto"/>
        <w:bottom w:val="none" w:sz="0" w:space="0" w:color="auto"/>
        <w:right w:val="none" w:sz="0" w:space="0" w:color="auto"/>
      </w:divBdr>
    </w:div>
    <w:div w:id="1805393492">
      <w:bodyDiv w:val="1"/>
      <w:marLeft w:val="0"/>
      <w:marRight w:val="0"/>
      <w:marTop w:val="0"/>
      <w:marBottom w:val="0"/>
      <w:divBdr>
        <w:top w:val="none" w:sz="0" w:space="0" w:color="auto"/>
        <w:left w:val="none" w:sz="0" w:space="0" w:color="auto"/>
        <w:bottom w:val="none" w:sz="0" w:space="0" w:color="auto"/>
        <w:right w:val="none" w:sz="0" w:space="0" w:color="auto"/>
      </w:divBdr>
      <w:divsChild>
        <w:div w:id="321128364">
          <w:marLeft w:val="1037"/>
          <w:marRight w:val="0"/>
          <w:marTop w:val="0"/>
          <w:marBottom w:val="0"/>
          <w:divBdr>
            <w:top w:val="none" w:sz="0" w:space="0" w:color="auto"/>
            <w:left w:val="none" w:sz="0" w:space="0" w:color="auto"/>
            <w:bottom w:val="none" w:sz="0" w:space="0" w:color="auto"/>
            <w:right w:val="none" w:sz="0" w:space="0" w:color="auto"/>
          </w:divBdr>
        </w:div>
        <w:div w:id="1286426723">
          <w:marLeft w:val="1037"/>
          <w:marRight w:val="0"/>
          <w:marTop w:val="0"/>
          <w:marBottom w:val="0"/>
          <w:divBdr>
            <w:top w:val="none" w:sz="0" w:space="0" w:color="auto"/>
            <w:left w:val="none" w:sz="0" w:space="0" w:color="auto"/>
            <w:bottom w:val="none" w:sz="0" w:space="0" w:color="auto"/>
            <w:right w:val="none" w:sz="0" w:space="0" w:color="auto"/>
          </w:divBdr>
        </w:div>
        <w:div w:id="1549686854">
          <w:marLeft w:val="1037"/>
          <w:marRight w:val="0"/>
          <w:marTop w:val="0"/>
          <w:marBottom w:val="0"/>
          <w:divBdr>
            <w:top w:val="none" w:sz="0" w:space="0" w:color="auto"/>
            <w:left w:val="none" w:sz="0" w:space="0" w:color="auto"/>
            <w:bottom w:val="none" w:sz="0" w:space="0" w:color="auto"/>
            <w:right w:val="none" w:sz="0" w:space="0" w:color="auto"/>
          </w:divBdr>
        </w:div>
        <w:div w:id="2078437555">
          <w:marLeft w:val="432"/>
          <w:marRight w:val="0"/>
          <w:marTop w:val="0"/>
          <w:marBottom w:val="0"/>
          <w:divBdr>
            <w:top w:val="none" w:sz="0" w:space="0" w:color="auto"/>
            <w:left w:val="none" w:sz="0" w:space="0" w:color="auto"/>
            <w:bottom w:val="none" w:sz="0" w:space="0" w:color="auto"/>
            <w:right w:val="none" w:sz="0" w:space="0" w:color="auto"/>
          </w:divBdr>
        </w:div>
      </w:divsChild>
    </w:div>
    <w:div w:id="1808232128">
      <w:bodyDiv w:val="1"/>
      <w:marLeft w:val="0"/>
      <w:marRight w:val="0"/>
      <w:marTop w:val="0"/>
      <w:marBottom w:val="0"/>
      <w:divBdr>
        <w:top w:val="none" w:sz="0" w:space="0" w:color="auto"/>
        <w:left w:val="none" w:sz="0" w:space="0" w:color="auto"/>
        <w:bottom w:val="none" w:sz="0" w:space="0" w:color="auto"/>
        <w:right w:val="none" w:sz="0" w:space="0" w:color="auto"/>
      </w:divBdr>
      <w:divsChild>
        <w:div w:id="1377899761">
          <w:marLeft w:val="274"/>
          <w:marRight w:val="0"/>
          <w:marTop w:val="0"/>
          <w:marBottom w:val="0"/>
          <w:divBdr>
            <w:top w:val="none" w:sz="0" w:space="0" w:color="auto"/>
            <w:left w:val="none" w:sz="0" w:space="0" w:color="auto"/>
            <w:bottom w:val="none" w:sz="0" w:space="0" w:color="auto"/>
            <w:right w:val="none" w:sz="0" w:space="0" w:color="auto"/>
          </w:divBdr>
        </w:div>
      </w:divsChild>
    </w:div>
    <w:div w:id="1816531406">
      <w:bodyDiv w:val="1"/>
      <w:marLeft w:val="0"/>
      <w:marRight w:val="0"/>
      <w:marTop w:val="0"/>
      <w:marBottom w:val="0"/>
      <w:divBdr>
        <w:top w:val="none" w:sz="0" w:space="0" w:color="auto"/>
        <w:left w:val="none" w:sz="0" w:space="0" w:color="auto"/>
        <w:bottom w:val="none" w:sz="0" w:space="0" w:color="auto"/>
        <w:right w:val="none" w:sz="0" w:space="0" w:color="auto"/>
      </w:divBdr>
    </w:div>
    <w:div w:id="1816753328">
      <w:bodyDiv w:val="1"/>
      <w:marLeft w:val="0"/>
      <w:marRight w:val="0"/>
      <w:marTop w:val="0"/>
      <w:marBottom w:val="0"/>
      <w:divBdr>
        <w:top w:val="none" w:sz="0" w:space="0" w:color="auto"/>
        <w:left w:val="none" w:sz="0" w:space="0" w:color="auto"/>
        <w:bottom w:val="none" w:sz="0" w:space="0" w:color="auto"/>
        <w:right w:val="none" w:sz="0" w:space="0" w:color="auto"/>
      </w:divBdr>
    </w:div>
    <w:div w:id="1820537341">
      <w:bodyDiv w:val="1"/>
      <w:marLeft w:val="0"/>
      <w:marRight w:val="0"/>
      <w:marTop w:val="0"/>
      <w:marBottom w:val="0"/>
      <w:divBdr>
        <w:top w:val="none" w:sz="0" w:space="0" w:color="auto"/>
        <w:left w:val="none" w:sz="0" w:space="0" w:color="auto"/>
        <w:bottom w:val="none" w:sz="0" w:space="0" w:color="auto"/>
        <w:right w:val="none" w:sz="0" w:space="0" w:color="auto"/>
      </w:divBdr>
      <w:divsChild>
        <w:div w:id="730427873">
          <w:marLeft w:val="302"/>
          <w:marRight w:val="0"/>
          <w:marTop w:val="0"/>
          <w:marBottom w:val="0"/>
          <w:divBdr>
            <w:top w:val="none" w:sz="0" w:space="0" w:color="auto"/>
            <w:left w:val="none" w:sz="0" w:space="0" w:color="auto"/>
            <w:bottom w:val="none" w:sz="0" w:space="0" w:color="auto"/>
            <w:right w:val="none" w:sz="0" w:space="0" w:color="auto"/>
          </w:divBdr>
        </w:div>
      </w:divsChild>
    </w:div>
    <w:div w:id="1821464088">
      <w:bodyDiv w:val="1"/>
      <w:marLeft w:val="0"/>
      <w:marRight w:val="0"/>
      <w:marTop w:val="0"/>
      <w:marBottom w:val="0"/>
      <w:divBdr>
        <w:top w:val="none" w:sz="0" w:space="0" w:color="auto"/>
        <w:left w:val="none" w:sz="0" w:space="0" w:color="auto"/>
        <w:bottom w:val="none" w:sz="0" w:space="0" w:color="auto"/>
        <w:right w:val="none" w:sz="0" w:space="0" w:color="auto"/>
      </w:divBdr>
    </w:div>
    <w:div w:id="1825388024">
      <w:bodyDiv w:val="1"/>
      <w:marLeft w:val="0"/>
      <w:marRight w:val="0"/>
      <w:marTop w:val="0"/>
      <w:marBottom w:val="0"/>
      <w:divBdr>
        <w:top w:val="none" w:sz="0" w:space="0" w:color="auto"/>
        <w:left w:val="none" w:sz="0" w:space="0" w:color="auto"/>
        <w:bottom w:val="none" w:sz="0" w:space="0" w:color="auto"/>
        <w:right w:val="none" w:sz="0" w:space="0" w:color="auto"/>
      </w:divBdr>
      <w:divsChild>
        <w:div w:id="1037238451">
          <w:marLeft w:val="302"/>
          <w:marRight w:val="0"/>
          <w:marTop w:val="0"/>
          <w:marBottom w:val="0"/>
          <w:divBdr>
            <w:top w:val="none" w:sz="0" w:space="0" w:color="auto"/>
            <w:left w:val="none" w:sz="0" w:space="0" w:color="auto"/>
            <w:bottom w:val="none" w:sz="0" w:space="0" w:color="auto"/>
            <w:right w:val="none" w:sz="0" w:space="0" w:color="auto"/>
          </w:divBdr>
        </w:div>
      </w:divsChild>
    </w:div>
    <w:div w:id="1843928447">
      <w:bodyDiv w:val="1"/>
      <w:marLeft w:val="0"/>
      <w:marRight w:val="0"/>
      <w:marTop w:val="0"/>
      <w:marBottom w:val="0"/>
      <w:divBdr>
        <w:top w:val="none" w:sz="0" w:space="0" w:color="auto"/>
        <w:left w:val="none" w:sz="0" w:space="0" w:color="auto"/>
        <w:bottom w:val="none" w:sz="0" w:space="0" w:color="auto"/>
        <w:right w:val="none" w:sz="0" w:space="0" w:color="auto"/>
      </w:divBdr>
    </w:div>
    <w:div w:id="1846893731">
      <w:bodyDiv w:val="1"/>
      <w:marLeft w:val="0"/>
      <w:marRight w:val="0"/>
      <w:marTop w:val="0"/>
      <w:marBottom w:val="0"/>
      <w:divBdr>
        <w:top w:val="none" w:sz="0" w:space="0" w:color="auto"/>
        <w:left w:val="none" w:sz="0" w:space="0" w:color="auto"/>
        <w:bottom w:val="none" w:sz="0" w:space="0" w:color="auto"/>
        <w:right w:val="none" w:sz="0" w:space="0" w:color="auto"/>
      </w:divBdr>
    </w:div>
    <w:div w:id="1852454964">
      <w:bodyDiv w:val="1"/>
      <w:marLeft w:val="0"/>
      <w:marRight w:val="0"/>
      <w:marTop w:val="0"/>
      <w:marBottom w:val="0"/>
      <w:divBdr>
        <w:top w:val="none" w:sz="0" w:space="0" w:color="auto"/>
        <w:left w:val="none" w:sz="0" w:space="0" w:color="auto"/>
        <w:bottom w:val="none" w:sz="0" w:space="0" w:color="auto"/>
        <w:right w:val="none" w:sz="0" w:space="0" w:color="auto"/>
      </w:divBdr>
      <w:divsChild>
        <w:div w:id="1458136204">
          <w:marLeft w:val="0"/>
          <w:marRight w:val="0"/>
          <w:marTop w:val="120"/>
          <w:marBottom w:val="60"/>
          <w:divBdr>
            <w:top w:val="none" w:sz="0" w:space="0" w:color="auto"/>
            <w:left w:val="none" w:sz="0" w:space="0" w:color="auto"/>
            <w:bottom w:val="none" w:sz="0" w:space="0" w:color="auto"/>
            <w:right w:val="none" w:sz="0" w:space="0" w:color="auto"/>
          </w:divBdr>
        </w:div>
      </w:divsChild>
    </w:div>
    <w:div w:id="1852910432">
      <w:bodyDiv w:val="1"/>
      <w:marLeft w:val="0"/>
      <w:marRight w:val="0"/>
      <w:marTop w:val="0"/>
      <w:marBottom w:val="0"/>
      <w:divBdr>
        <w:top w:val="none" w:sz="0" w:space="0" w:color="auto"/>
        <w:left w:val="none" w:sz="0" w:space="0" w:color="auto"/>
        <w:bottom w:val="none" w:sz="0" w:space="0" w:color="auto"/>
        <w:right w:val="none" w:sz="0" w:space="0" w:color="auto"/>
      </w:divBdr>
      <w:divsChild>
        <w:div w:id="300505324">
          <w:marLeft w:val="432"/>
          <w:marRight w:val="0"/>
          <w:marTop w:val="0"/>
          <w:marBottom w:val="0"/>
          <w:divBdr>
            <w:top w:val="none" w:sz="0" w:space="0" w:color="auto"/>
            <w:left w:val="none" w:sz="0" w:space="0" w:color="auto"/>
            <w:bottom w:val="none" w:sz="0" w:space="0" w:color="auto"/>
            <w:right w:val="none" w:sz="0" w:space="0" w:color="auto"/>
          </w:divBdr>
        </w:div>
      </w:divsChild>
    </w:div>
    <w:div w:id="1855923658">
      <w:bodyDiv w:val="1"/>
      <w:marLeft w:val="0"/>
      <w:marRight w:val="0"/>
      <w:marTop w:val="0"/>
      <w:marBottom w:val="0"/>
      <w:divBdr>
        <w:top w:val="none" w:sz="0" w:space="0" w:color="auto"/>
        <w:left w:val="none" w:sz="0" w:space="0" w:color="auto"/>
        <w:bottom w:val="none" w:sz="0" w:space="0" w:color="auto"/>
        <w:right w:val="none" w:sz="0" w:space="0" w:color="auto"/>
      </w:divBdr>
      <w:divsChild>
        <w:div w:id="30302815">
          <w:marLeft w:val="504"/>
          <w:marRight w:val="0"/>
          <w:marTop w:val="0"/>
          <w:marBottom w:val="0"/>
          <w:divBdr>
            <w:top w:val="none" w:sz="0" w:space="0" w:color="auto"/>
            <w:left w:val="none" w:sz="0" w:space="0" w:color="auto"/>
            <w:bottom w:val="none" w:sz="0" w:space="0" w:color="auto"/>
            <w:right w:val="none" w:sz="0" w:space="0" w:color="auto"/>
          </w:divBdr>
        </w:div>
        <w:div w:id="968241432">
          <w:marLeft w:val="504"/>
          <w:marRight w:val="0"/>
          <w:marTop w:val="0"/>
          <w:marBottom w:val="0"/>
          <w:divBdr>
            <w:top w:val="none" w:sz="0" w:space="0" w:color="auto"/>
            <w:left w:val="none" w:sz="0" w:space="0" w:color="auto"/>
            <w:bottom w:val="none" w:sz="0" w:space="0" w:color="auto"/>
            <w:right w:val="none" w:sz="0" w:space="0" w:color="auto"/>
          </w:divBdr>
        </w:div>
        <w:div w:id="1640262208">
          <w:marLeft w:val="504"/>
          <w:marRight w:val="0"/>
          <w:marTop w:val="0"/>
          <w:marBottom w:val="0"/>
          <w:divBdr>
            <w:top w:val="none" w:sz="0" w:space="0" w:color="auto"/>
            <w:left w:val="none" w:sz="0" w:space="0" w:color="auto"/>
            <w:bottom w:val="none" w:sz="0" w:space="0" w:color="auto"/>
            <w:right w:val="none" w:sz="0" w:space="0" w:color="auto"/>
          </w:divBdr>
        </w:div>
      </w:divsChild>
    </w:div>
    <w:div w:id="1859387843">
      <w:bodyDiv w:val="1"/>
      <w:marLeft w:val="0"/>
      <w:marRight w:val="0"/>
      <w:marTop w:val="0"/>
      <w:marBottom w:val="0"/>
      <w:divBdr>
        <w:top w:val="none" w:sz="0" w:space="0" w:color="auto"/>
        <w:left w:val="none" w:sz="0" w:space="0" w:color="auto"/>
        <w:bottom w:val="none" w:sz="0" w:space="0" w:color="auto"/>
        <w:right w:val="none" w:sz="0" w:space="0" w:color="auto"/>
      </w:divBdr>
      <w:divsChild>
        <w:div w:id="192965911">
          <w:marLeft w:val="619"/>
          <w:marRight w:val="0"/>
          <w:marTop w:val="0"/>
          <w:marBottom w:val="0"/>
          <w:divBdr>
            <w:top w:val="none" w:sz="0" w:space="0" w:color="auto"/>
            <w:left w:val="none" w:sz="0" w:space="0" w:color="auto"/>
            <w:bottom w:val="none" w:sz="0" w:space="0" w:color="auto"/>
            <w:right w:val="none" w:sz="0" w:space="0" w:color="auto"/>
          </w:divBdr>
        </w:div>
        <w:div w:id="1335035592">
          <w:marLeft w:val="619"/>
          <w:marRight w:val="0"/>
          <w:marTop w:val="0"/>
          <w:marBottom w:val="0"/>
          <w:divBdr>
            <w:top w:val="none" w:sz="0" w:space="0" w:color="auto"/>
            <w:left w:val="none" w:sz="0" w:space="0" w:color="auto"/>
            <w:bottom w:val="none" w:sz="0" w:space="0" w:color="auto"/>
            <w:right w:val="none" w:sz="0" w:space="0" w:color="auto"/>
          </w:divBdr>
        </w:div>
        <w:div w:id="1431661849">
          <w:marLeft w:val="619"/>
          <w:marRight w:val="0"/>
          <w:marTop w:val="0"/>
          <w:marBottom w:val="0"/>
          <w:divBdr>
            <w:top w:val="none" w:sz="0" w:space="0" w:color="auto"/>
            <w:left w:val="none" w:sz="0" w:space="0" w:color="auto"/>
            <w:bottom w:val="none" w:sz="0" w:space="0" w:color="auto"/>
            <w:right w:val="none" w:sz="0" w:space="0" w:color="auto"/>
          </w:divBdr>
        </w:div>
      </w:divsChild>
    </w:div>
    <w:div w:id="1870603520">
      <w:bodyDiv w:val="1"/>
      <w:marLeft w:val="0"/>
      <w:marRight w:val="0"/>
      <w:marTop w:val="0"/>
      <w:marBottom w:val="0"/>
      <w:divBdr>
        <w:top w:val="none" w:sz="0" w:space="0" w:color="auto"/>
        <w:left w:val="none" w:sz="0" w:space="0" w:color="auto"/>
        <w:bottom w:val="none" w:sz="0" w:space="0" w:color="auto"/>
        <w:right w:val="none" w:sz="0" w:space="0" w:color="auto"/>
      </w:divBdr>
    </w:div>
    <w:div w:id="1872106044">
      <w:bodyDiv w:val="1"/>
      <w:marLeft w:val="0"/>
      <w:marRight w:val="0"/>
      <w:marTop w:val="0"/>
      <w:marBottom w:val="0"/>
      <w:divBdr>
        <w:top w:val="none" w:sz="0" w:space="0" w:color="auto"/>
        <w:left w:val="none" w:sz="0" w:space="0" w:color="auto"/>
        <w:bottom w:val="none" w:sz="0" w:space="0" w:color="auto"/>
        <w:right w:val="none" w:sz="0" w:space="0" w:color="auto"/>
      </w:divBdr>
    </w:div>
    <w:div w:id="1876308147">
      <w:bodyDiv w:val="1"/>
      <w:marLeft w:val="0"/>
      <w:marRight w:val="0"/>
      <w:marTop w:val="0"/>
      <w:marBottom w:val="0"/>
      <w:divBdr>
        <w:top w:val="none" w:sz="0" w:space="0" w:color="auto"/>
        <w:left w:val="none" w:sz="0" w:space="0" w:color="auto"/>
        <w:bottom w:val="none" w:sz="0" w:space="0" w:color="auto"/>
        <w:right w:val="none" w:sz="0" w:space="0" w:color="auto"/>
      </w:divBdr>
    </w:div>
    <w:div w:id="1881898938">
      <w:bodyDiv w:val="1"/>
      <w:marLeft w:val="0"/>
      <w:marRight w:val="0"/>
      <w:marTop w:val="0"/>
      <w:marBottom w:val="0"/>
      <w:divBdr>
        <w:top w:val="none" w:sz="0" w:space="0" w:color="auto"/>
        <w:left w:val="none" w:sz="0" w:space="0" w:color="auto"/>
        <w:bottom w:val="none" w:sz="0" w:space="0" w:color="auto"/>
        <w:right w:val="none" w:sz="0" w:space="0" w:color="auto"/>
      </w:divBdr>
      <w:divsChild>
        <w:div w:id="928738198">
          <w:marLeft w:val="302"/>
          <w:marRight w:val="0"/>
          <w:marTop w:val="0"/>
          <w:marBottom w:val="0"/>
          <w:divBdr>
            <w:top w:val="none" w:sz="0" w:space="0" w:color="auto"/>
            <w:left w:val="none" w:sz="0" w:space="0" w:color="auto"/>
            <w:bottom w:val="none" w:sz="0" w:space="0" w:color="auto"/>
            <w:right w:val="none" w:sz="0" w:space="0" w:color="auto"/>
          </w:divBdr>
        </w:div>
      </w:divsChild>
    </w:div>
    <w:div w:id="1885212912">
      <w:bodyDiv w:val="1"/>
      <w:marLeft w:val="0"/>
      <w:marRight w:val="0"/>
      <w:marTop w:val="0"/>
      <w:marBottom w:val="0"/>
      <w:divBdr>
        <w:top w:val="none" w:sz="0" w:space="0" w:color="auto"/>
        <w:left w:val="none" w:sz="0" w:space="0" w:color="auto"/>
        <w:bottom w:val="none" w:sz="0" w:space="0" w:color="auto"/>
        <w:right w:val="none" w:sz="0" w:space="0" w:color="auto"/>
      </w:divBdr>
      <w:divsChild>
        <w:div w:id="487945098">
          <w:marLeft w:val="0"/>
          <w:marRight w:val="0"/>
          <w:marTop w:val="0"/>
          <w:marBottom w:val="0"/>
          <w:divBdr>
            <w:top w:val="none" w:sz="0" w:space="0" w:color="auto"/>
            <w:left w:val="none" w:sz="0" w:space="0" w:color="auto"/>
            <w:bottom w:val="none" w:sz="0" w:space="0" w:color="auto"/>
            <w:right w:val="none" w:sz="0" w:space="0" w:color="auto"/>
          </w:divBdr>
        </w:div>
        <w:div w:id="750586079">
          <w:marLeft w:val="0"/>
          <w:marRight w:val="0"/>
          <w:marTop w:val="0"/>
          <w:marBottom w:val="0"/>
          <w:divBdr>
            <w:top w:val="none" w:sz="0" w:space="0" w:color="auto"/>
            <w:left w:val="none" w:sz="0" w:space="0" w:color="auto"/>
            <w:bottom w:val="none" w:sz="0" w:space="0" w:color="auto"/>
            <w:right w:val="none" w:sz="0" w:space="0" w:color="auto"/>
          </w:divBdr>
        </w:div>
        <w:div w:id="1475827058">
          <w:marLeft w:val="0"/>
          <w:marRight w:val="0"/>
          <w:marTop w:val="0"/>
          <w:marBottom w:val="0"/>
          <w:divBdr>
            <w:top w:val="none" w:sz="0" w:space="0" w:color="auto"/>
            <w:left w:val="none" w:sz="0" w:space="0" w:color="auto"/>
            <w:bottom w:val="none" w:sz="0" w:space="0" w:color="auto"/>
            <w:right w:val="none" w:sz="0" w:space="0" w:color="auto"/>
          </w:divBdr>
        </w:div>
      </w:divsChild>
    </w:div>
    <w:div w:id="1885631396">
      <w:bodyDiv w:val="1"/>
      <w:marLeft w:val="0"/>
      <w:marRight w:val="0"/>
      <w:marTop w:val="0"/>
      <w:marBottom w:val="0"/>
      <w:divBdr>
        <w:top w:val="none" w:sz="0" w:space="0" w:color="auto"/>
        <w:left w:val="none" w:sz="0" w:space="0" w:color="auto"/>
        <w:bottom w:val="none" w:sz="0" w:space="0" w:color="auto"/>
        <w:right w:val="none" w:sz="0" w:space="0" w:color="auto"/>
      </w:divBdr>
      <w:divsChild>
        <w:div w:id="1169980701">
          <w:marLeft w:val="274"/>
          <w:marRight w:val="0"/>
          <w:marTop w:val="0"/>
          <w:marBottom w:val="0"/>
          <w:divBdr>
            <w:top w:val="none" w:sz="0" w:space="0" w:color="auto"/>
            <w:left w:val="none" w:sz="0" w:space="0" w:color="auto"/>
            <w:bottom w:val="none" w:sz="0" w:space="0" w:color="auto"/>
            <w:right w:val="none" w:sz="0" w:space="0" w:color="auto"/>
          </w:divBdr>
        </w:div>
        <w:div w:id="1523477527">
          <w:marLeft w:val="274"/>
          <w:marRight w:val="0"/>
          <w:marTop w:val="0"/>
          <w:marBottom w:val="0"/>
          <w:divBdr>
            <w:top w:val="none" w:sz="0" w:space="0" w:color="auto"/>
            <w:left w:val="none" w:sz="0" w:space="0" w:color="auto"/>
            <w:bottom w:val="none" w:sz="0" w:space="0" w:color="auto"/>
            <w:right w:val="none" w:sz="0" w:space="0" w:color="auto"/>
          </w:divBdr>
        </w:div>
        <w:div w:id="2087804486">
          <w:marLeft w:val="274"/>
          <w:marRight w:val="0"/>
          <w:marTop w:val="0"/>
          <w:marBottom w:val="0"/>
          <w:divBdr>
            <w:top w:val="none" w:sz="0" w:space="0" w:color="auto"/>
            <w:left w:val="none" w:sz="0" w:space="0" w:color="auto"/>
            <w:bottom w:val="none" w:sz="0" w:space="0" w:color="auto"/>
            <w:right w:val="none" w:sz="0" w:space="0" w:color="auto"/>
          </w:divBdr>
        </w:div>
      </w:divsChild>
    </w:div>
    <w:div w:id="1887449216">
      <w:bodyDiv w:val="1"/>
      <w:marLeft w:val="0"/>
      <w:marRight w:val="0"/>
      <w:marTop w:val="0"/>
      <w:marBottom w:val="0"/>
      <w:divBdr>
        <w:top w:val="none" w:sz="0" w:space="0" w:color="auto"/>
        <w:left w:val="none" w:sz="0" w:space="0" w:color="auto"/>
        <w:bottom w:val="none" w:sz="0" w:space="0" w:color="auto"/>
        <w:right w:val="none" w:sz="0" w:space="0" w:color="auto"/>
      </w:divBdr>
    </w:div>
    <w:div w:id="1900551114">
      <w:bodyDiv w:val="1"/>
      <w:marLeft w:val="0"/>
      <w:marRight w:val="0"/>
      <w:marTop w:val="0"/>
      <w:marBottom w:val="0"/>
      <w:divBdr>
        <w:top w:val="none" w:sz="0" w:space="0" w:color="auto"/>
        <w:left w:val="none" w:sz="0" w:space="0" w:color="auto"/>
        <w:bottom w:val="none" w:sz="0" w:space="0" w:color="auto"/>
        <w:right w:val="none" w:sz="0" w:space="0" w:color="auto"/>
      </w:divBdr>
    </w:div>
    <w:div w:id="1909803604">
      <w:bodyDiv w:val="1"/>
      <w:marLeft w:val="0"/>
      <w:marRight w:val="0"/>
      <w:marTop w:val="0"/>
      <w:marBottom w:val="0"/>
      <w:divBdr>
        <w:top w:val="none" w:sz="0" w:space="0" w:color="auto"/>
        <w:left w:val="none" w:sz="0" w:space="0" w:color="auto"/>
        <w:bottom w:val="none" w:sz="0" w:space="0" w:color="auto"/>
        <w:right w:val="none" w:sz="0" w:space="0" w:color="auto"/>
      </w:divBdr>
    </w:div>
    <w:div w:id="1921518551">
      <w:bodyDiv w:val="1"/>
      <w:marLeft w:val="0"/>
      <w:marRight w:val="0"/>
      <w:marTop w:val="0"/>
      <w:marBottom w:val="0"/>
      <w:divBdr>
        <w:top w:val="none" w:sz="0" w:space="0" w:color="auto"/>
        <w:left w:val="none" w:sz="0" w:space="0" w:color="auto"/>
        <w:bottom w:val="none" w:sz="0" w:space="0" w:color="auto"/>
        <w:right w:val="none" w:sz="0" w:space="0" w:color="auto"/>
      </w:divBdr>
      <w:divsChild>
        <w:div w:id="266698283">
          <w:marLeft w:val="302"/>
          <w:marRight w:val="0"/>
          <w:marTop w:val="0"/>
          <w:marBottom w:val="0"/>
          <w:divBdr>
            <w:top w:val="none" w:sz="0" w:space="0" w:color="auto"/>
            <w:left w:val="none" w:sz="0" w:space="0" w:color="auto"/>
            <w:bottom w:val="none" w:sz="0" w:space="0" w:color="auto"/>
            <w:right w:val="none" w:sz="0" w:space="0" w:color="auto"/>
          </w:divBdr>
        </w:div>
        <w:div w:id="1005019108">
          <w:marLeft w:val="302"/>
          <w:marRight w:val="0"/>
          <w:marTop w:val="0"/>
          <w:marBottom w:val="0"/>
          <w:divBdr>
            <w:top w:val="none" w:sz="0" w:space="0" w:color="auto"/>
            <w:left w:val="none" w:sz="0" w:space="0" w:color="auto"/>
            <w:bottom w:val="none" w:sz="0" w:space="0" w:color="auto"/>
            <w:right w:val="none" w:sz="0" w:space="0" w:color="auto"/>
          </w:divBdr>
        </w:div>
      </w:divsChild>
    </w:div>
    <w:div w:id="1923374777">
      <w:bodyDiv w:val="1"/>
      <w:marLeft w:val="0"/>
      <w:marRight w:val="0"/>
      <w:marTop w:val="0"/>
      <w:marBottom w:val="0"/>
      <w:divBdr>
        <w:top w:val="none" w:sz="0" w:space="0" w:color="auto"/>
        <w:left w:val="none" w:sz="0" w:space="0" w:color="auto"/>
        <w:bottom w:val="none" w:sz="0" w:space="0" w:color="auto"/>
        <w:right w:val="none" w:sz="0" w:space="0" w:color="auto"/>
      </w:divBdr>
    </w:div>
    <w:div w:id="1928808355">
      <w:bodyDiv w:val="1"/>
      <w:marLeft w:val="0"/>
      <w:marRight w:val="0"/>
      <w:marTop w:val="0"/>
      <w:marBottom w:val="0"/>
      <w:divBdr>
        <w:top w:val="none" w:sz="0" w:space="0" w:color="auto"/>
        <w:left w:val="none" w:sz="0" w:space="0" w:color="auto"/>
        <w:bottom w:val="none" w:sz="0" w:space="0" w:color="auto"/>
        <w:right w:val="none" w:sz="0" w:space="0" w:color="auto"/>
      </w:divBdr>
      <w:divsChild>
        <w:div w:id="125314737">
          <w:marLeft w:val="720"/>
          <w:marRight w:val="0"/>
          <w:marTop w:val="0"/>
          <w:marBottom w:val="0"/>
          <w:divBdr>
            <w:top w:val="none" w:sz="0" w:space="0" w:color="auto"/>
            <w:left w:val="none" w:sz="0" w:space="0" w:color="auto"/>
            <w:bottom w:val="none" w:sz="0" w:space="0" w:color="auto"/>
            <w:right w:val="none" w:sz="0" w:space="0" w:color="auto"/>
          </w:divBdr>
        </w:div>
        <w:div w:id="330108705">
          <w:marLeft w:val="720"/>
          <w:marRight w:val="0"/>
          <w:marTop w:val="0"/>
          <w:marBottom w:val="0"/>
          <w:divBdr>
            <w:top w:val="none" w:sz="0" w:space="0" w:color="auto"/>
            <w:left w:val="none" w:sz="0" w:space="0" w:color="auto"/>
            <w:bottom w:val="none" w:sz="0" w:space="0" w:color="auto"/>
            <w:right w:val="none" w:sz="0" w:space="0" w:color="auto"/>
          </w:divBdr>
        </w:div>
        <w:div w:id="645476567">
          <w:marLeft w:val="720"/>
          <w:marRight w:val="0"/>
          <w:marTop w:val="0"/>
          <w:marBottom w:val="0"/>
          <w:divBdr>
            <w:top w:val="none" w:sz="0" w:space="0" w:color="auto"/>
            <w:left w:val="none" w:sz="0" w:space="0" w:color="auto"/>
            <w:bottom w:val="none" w:sz="0" w:space="0" w:color="auto"/>
            <w:right w:val="none" w:sz="0" w:space="0" w:color="auto"/>
          </w:divBdr>
        </w:div>
      </w:divsChild>
    </w:div>
    <w:div w:id="1930038060">
      <w:bodyDiv w:val="1"/>
      <w:marLeft w:val="0"/>
      <w:marRight w:val="0"/>
      <w:marTop w:val="0"/>
      <w:marBottom w:val="0"/>
      <w:divBdr>
        <w:top w:val="none" w:sz="0" w:space="0" w:color="auto"/>
        <w:left w:val="none" w:sz="0" w:space="0" w:color="auto"/>
        <w:bottom w:val="none" w:sz="0" w:space="0" w:color="auto"/>
        <w:right w:val="none" w:sz="0" w:space="0" w:color="auto"/>
      </w:divBdr>
      <w:divsChild>
        <w:div w:id="716010654">
          <w:marLeft w:val="432"/>
          <w:marRight w:val="0"/>
          <w:marTop w:val="0"/>
          <w:marBottom w:val="0"/>
          <w:divBdr>
            <w:top w:val="none" w:sz="0" w:space="0" w:color="auto"/>
            <w:left w:val="none" w:sz="0" w:space="0" w:color="auto"/>
            <w:bottom w:val="none" w:sz="0" w:space="0" w:color="auto"/>
            <w:right w:val="none" w:sz="0" w:space="0" w:color="auto"/>
          </w:divBdr>
        </w:div>
      </w:divsChild>
    </w:div>
    <w:div w:id="1931813030">
      <w:bodyDiv w:val="1"/>
      <w:marLeft w:val="0"/>
      <w:marRight w:val="0"/>
      <w:marTop w:val="0"/>
      <w:marBottom w:val="0"/>
      <w:divBdr>
        <w:top w:val="none" w:sz="0" w:space="0" w:color="auto"/>
        <w:left w:val="none" w:sz="0" w:space="0" w:color="auto"/>
        <w:bottom w:val="none" w:sz="0" w:space="0" w:color="auto"/>
        <w:right w:val="none" w:sz="0" w:space="0" w:color="auto"/>
      </w:divBdr>
    </w:div>
    <w:div w:id="1940017494">
      <w:bodyDiv w:val="1"/>
      <w:marLeft w:val="0"/>
      <w:marRight w:val="0"/>
      <w:marTop w:val="0"/>
      <w:marBottom w:val="0"/>
      <w:divBdr>
        <w:top w:val="none" w:sz="0" w:space="0" w:color="auto"/>
        <w:left w:val="none" w:sz="0" w:space="0" w:color="auto"/>
        <w:bottom w:val="none" w:sz="0" w:space="0" w:color="auto"/>
        <w:right w:val="none" w:sz="0" w:space="0" w:color="auto"/>
      </w:divBdr>
    </w:div>
    <w:div w:id="1943106716">
      <w:bodyDiv w:val="1"/>
      <w:marLeft w:val="0"/>
      <w:marRight w:val="0"/>
      <w:marTop w:val="0"/>
      <w:marBottom w:val="0"/>
      <w:divBdr>
        <w:top w:val="none" w:sz="0" w:space="0" w:color="auto"/>
        <w:left w:val="none" w:sz="0" w:space="0" w:color="auto"/>
        <w:bottom w:val="none" w:sz="0" w:space="0" w:color="auto"/>
        <w:right w:val="none" w:sz="0" w:space="0" w:color="auto"/>
      </w:divBdr>
      <w:divsChild>
        <w:div w:id="439645252">
          <w:marLeft w:val="274"/>
          <w:marRight w:val="0"/>
          <w:marTop w:val="0"/>
          <w:marBottom w:val="20"/>
          <w:divBdr>
            <w:top w:val="none" w:sz="0" w:space="0" w:color="auto"/>
            <w:left w:val="none" w:sz="0" w:space="0" w:color="auto"/>
            <w:bottom w:val="none" w:sz="0" w:space="0" w:color="auto"/>
            <w:right w:val="none" w:sz="0" w:space="0" w:color="auto"/>
          </w:divBdr>
        </w:div>
        <w:div w:id="1188641132">
          <w:marLeft w:val="274"/>
          <w:marRight w:val="0"/>
          <w:marTop w:val="0"/>
          <w:marBottom w:val="20"/>
          <w:divBdr>
            <w:top w:val="none" w:sz="0" w:space="0" w:color="auto"/>
            <w:left w:val="none" w:sz="0" w:space="0" w:color="auto"/>
            <w:bottom w:val="none" w:sz="0" w:space="0" w:color="auto"/>
            <w:right w:val="none" w:sz="0" w:space="0" w:color="auto"/>
          </w:divBdr>
        </w:div>
        <w:div w:id="1234586294">
          <w:marLeft w:val="274"/>
          <w:marRight w:val="0"/>
          <w:marTop w:val="0"/>
          <w:marBottom w:val="20"/>
          <w:divBdr>
            <w:top w:val="none" w:sz="0" w:space="0" w:color="auto"/>
            <w:left w:val="none" w:sz="0" w:space="0" w:color="auto"/>
            <w:bottom w:val="none" w:sz="0" w:space="0" w:color="auto"/>
            <w:right w:val="none" w:sz="0" w:space="0" w:color="auto"/>
          </w:divBdr>
        </w:div>
        <w:div w:id="1292251865">
          <w:marLeft w:val="274"/>
          <w:marRight w:val="0"/>
          <w:marTop w:val="0"/>
          <w:marBottom w:val="20"/>
          <w:divBdr>
            <w:top w:val="none" w:sz="0" w:space="0" w:color="auto"/>
            <w:left w:val="none" w:sz="0" w:space="0" w:color="auto"/>
            <w:bottom w:val="none" w:sz="0" w:space="0" w:color="auto"/>
            <w:right w:val="none" w:sz="0" w:space="0" w:color="auto"/>
          </w:divBdr>
        </w:div>
        <w:div w:id="1340889655">
          <w:marLeft w:val="274"/>
          <w:marRight w:val="0"/>
          <w:marTop w:val="0"/>
          <w:marBottom w:val="20"/>
          <w:divBdr>
            <w:top w:val="none" w:sz="0" w:space="0" w:color="auto"/>
            <w:left w:val="none" w:sz="0" w:space="0" w:color="auto"/>
            <w:bottom w:val="none" w:sz="0" w:space="0" w:color="auto"/>
            <w:right w:val="none" w:sz="0" w:space="0" w:color="auto"/>
          </w:divBdr>
        </w:div>
        <w:div w:id="1628122887">
          <w:marLeft w:val="274"/>
          <w:marRight w:val="0"/>
          <w:marTop w:val="0"/>
          <w:marBottom w:val="20"/>
          <w:divBdr>
            <w:top w:val="none" w:sz="0" w:space="0" w:color="auto"/>
            <w:left w:val="none" w:sz="0" w:space="0" w:color="auto"/>
            <w:bottom w:val="none" w:sz="0" w:space="0" w:color="auto"/>
            <w:right w:val="none" w:sz="0" w:space="0" w:color="auto"/>
          </w:divBdr>
        </w:div>
        <w:div w:id="1760784550">
          <w:marLeft w:val="274"/>
          <w:marRight w:val="0"/>
          <w:marTop w:val="0"/>
          <w:marBottom w:val="20"/>
          <w:divBdr>
            <w:top w:val="none" w:sz="0" w:space="0" w:color="auto"/>
            <w:left w:val="none" w:sz="0" w:space="0" w:color="auto"/>
            <w:bottom w:val="none" w:sz="0" w:space="0" w:color="auto"/>
            <w:right w:val="none" w:sz="0" w:space="0" w:color="auto"/>
          </w:divBdr>
        </w:div>
        <w:div w:id="2139445703">
          <w:marLeft w:val="274"/>
          <w:marRight w:val="0"/>
          <w:marTop w:val="0"/>
          <w:marBottom w:val="20"/>
          <w:divBdr>
            <w:top w:val="none" w:sz="0" w:space="0" w:color="auto"/>
            <w:left w:val="none" w:sz="0" w:space="0" w:color="auto"/>
            <w:bottom w:val="none" w:sz="0" w:space="0" w:color="auto"/>
            <w:right w:val="none" w:sz="0" w:space="0" w:color="auto"/>
          </w:divBdr>
        </w:div>
      </w:divsChild>
    </w:div>
    <w:div w:id="1949658711">
      <w:bodyDiv w:val="1"/>
      <w:marLeft w:val="0"/>
      <w:marRight w:val="0"/>
      <w:marTop w:val="0"/>
      <w:marBottom w:val="0"/>
      <w:divBdr>
        <w:top w:val="none" w:sz="0" w:space="0" w:color="auto"/>
        <w:left w:val="none" w:sz="0" w:space="0" w:color="auto"/>
        <w:bottom w:val="none" w:sz="0" w:space="0" w:color="auto"/>
        <w:right w:val="none" w:sz="0" w:space="0" w:color="auto"/>
      </w:divBdr>
      <w:divsChild>
        <w:div w:id="473258934">
          <w:marLeft w:val="302"/>
          <w:marRight w:val="0"/>
          <w:marTop w:val="0"/>
          <w:marBottom w:val="0"/>
          <w:divBdr>
            <w:top w:val="none" w:sz="0" w:space="0" w:color="auto"/>
            <w:left w:val="none" w:sz="0" w:space="0" w:color="auto"/>
            <w:bottom w:val="none" w:sz="0" w:space="0" w:color="auto"/>
            <w:right w:val="none" w:sz="0" w:space="0" w:color="auto"/>
          </w:divBdr>
        </w:div>
        <w:div w:id="1897206607">
          <w:marLeft w:val="302"/>
          <w:marRight w:val="0"/>
          <w:marTop w:val="0"/>
          <w:marBottom w:val="0"/>
          <w:divBdr>
            <w:top w:val="none" w:sz="0" w:space="0" w:color="auto"/>
            <w:left w:val="none" w:sz="0" w:space="0" w:color="auto"/>
            <w:bottom w:val="none" w:sz="0" w:space="0" w:color="auto"/>
            <w:right w:val="none" w:sz="0" w:space="0" w:color="auto"/>
          </w:divBdr>
        </w:div>
        <w:div w:id="1952474699">
          <w:marLeft w:val="302"/>
          <w:marRight w:val="0"/>
          <w:marTop w:val="0"/>
          <w:marBottom w:val="0"/>
          <w:divBdr>
            <w:top w:val="none" w:sz="0" w:space="0" w:color="auto"/>
            <w:left w:val="none" w:sz="0" w:space="0" w:color="auto"/>
            <w:bottom w:val="none" w:sz="0" w:space="0" w:color="auto"/>
            <w:right w:val="none" w:sz="0" w:space="0" w:color="auto"/>
          </w:divBdr>
        </w:div>
      </w:divsChild>
    </w:div>
    <w:div w:id="1971980298">
      <w:bodyDiv w:val="1"/>
      <w:marLeft w:val="0"/>
      <w:marRight w:val="0"/>
      <w:marTop w:val="0"/>
      <w:marBottom w:val="0"/>
      <w:divBdr>
        <w:top w:val="none" w:sz="0" w:space="0" w:color="auto"/>
        <w:left w:val="none" w:sz="0" w:space="0" w:color="auto"/>
        <w:bottom w:val="none" w:sz="0" w:space="0" w:color="auto"/>
        <w:right w:val="none" w:sz="0" w:space="0" w:color="auto"/>
      </w:divBdr>
    </w:div>
    <w:div w:id="1979337379">
      <w:bodyDiv w:val="1"/>
      <w:marLeft w:val="0"/>
      <w:marRight w:val="0"/>
      <w:marTop w:val="0"/>
      <w:marBottom w:val="0"/>
      <w:divBdr>
        <w:top w:val="none" w:sz="0" w:space="0" w:color="auto"/>
        <w:left w:val="none" w:sz="0" w:space="0" w:color="auto"/>
        <w:bottom w:val="none" w:sz="0" w:space="0" w:color="auto"/>
        <w:right w:val="none" w:sz="0" w:space="0" w:color="auto"/>
      </w:divBdr>
      <w:divsChild>
        <w:div w:id="252250605">
          <w:marLeft w:val="288"/>
          <w:marRight w:val="0"/>
          <w:marTop w:val="0"/>
          <w:marBottom w:val="60"/>
          <w:divBdr>
            <w:top w:val="none" w:sz="0" w:space="0" w:color="auto"/>
            <w:left w:val="none" w:sz="0" w:space="0" w:color="auto"/>
            <w:bottom w:val="none" w:sz="0" w:space="0" w:color="auto"/>
            <w:right w:val="none" w:sz="0" w:space="0" w:color="auto"/>
          </w:divBdr>
        </w:div>
        <w:div w:id="583103825">
          <w:marLeft w:val="288"/>
          <w:marRight w:val="0"/>
          <w:marTop w:val="0"/>
          <w:marBottom w:val="60"/>
          <w:divBdr>
            <w:top w:val="none" w:sz="0" w:space="0" w:color="auto"/>
            <w:left w:val="none" w:sz="0" w:space="0" w:color="auto"/>
            <w:bottom w:val="none" w:sz="0" w:space="0" w:color="auto"/>
            <w:right w:val="none" w:sz="0" w:space="0" w:color="auto"/>
          </w:divBdr>
        </w:div>
        <w:div w:id="758058473">
          <w:marLeft w:val="288"/>
          <w:marRight w:val="0"/>
          <w:marTop w:val="0"/>
          <w:marBottom w:val="60"/>
          <w:divBdr>
            <w:top w:val="none" w:sz="0" w:space="0" w:color="auto"/>
            <w:left w:val="none" w:sz="0" w:space="0" w:color="auto"/>
            <w:bottom w:val="none" w:sz="0" w:space="0" w:color="auto"/>
            <w:right w:val="none" w:sz="0" w:space="0" w:color="auto"/>
          </w:divBdr>
        </w:div>
        <w:div w:id="880627744">
          <w:marLeft w:val="288"/>
          <w:marRight w:val="0"/>
          <w:marTop w:val="0"/>
          <w:marBottom w:val="60"/>
          <w:divBdr>
            <w:top w:val="none" w:sz="0" w:space="0" w:color="auto"/>
            <w:left w:val="none" w:sz="0" w:space="0" w:color="auto"/>
            <w:bottom w:val="none" w:sz="0" w:space="0" w:color="auto"/>
            <w:right w:val="none" w:sz="0" w:space="0" w:color="auto"/>
          </w:divBdr>
        </w:div>
        <w:div w:id="1241907879">
          <w:marLeft w:val="288"/>
          <w:marRight w:val="0"/>
          <w:marTop w:val="0"/>
          <w:marBottom w:val="60"/>
          <w:divBdr>
            <w:top w:val="none" w:sz="0" w:space="0" w:color="auto"/>
            <w:left w:val="none" w:sz="0" w:space="0" w:color="auto"/>
            <w:bottom w:val="none" w:sz="0" w:space="0" w:color="auto"/>
            <w:right w:val="none" w:sz="0" w:space="0" w:color="auto"/>
          </w:divBdr>
        </w:div>
        <w:div w:id="1350063772">
          <w:marLeft w:val="288"/>
          <w:marRight w:val="0"/>
          <w:marTop w:val="0"/>
          <w:marBottom w:val="60"/>
          <w:divBdr>
            <w:top w:val="none" w:sz="0" w:space="0" w:color="auto"/>
            <w:left w:val="none" w:sz="0" w:space="0" w:color="auto"/>
            <w:bottom w:val="none" w:sz="0" w:space="0" w:color="auto"/>
            <w:right w:val="none" w:sz="0" w:space="0" w:color="auto"/>
          </w:divBdr>
        </w:div>
        <w:div w:id="1426222669">
          <w:marLeft w:val="288"/>
          <w:marRight w:val="0"/>
          <w:marTop w:val="0"/>
          <w:marBottom w:val="60"/>
          <w:divBdr>
            <w:top w:val="none" w:sz="0" w:space="0" w:color="auto"/>
            <w:left w:val="none" w:sz="0" w:space="0" w:color="auto"/>
            <w:bottom w:val="none" w:sz="0" w:space="0" w:color="auto"/>
            <w:right w:val="none" w:sz="0" w:space="0" w:color="auto"/>
          </w:divBdr>
        </w:div>
        <w:div w:id="1616211228">
          <w:marLeft w:val="288"/>
          <w:marRight w:val="0"/>
          <w:marTop w:val="0"/>
          <w:marBottom w:val="60"/>
          <w:divBdr>
            <w:top w:val="none" w:sz="0" w:space="0" w:color="auto"/>
            <w:left w:val="none" w:sz="0" w:space="0" w:color="auto"/>
            <w:bottom w:val="none" w:sz="0" w:space="0" w:color="auto"/>
            <w:right w:val="none" w:sz="0" w:space="0" w:color="auto"/>
          </w:divBdr>
        </w:div>
        <w:div w:id="1652323581">
          <w:marLeft w:val="288"/>
          <w:marRight w:val="0"/>
          <w:marTop w:val="0"/>
          <w:marBottom w:val="60"/>
          <w:divBdr>
            <w:top w:val="none" w:sz="0" w:space="0" w:color="auto"/>
            <w:left w:val="none" w:sz="0" w:space="0" w:color="auto"/>
            <w:bottom w:val="none" w:sz="0" w:space="0" w:color="auto"/>
            <w:right w:val="none" w:sz="0" w:space="0" w:color="auto"/>
          </w:divBdr>
        </w:div>
        <w:div w:id="1802189111">
          <w:marLeft w:val="288"/>
          <w:marRight w:val="0"/>
          <w:marTop w:val="0"/>
          <w:marBottom w:val="60"/>
          <w:divBdr>
            <w:top w:val="none" w:sz="0" w:space="0" w:color="auto"/>
            <w:left w:val="none" w:sz="0" w:space="0" w:color="auto"/>
            <w:bottom w:val="none" w:sz="0" w:space="0" w:color="auto"/>
            <w:right w:val="none" w:sz="0" w:space="0" w:color="auto"/>
          </w:divBdr>
        </w:div>
      </w:divsChild>
    </w:div>
    <w:div w:id="1993680887">
      <w:bodyDiv w:val="1"/>
      <w:marLeft w:val="0"/>
      <w:marRight w:val="0"/>
      <w:marTop w:val="0"/>
      <w:marBottom w:val="0"/>
      <w:divBdr>
        <w:top w:val="none" w:sz="0" w:space="0" w:color="auto"/>
        <w:left w:val="none" w:sz="0" w:space="0" w:color="auto"/>
        <w:bottom w:val="none" w:sz="0" w:space="0" w:color="auto"/>
        <w:right w:val="none" w:sz="0" w:space="0" w:color="auto"/>
      </w:divBdr>
      <w:divsChild>
        <w:div w:id="525365999">
          <w:marLeft w:val="274"/>
          <w:marRight w:val="0"/>
          <w:marTop w:val="0"/>
          <w:marBottom w:val="0"/>
          <w:divBdr>
            <w:top w:val="none" w:sz="0" w:space="0" w:color="auto"/>
            <w:left w:val="none" w:sz="0" w:space="0" w:color="auto"/>
            <w:bottom w:val="none" w:sz="0" w:space="0" w:color="auto"/>
            <w:right w:val="none" w:sz="0" w:space="0" w:color="auto"/>
          </w:divBdr>
        </w:div>
        <w:div w:id="1373386999">
          <w:marLeft w:val="274"/>
          <w:marRight w:val="0"/>
          <w:marTop w:val="0"/>
          <w:marBottom w:val="0"/>
          <w:divBdr>
            <w:top w:val="none" w:sz="0" w:space="0" w:color="auto"/>
            <w:left w:val="none" w:sz="0" w:space="0" w:color="auto"/>
            <w:bottom w:val="none" w:sz="0" w:space="0" w:color="auto"/>
            <w:right w:val="none" w:sz="0" w:space="0" w:color="auto"/>
          </w:divBdr>
        </w:div>
        <w:div w:id="1378504940">
          <w:marLeft w:val="274"/>
          <w:marRight w:val="0"/>
          <w:marTop w:val="0"/>
          <w:marBottom w:val="0"/>
          <w:divBdr>
            <w:top w:val="none" w:sz="0" w:space="0" w:color="auto"/>
            <w:left w:val="none" w:sz="0" w:space="0" w:color="auto"/>
            <w:bottom w:val="none" w:sz="0" w:space="0" w:color="auto"/>
            <w:right w:val="none" w:sz="0" w:space="0" w:color="auto"/>
          </w:divBdr>
        </w:div>
      </w:divsChild>
    </w:div>
    <w:div w:id="1995837819">
      <w:bodyDiv w:val="1"/>
      <w:marLeft w:val="0"/>
      <w:marRight w:val="0"/>
      <w:marTop w:val="0"/>
      <w:marBottom w:val="0"/>
      <w:divBdr>
        <w:top w:val="none" w:sz="0" w:space="0" w:color="auto"/>
        <w:left w:val="none" w:sz="0" w:space="0" w:color="auto"/>
        <w:bottom w:val="none" w:sz="0" w:space="0" w:color="auto"/>
        <w:right w:val="none" w:sz="0" w:space="0" w:color="auto"/>
      </w:divBdr>
    </w:div>
    <w:div w:id="1997108589">
      <w:bodyDiv w:val="1"/>
      <w:marLeft w:val="0"/>
      <w:marRight w:val="0"/>
      <w:marTop w:val="0"/>
      <w:marBottom w:val="0"/>
      <w:divBdr>
        <w:top w:val="none" w:sz="0" w:space="0" w:color="auto"/>
        <w:left w:val="none" w:sz="0" w:space="0" w:color="auto"/>
        <w:bottom w:val="none" w:sz="0" w:space="0" w:color="auto"/>
        <w:right w:val="none" w:sz="0" w:space="0" w:color="auto"/>
      </w:divBdr>
    </w:div>
    <w:div w:id="2001880367">
      <w:bodyDiv w:val="1"/>
      <w:marLeft w:val="0"/>
      <w:marRight w:val="0"/>
      <w:marTop w:val="0"/>
      <w:marBottom w:val="0"/>
      <w:divBdr>
        <w:top w:val="none" w:sz="0" w:space="0" w:color="auto"/>
        <w:left w:val="none" w:sz="0" w:space="0" w:color="auto"/>
        <w:bottom w:val="none" w:sz="0" w:space="0" w:color="auto"/>
        <w:right w:val="none" w:sz="0" w:space="0" w:color="auto"/>
      </w:divBdr>
      <w:divsChild>
        <w:div w:id="137496101">
          <w:marLeft w:val="274"/>
          <w:marRight w:val="0"/>
          <w:marTop w:val="0"/>
          <w:marBottom w:val="0"/>
          <w:divBdr>
            <w:top w:val="none" w:sz="0" w:space="0" w:color="auto"/>
            <w:left w:val="none" w:sz="0" w:space="0" w:color="auto"/>
            <w:bottom w:val="none" w:sz="0" w:space="0" w:color="auto"/>
            <w:right w:val="none" w:sz="0" w:space="0" w:color="auto"/>
          </w:divBdr>
        </w:div>
        <w:div w:id="633827020">
          <w:marLeft w:val="274"/>
          <w:marRight w:val="0"/>
          <w:marTop w:val="0"/>
          <w:marBottom w:val="0"/>
          <w:divBdr>
            <w:top w:val="none" w:sz="0" w:space="0" w:color="auto"/>
            <w:left w:val="none" w:sz="0" w:space="0" w:color="auto"/>
            <w:bottom w:val="none" w:sz="0" w:space="0" w:color="auto"/>
            <w:right w:val="none" w:sz="0" w:space="0" w:color="auto"/>
          </w:divBdr>
        </w:div>
        <w:div w:id="1292632134">
          <w:marLeft w:val="274"/>
          <w:marRight w:val="0"/>
          <w:marTop w:val="0"/>
          <w:marBottom w:val="0"/>
          <w:divBdr>
            <w:top w:val="none" w:sz="0" w:space="0" w:color="auto"/>
            <w:left w:val="none" w:sz="0" w:space="0" w:color="auto"/>
            <w:bottom w:val="none" w:sz="0" w:space="0" w:color="auto"/>
            <w:right w:val="none" w:sz="0" w:space="0" w:color="auto"/>
          </w:divBdr>
        </w:div>
      </w:divsChild>
    </w:div>
    <w:div w:id="2003697879">
      <w:bodyDiv w:val="1"/>
      <w:marLeft w:val="0"/>
      <w:marRight w:val="0"/>
      <w:marTop w:val="0"/>
      <w:marBottom w:val="0"/>
      <w:divBdr>
        <w:top w:val="none" w:sz="0" w:space="0" w:color="auto"/>
        <w:left w:val="none" w:sz="0" w:space="0" w:color="auto"/>
        <w:bottom w:val="none" w:sz="0" w:space="0" w:color="auto"/>
        <w:right w:val="none" w:sz="0" w:space="0" w:color="auto"/>
      </w:divBdr>
      <w:divsChild>
        <w:div w:id="172651867">
          <w:marLeft w:val="0"/>
          <w:marRight w:val="0"/>
          <w:marTop w:val="0"/>
          <w:marBottom w:val="0"/>
          <w:divBdr>
            <w:top w:val="none" w:sz="0" w:space="0" w:color="auto"/>
            <w:left w:val="none" w:sz="0" w:space="0" w:color="auto"/>
            <w:bottom w:val="none" w:sz="0" w:space="0" w:color="auto"/>
            <w:right w:val="none" w:sz="0" w:space="0" w:color="auto"/>
          </w:divBdr>
        </w:div>
        <w:div w:id="1431197562">
          <w:marLeft w:val="0"/>
          <w:marRight w:val="0"/>
          <w:marTop w:val="0"/>
          <w:marBottom w:val="0"/>
          <w:divBdr>
            <w:top w:val="none" w:sz="0" w:space="0" w:color="auto"/>
            <w:left w:val="none" w:sz="0" w:space="0" w:color="auto"/>
            <w:bottom w:val="none" w:sz="0" w:space="0" w:color="auto"/>
            <w:right w:val="none" w:sz="0" w:space="0" w:color="auto"/>
          </w:divBdr>
        </w:div>
      </w:divsChild>
    </w:div>
    <w:div w:id="2006471425">
      <w:bodyDiv w:val="1"/>
      <w:marLeft w:val="0"/>
      <w:marRight w:val="0"/>
      <w:marTop w:val="0"/>
      <w:marBottom w:val="0"/>
      <w:divBdr>
        <w:top w:val="none" w:sz="0" w:space="0" w:color="auto"/>
        <w:left w:val="none" w:sz="0" w:space="0" w:color="auto"/>
        <w:bottom w:val="none" w:sz="0" w:space="0" w:color="auto"/>
        <w:right w:val="none" w:sz="0" w:space="0" w:color="auto"/>
      </w:divBdr>
    </w:div>
    <w:div w:id="2015180682">
      <w:bodyDiv w:val="1"/>
      <w:marLeft w:val="0"/>
      <w:marRight w:val="0"/>
      <w:marTop w:val="0"/>
      <w:marBottom w:val="0"/>
      <w:divBdr>
        <w:top w:val="none" w:sz="0" w:space="0" w:color="auto"/>
        <w:left w:val="none" w:sz="0" w:space="0" w:color="auto"/>
        <w:bottom w:val="none" w:sz="0" w:space="0" w:color="auto"/>
        <w:right w:val="none" w:sz="0" w:space="0" w:color="auto"/>
      </w:divBdr>
    </w:div>
    <w:div w:id="2016105464">
      <w:bodyDiv w:val="1"/>
      <w:marLeft w:val="0"/>
      <w:marRight w:val="0"/>
      <w:marTop w:val="0"/>
      <w:marBottom w:val="0"/>
      <w:divBdr>
        <w:top w:val="none" w:sz="0" w:space="0" w:color="auto"/>
        <w:left w:val="none" w:sz="0" w:space="0" w:color="auto"/>
        <w:bottom w:val="none" w:sz="0" w:space="0" w:color="auto"/>
        <w:right w:val="none" w:sz="0" w:space="0" w:color="auto"/>
      </w:divBdr>
    </w:div>
    <w:div w:id="2023124240">
      <w:bodyDiv w:val="1"/>
      <w:marLeft w:val="0"/>
      <w:marRight w:val="0"/>
      <w:marTop w:val="0"/>
      <w:marBottom w:val="0"/>
      <w:divBdr>
        <w:top w:val="none" w:sz="0" w:space="0" w:color="auto"/>
        <w:left w:val="none" w:sz="0" w:space="0" w:color="auto"/>
        <w:bottom w:val="none" w:sz="0" w:space="0" w:color="auto"/>
        <w:right w:val="none" w:sz="0" w:space="0" w:color="auto"/>
      </w:divBdr>
    </w:div>
    <w:div w:id="2025478075">
      <w:bodyDiv w:val="1"/>
      <w:marLeft w:val="0"/>
      <w:marRight w:val="0"/>
      <w:marTop w:val="0"/>
      <w:marBottom w:val="0"/>
      <w:divBdr>
        <w:top w:val="none" w:sz="0" w:space="0" w:color="auto"/>
        <w:left w:val="none" w:sz="0" w:space="0" w:color="auto"/>
        <w:bottom w:val="none" w:sz="0" w:space="0" w:color="auto"/>
        <w:right w:val="none" w:sz="0" w:space="0" w:color="auto"/>
      </w:divBdr>
    </w:div>
    <w:div w:id="2031491216">
      <w:bodyDiv w:val="1"/>
      <w:marLeft w:val="0"/>
      <w:marRight w:val="0"/>
      <w:marTop w:val="0"/>
      <w:marBottom w:val="0"/>
      <w:divBdr>
        <w:top w:val="none" w:sz="0" w:space="0" w:color="auto"/>
        <w:left w:val="none" w:sz="0" w:space="0" w:color="auto"/>
        <w:bottom w:val="none" w:sz="0" w:space="0" w:color="auto"/>
        <w:right w:val="none" w:sz="0" w:space="0" w:color="auto"/>
      </w:divBdr>
      <w:divsChild>
        <w:div w:id="897663644">
          <w:marLeft w:val="0"/>
          <w:marRight w:val="0"/>
          <w:marTop w:val="120"/>
          <w:marBottom w:val="60"/>
          <w:divBdr>
            <w:top w:val="none" w:sz="0" w:space="0" w:color="auto"/>
            <w:left w:val="none" w:sz="0" w:space="0" w:color="auto"/>
            <w:bottom w:val="none" w:sz="0" w:space="0" w:color="auto"/>
            <w:right w:val="none" w:sz="0" w:space="0" w:color="auto"/>
          </w:divBdr>
        </w:div>
      </w:divsChild>
    </w:div>
    <w:div w:id="2037928584">
      <w:bodyDiv w:val="1"/>
      <w:marLeft w:val="0"/>
      <w:marRight w:val="0"/>
      <w:marTop w:val="0"/>
      <w:marBottom w:val="0"/>
      <w:divBdr>
        <w:top w:val="none" w:sz="0" w:space="0" w:color="auto"/>
        <w:left w:val="none" w:sz="0" w:space="0" w:color="auto"/>
        <w:bottom w:val="none" w:sz="0" w:space="0" w:color="auto"/>
        <w:right w:val="none" w:sz="0" w:space="0" w:color="auto"/>
      </w:divBdr>
      <w:divsChild>
        <w:div w:id="1382054607">
          <w:marLeft w:val="302"/>
          <w:marRight w:val="0"/>
          <w:marTop w:val="0"/>
          <w:marBottom w:val="0"/>
          <w:divBdr>
            <w:top w:val="none" w:sz="0" w:space="0" w:color="auto"/>
            <w:left w:val="none" w:sz="0" w:space="0" w:color="auto"/>
            <w:bottom w:val="none" w:sz="0" w:space="0" w:color="auto"/>
            <w:right w:val="none" w:sz="0" w:space="0" w:color="auto"/>
          </w:divBdr>
        </w:div>
      </w:divsChild>
    </w:div>
    <w:div w:id="2039311119">
      <w:bodyDiv w:val="1"/>
      <w:marLeft w:val="0"/>
      <w:marRight w:val="0"/>
      <w:marTop w:val="0"/>
      <w:marBottom w:val="0"/>
      <w:divBdr>
        <w:top w:val="none" w:sz="0" w:space="0" w:color="auto"/>
        <w:left w:val="none" w:sz="0" w:space="0" w:color="auto"/>
        <w:bottom w:val="none" w:sz="0" w:space="0" w:color="auto"/>
        <w:right w:val="none" w:sz="0" w:space="0" w:color="auto"/>
      </w:divBdr>
    </w:div>
    <w:div w:id="2048218879">
      <w:bodyDiv w:val="1"/>
      <w:marLeft w:val="0"/>
      <w:marRight w:val="0"/>
      <w:marTop w:val="0"/>
      <w:marBottom w:val="0"/>
      <w:divBdr>
        <w:top w:val="none" w:sz="0" w:space="0" w:color="auto"/>
        <w:left w:val="none" w:sz="0" w:space="0" w:color="auto"/>
        <w:bottom w:val="none" w:sz="0" w:space="0" w:color="auto"/>
        <w:right w:val="none" w:sz="0" w:space="0" w:color="auto"/>
      </w:divBdr>
    </w:div>
    <w:div w:id="2053193404">
      <w:bodyDiv w:val="1"/>
      <w:marLeft w:val="0"/>
      <w:marRight w:val="0"/>
      <w:marTop w:val="0"/>
      <w:marBottom w:val="0"/>
      <w:divBdr>
        <w:top w:val="none" w:sz="0" w:space="0" w:color="auto"/>
        <w:left w:val="none" w:sz="0" w:space="0" w:color="auto"/>
        <w:bottom w:val="none" w:sz="0" w:space="0" w:color="auto"/>
        <w:right w:val="none" w:sz="0" w:space="0" w:color="auto"/>
      </w:divBdr>
    </w:div>
    <w:div w:id="2057004118">
      <w:bodyDiv w:val="1"/>
      <w:marLeft w:val="0"/>
      <w:marRight w:val="0"/>
      <w:marTop w:val="0"/>
      <w:marBottom w:val="0"/>
      <w:divBdr>
        <w:top w:val="none" w:sz="0" w:space="0" w:color="auto"/>
        <w:left w:val="none" w:sz="0" w:space="0" w:color="auto"/>
        <w:bottom w:val="none" w:sz="0" w:space="0" w:color="auto"/>
        <w:right w:val="none" w:sz="0" w:space="0" w:color="auto"/>
      </w:divBdr>
    </w:div>
    <w:div w:id="2058579758">
      <w:bodyDiv w:val="1"/>
      <w:marLeft w:val="0"/>
      <w:marRight w:val="0"/>
      <w:marTop w:val="0"/>
      <w:marBottom w:val="0"/>
      <w:divBdr>
        <w:top w:val="none" w:sz="0" w:space="0" w:color="auto"/>
        <w:left w:val="none" w:sz="0" w:space="0" w:color="auto"/>
        <w:bottom w:val="none" w:sz="0" w:space="0" w:color="auto"/>
        <w:right w:val="none" w:sz="0" w:space="0" w:color="auto"/>
      </w:divBdr>
    </w:div>
    <w:div w:id="2066174332">
      <w:bodyDiv w:val="1"/>
      <w:marLeft w:val="0"/>
      <w:marRight w:val="0"/>
      <w:marTop w:val="0"/>
      <w:marBottom w:val="0"/>
      <w:divBdr>
        <w:top w:val="none" w:sz="0" w:space="0" w:color="auto"/>
        <w:left w:val="none" w:sz="0" w:space="0" w:color="auto"/>
        <w:bottom w:val="none" w:sz="0" w:space="0" w:color="auto"/>
        <w:right w:val="none" w:sz="0" w:space="0" w:color="auto"/>
      </w:divBdr>
    </w:div>
    <w:div w:id="2068604547">
      <w:bodyDiv w:val="1"/>
      <w:marLeft w:val="0"/>
      <w:marRight w:val="0"/>
      <w:marTop w:val="0"/>
      <w:marBottom w:val="0"/>
      <w:divBdr>
        <w:top w:val="none" w:sz="0" w:space="0" w:color="auto"/>
        <w:left w:val="none" w:sz="0" w:space="0" w:color="auto"/>
        <w:bottom w:val="none" w:sz="0" w:space="0" w:color="auto"/>
        <w:right w:val="none" w:sz="0" w:space="0" w:color="auto"/>
      </w:divBdr>
    </w:div>
    <w:div w:id="2068721482">
      <w:bodyDiv w:val="1"/>
      <w:marLeft w:val="0"/>
      <w:marRight w:val="0"/>
      <w:marTop w:val="0"/>
      <w:marBottom w:val="0"/>
      <w:divBdr>
        <w:top w:val="none" w:sz="0" w:space="0" w:color="auto"/>
        <w:left w:val="none" w:sz="0" w:space="0" w:color="auto"/>
        <w:bottom w:val="none" w:sz="0" w:space="0" w:color="auto"/>
        <w:right w:val="none" w:sz="0" w:space="0" w:color="auto"/>
      </w:divBdr>
    </w:div>
    <w:div w:id="2072926985">
      <w:bodyDiv w:val="1"/>
      <w:marLeft w:val="0"/>
      <w:marRight w:val="0"/>
      <w:marTop w:val="0"/>
      <w:marBottom w:val="0"/>
      <w:divBdr>
        <w:top w:val="none" w:sz="0" w:space="0" w:color="auto"/>
        <w:left w:val="none" w:sz="0" w:space="0" w:color="auto"/>
        <w:bottom w:val="none" w:sz="0" w:space="0" w:color="auto"/>
        <w:right w:val="none" w:sz="0" w:space="0" w:color="auto"/>
      </w:divBdr>
    </w:div>
    <w:div w:id="2073459042">
      <w:bodyDiv w:val="1"/>
      <w:marLeft w:val="0"/>
      <w:marRight w:val="0"/>
      <w:marTop w:val="0"/>
      <w:marBottom w:val="0"/>
      <w:divBdr>
        <w:top w:val="none" w:sz="0" w:space="0" w:color="auto"/>
        <w:left w:val="none" w:sz="0" w:space="0" w:color="auto"/>
        <w:bottom w:val="none" w:sz="0" w:space="0" w:color="auto"/>
        <w:right w:val="none" w:sz="0" w:space="0" w:color="auto"/>
      </w:divBdr>
    </w:div>
    <w:div w:id="2078436855">
      <w:bodyDiv w:val="1"/>
      <w:marLeft w:val="0"/>
      <w:marRight w:val="0"/>
      <w:marTop w:val="0"/>
      <w:marBottom w:val="0"/>
      <w:divBdr>
        <w:top w:val="none" w:sz="0" w:space="0" w:color="auto"/>
        <w:left w:val="none" w:sz="0" w:space="0" w:color="auto"/>
        <w:bottom w:val="none" w:sz="0" w:space="0" w:color="auto"/>
        <w:right w:val="none" w:sz="0" w:space="0" w:color="auto"/>
      </w:divBdr>
    </w:div>
    <w:div w:id="2078895227">
      <w:bodyDiv w:val="1"/>
      <w:marLeft w:val="0"/>
      <w:marRight w:val="0"/>
      <w:marTop w:val="0"/>
      <w:marBottom w:val="0"/>
      <w:divBdr>
        <w:top w:val="none" w:sz="0" w:space="0" w:color="auto"/>
        <w:left w:val="none" w:sz="0" w:space="0" w:color="auto"/>
        <w:bottom w:val="none" w:sz="0" w:space="0" w:color="auto"/>
        <w:right w:val="none" w:sz="0" w:space="0" w:color="auto"/>
      </w:divBdr>
    </w:div>
    <w:div w:id="2080667270">
      <w:bodyDiv w:val="1"/>
      <w:marLeft w:val="0"/>
      <w:marRight w:val="0"/>
      <w:marTop w:val="0"/>
      <w:marBottom w:val="0"/>
      <w:divBdr>
        <w:top w:val="none" w:sz="0" w:space="0" w:color="auto"/>
        <w:left w:val="none" w:sz="0" w:space="0" w:color="auto"/>
        <w:bottom w:val="none" w:sz="0" w:space="0" w:color="auto"/>
        <w:right w:val="none" w:sz="0" w:space="0" w:color="auto"/>
      </w:divBdr>
    </w:div>
    <w:div w:id="2081973982">
      <w:bodyDiv w:val="1"/>
      <w:marLeft w:val="0"/>
      <w:marRight w:val="0"/>
      <w:marTop w:val="0"/>
      <w:marBottom w:val="0"/>
      <w:divBdr>
        <w:top w:val="none" w:sz="0" w:space="0" w:color="auto"/>
        <w:left w:val="none" w:sz="0" w:space="0" w:color="auto"/>
        <w:bottom w:val="none" w:sz="0" w:space="0" w:color="auto"/>
        <w:right w:val="none" w:sz="0" w:space="0" w:color="auto"/>
      </w:divBdr>
    </w:div>
    <w:div w:id="2084906030">
      <w:bodyDiv w:val="1"/>
      <w:marLeft w:val="0"/>
      <w:marRight w:val="0"/>
      <w:marTop w:val="0"/>
      <w:marBottom w:val="0"/>
      <w:divBdr>
        <w:top w:val="none" w:sz="0" w:space="0" w:color="auto"/>
        <w:left w:val="none" w:sz="0" w:space="0" w:color="auto"/>
        <w:bottom w:val="none" w:sz="0" w:space="0" w:color="auto"/>
        <w:right w:val="none" w:sz="0" w:space="0" w:color="auto"/>
      </w:divBdr>
      <w:divsChild>
        <w:div w:id="1122502811">
          <w:marLeft w:val="634"/>
          <w:marRight w:val="0"/>
          <w:marTop w:val="80"/>
          <w:marBottom w:val="0"/>
          <w:divBdr>
            <w:top w:val="none" w:sz="0" w:space="0" w:color="auto"/>
            <w:left w:val="none" w:sz="0" w:space="0" w:color="auto"/>
            <w:bottom w:val="none" w:sz="0" w:space="0" w:color="auto"/>
            <w:right w:val="none" w:sz="0" w:space="0" w:color="auto"/>
          </w:divBdr>
        </w:div>
        <w:div w:id="1644039025">
          <w:marLeft w:val="634"/>
          <w:marRight w:val="0"/>
          <w:marTop w:val="80"/>
          <w:marBottom w:val="0"/>
          <w:divBdr>
            <w:top w:val="none" w:sz="0" w:space="0" w:color="auto"/>
            <w:left w:val="none" w:sz="0" w:space="0" w:color="auto"/>
            <w:bottom w:val="none" w:sz="0" w:space="0" w:color="auto"/>
            <w:right w:val="none" w:sz="0" w:space="0" w:color="auto"/>
          </w:divBdr>
        </w:div>
        <w:div w:id="1956327107">
          <w:marLeft w:val="634"/>
          <w:marRight w:val="0"/>
          <w:marTop w:val="80"/>
          <w:marBottom w:val="0"/>
          <w:divBdr>
            <w:top w:val="none" w:sz="0" w:space="0" w:color="auto"/>
            <w:left w:val="none" w:sz="0" w:space="0" w:color="auto"/>
            <w:bottom w:val="none" w:sz="0" w:space="0" w:color="auto"/>
            <w:right w:val="none" w:sz="0" w:space="0" w:color="auto"/>
          </w:divBdr>
        </w:div>
      </w:divsChild>
    </w:div>
    <w:div w:id="2100249132">
      <w:bodyDiv w:val="1"/>
      <w:marLeft w:val="0"/>
      <w:marRight w:val="0"/>
      <w:marTop w:val="0"/>
      <w:marBottom w:val="0"/>
      <w:divBdr>
        <w:top w:val="none" w:sz="0" w:space="0" w:color="auto"/>
        <w:left w:val="none" w:sz="0" w:space="0" w:color="auto"/>
        <w:bottom w:val="none" w:sz="0" w:space="0" w:color="auto"/>
        <w:right w:val="none" w:sz="0" w:space="0" w:color="auto"/>
      </w:divBdr>
      <w:divsChild>
        <w:div w:id="548685434">
          <w:marLeft w:val="331"/>
          <w:marRight w:val="0"/>
          <w:marTop w:val="0"/>
          <w:marBottom w:val="0"/>
          <w:divBdr>
            <w:top w:val="none" w:sz="0" w:space="0" w:color="auto"/>
            <w:left w:val="none" w:sz="0" w:space="0" w:color="auto"/>
            <w:bottom w:val="none" w:sz="0" w:space="0" w:color="auto"/>
            <w:right w:val="none" w:sz="0" w:space="0" w:color="auto"/>
          </w:divBdr>
        </w:div>
        <w:div w:id="704215896">
          <w:marLeft w:val="331"/>
          <w:marRight w:val="0"/>
          <w:marTop w:val="0"/>
          <w:marBottom w:val="0"/>
          <w:divBdr>
            <w:top w:val="none" w:sz="0" w:space="0" w:color="auto"/>
            <w:left w:val="none" w:sz="0" w:space="0" w:color="auto"/>
            <w:bottom w:val="none" w:sz="0" w:space="0" w:color="auto"/>
            <w:right w:val="none" w:sz="0" w:space="0" w:color="auto"/>
          </w:divBdr>
        </w:div>
        <w:div w:id="1267734474">
          <w:marLeft w:val="331"/>
          <w:marRight w:val="0"/>
          <w:marTop w:val="0"/>
          <w:marBottom w:val="0"/>
          <w:divBdr>
            <w:top w:val="none" w:sz="0" w:space="0" w:color="auto"/>
            <w:left w:val="none" w:sz="0" w:space="0" w:color="auto"/>
            <w:bottom w:val="none" w:sz="0" w:space="0" w:color="auto"/>
            <w:right w:val="none" w:sz="0" w:space="0" w:color="auto"/>
          </w:divBdr>
        </w:div>
        <w:div w:id="1358310687">
          <w:marLeft w:val="331"/>
          <w:marRight w:val="0"/>
          <w:marTop w:val="0"/>
          <w:marBottom w:val="0"/>
          <w:divBdr>
            <w:top w:val="none" w:sz="0" w:space="0" w:color="auto"/>
            <w:left w:val="none" w:sz="0" w:space="0" w:color="auto"/>
            <w:bottom w:val="none" w:sz="0" w:space="0" w:color="auto"/>
            <w:right w:val="none" w:sz="0" w:space="0" w:color="auto"/>
          </w:divBdr>
        </w:div>
        <w:div w:id="1652174782">
          <w:marLeft w:val="331"/>
          <w:marRight w:val="0"/>
          <w:marTop w:val="0"/>
          <w:marBottom w:val="0"/>
          <w:divBdr>
            <w:top w:val="none" w:sz="0" w:space="0" w:color="auto"/>
            <w:left w:val="none" w:sz="0" w:space="0" w:color="auto"/>
            <w:bottom w:val="none" w:sz="0" w:space="0" w:color="auto"/>
            <w:right w:val="none" w:sz="0" w:space="0" w:color="auto"/>
          </w:divBdr>
        </w:div>
        <w:div w:id="1939210586">
          <w:marLeft w:val="331"/>
          <w:marRight w:val="0"/>
          <w:marTop w:val="0"/>
          <w:marBottom w:val="0"/>
          <w:divBdr>
            <w:top w:val="none" w:sz="0" w:space="0" w:color="auto"/>
            <w:left w:val="none" w:sz="0" w:space="0" w:color="auto"/>
            <w:bottom w:val="none" w:sz="0" w:space="0" w:color="auto"/>
            <w:right w:val="none" w:sz="0" w:space="0" w:color="auto"/>
          </w:divBdr>
        </w:div>
      </w:divsChild>
    </w:div>
    <w:div w:id="2100830440">
      <w:bodyDiv w:val="1"/>
      <w:marLeft w:val="0"/>
      <w:marRight w:val="0"/>
      <w:marTop w:val="0"/>
      <w:marBottom w:val="0"/>
      <w:divBdr>
        <w:top w:val="none" w:sz="0" w:space="0" w:color="auto"/>
        <w:left w:val="none" w:sz="0" w:space="0" w:color="auto"/>
        <w:bottom w:val="none" w:sz="0" w:space="0" w:color="auto"/>
        <w:right w:val="none" w:sz="0" w:space="0" w:color="auto"/>
      </w:divBdr>
    </w:div>
    <w:div w:id="2101942968">
      <w:bodyDiv w:val="1"/>
      <w:marLeft w:val="0"/>
      <w:marRight w:val="0"/>
      <w:marTop w:val="0"/>
      <w:marBottom w:val="0"/>
      <w:divBdr>
        <w:top w:val="none" w:sz="0" w:space="0" w:color="auto"/>
        <w:left w:val="none" w:sz="0" w:space="0" w:color="auto"/>
        <w:bottom w:val="none" w:sz="0" w:space="0" w:color="auto"/>
        <w:right w:val="none" w:sz="0" w:space="0" w:color="auto"/>
      </w:divBdr>
    </w:div>
    <w:div w:id="2105568873">
      <w:bodyDiv w:val="1"/>
      <w:marLeft w:val="0"/>
      <w:marRight w:val="0"/>
      <w:marTop w:val="0"/>
      <w:marBottom w:val="0"/>
      <w:divBdr>
        <w:top w:val="none" w:sz="0" w:space="0" w:color="auto"/>
        <w:left w:val="none" w:sz="0" w:space="0" w:color="auto"/>
        <w:bottom w:val="none" w:sz="0" w:space="0" w:color="auto"/>
        <w:right w:val="none" w:sz="0" w:space="0" w:color="auto"/>
      </w:divBdr>
    </w:div>
    <w:div w:id="2107069486">
      <w:bodyDiv w:val="1"/>
      <w:marLeft w:val="0"/>
      <w:marRight w:val="0"/>
      <w:marTop w:val="0"/>
      <w:marBottom w:val="0"/>
      <w:divBdr>
        <w:top w:val="none" w:sz="0" w:space="0" w:color="auto"/>
        <w:left w:val="none" w:sz="0" w:space="0" w:color="auto"/>
        <w:bottom w:val="none" w:sz="0" w:space="0" w:color="auto"/>
        <w:right w:val="none" w:sz="0" w:space="0" w:color="auto"/>
      </w:divBdr>
    </w:div>
    <w:div w:id="2107075644">
      <w:bodyDiv w:val="1"/>
      <w:marLeft w:val="0"/>
      <w:marRight w:val="0"/>
      <w:marTop w:val="0"/>
      <w:marBottom w:val="0"/>
      <w:divBdr>
        <w:top w:val="none" w:sz="0" w:space="0" w:color="auto"/>
        <w:left w:val="none" w:sz="0" w:space="0" w:color="auto"/>
        <w:bottom w:val="none" w:sz="0" w:space="0" w:color="auto"/>
        <w:right w:val="none" w:sz="0" w:space="0" w:color="auto"/>
      </w:divBdr>
    </w:div>
    <w:div w:id="2108114920">
      <w:bodyDiv w:val="1"/>
      <w:marLeft w:val="0"/>
      <w:marRight w:val="0"/>
      <w:marTop w:val="0"/>
      <w:marBottom w:val="0"/>
      <w:divBdr>
        <w:top w:val="none" w:sz="0" w:space="0" w:color="auto"/>
        <w:left w:val="none" w:sz="0" w:space="0" w:color="auto"/>
        <w:bottom w:val="none" w:sz="0" w:space="0" w:color="auto"/>
        <w:right w:val="none" w:sz="0" w:space="0" w:color="auto"/>
      </w:divBdr>
    </w:div>
    <w:div w:id="2110660076">
      <w:bodyDiv w:val="1"/>
      <w:marLeft w:val="0"/>
      <w:marRight w:val="0"/>
      <w:marTop w:val="0"/>
      <w:marBottom w:val="0"/>
      <w:divBdr>
        <w:top w:val="none" w:sz="0" w:space="0" w:color="auto"/>
        <w:left w:val="none" w:sz="0" w:space="0" w:color="auto"/>
        <w:bottom w:val="none" w:sz="0" w:space="0" w:color="auto"/>
        <w:right w:val="none" w:sz="0" w:space="0" w:color="auto"/>
      </w:divBdr>
    </w:div>
    <w:div w:id="2114397287">
      <w:bodyDiv w:val="1"/>
      <w:marLeft w:val="0"/>
      <w:marRight w:val="0"/>
      <w:marTop w:val="0"/>
      <w:marBottom w:val="0"/>
      <w:divBdr>
        <w:top w:val="none" w:sz="0" w:space="0" w:color="auto"/>
        <w:left w:val="none" w:sz="0" w:space="0" w:color="auto"/>
        <w:bottom w:val="none" w:sz="0" w:space="0" w:color="auto"/>
        <w:right w:val="none" w:sz="0" w:space="0" w:color="auto"/>
      </w:divBdr>
      <w:divsChild>
        <w:div w:id="421027177">
          <w:marLeft w:val="720"/>
          <w:marRight w:val="0"/>
          <w:marTop w:val="0"/>
          <w:marBottom w:val="0"/>
          <w:divBdr>
            <w:top w:val="none" w:sz="0" w:space="0" w:color="auto"/>
            <w:left w:val="none" w:sz="0" w:space="0" w:color="auto"/>
            <w:bottom w:val="none" w:sz="0" w:space="0" w:color="auto"/>
            <w:right w:val="none" w:sz="0" w:space="0" w:color="auto"/>
          </w:divBdr>
        </w:div>
        <w:div w:id="572205859">
          <w:marLeft w:val="720"/>
          <w:marRight w:val="0"/>
          <w:marTop w:val="0"/>
          <w:marBottom w:val="0"/>
          <w:divBdr>
            <w:top w:val="none" w:sz="0" w:space="0" w:color="auto"/>
            <w:left w:val="none" w:sz="0" w:space="0" w:color="auto"/>
            <w:bottom w:val="none" w:sz="0" w:space="0" w:color="auto"/>
            <w:right w:val="none" w:sz="0" w:space="0" w:color="auto"/>
          </w:divBdr>
        </w:div>
        <w:div w:id="1561020914">
          <w:marLeft w:val="720"/>
          <w:marRight w:val="0"/>
          <w:marTop w:val="0"/>
          <w:marBottom w:val="0"/>
          <w:divBdr>
            <w:top w:val="none" w:sz="0" w:space="0" w:color="auto"/>
            <w:left w:val="none" w:sz="0" w:space="0" w:color="auto"/>
            <w:bottom w:val="none" w:sz="0" w:space="0" w:color="auto"/>
            <w:right w:val="none" w:sz="0" w:space="0" w:color="auto"/>
          </w:divBdr>
        </w:div>
      </w:divsChild>
    </w:div>
    <w:div w:id="2114474305">
      <w:bodyDiv w:val="1"/>
      <w:marLeft w:val="0"/>
      <w:marRight w:val="0"/>
      <w:marTop w:val="0"/>
      <w:marBottom w:val="0"/>
      <w:divBdr>
        <w:top w:val="none" w:sz="0" w:space="0" w:color="auto"/>
        <w:left w:val="none" w:sz="0" w:space="0" w:color="auto"/>
        <w:bottom w:val="none" w:sz="0" w:space="0" w:color="auto"/>
        <w:right w:val="none" w:sz="0" w:space="0" w:color="auto"/>
      </w:divBdr>
    </w:div>
    <w:div w:id="2118596646">
      <w:bodyDiv w:val="1"/>
      <w:marLeft w:val="0"/>
      <w:marRight w:val="0"/>
      <w:marTop w:val="0"/>
      <w:marBottom w:val="0"/>
      <w:divBdr>
        <w:top w:val="none" w:sz="0" w:space="0" w:color="auto"/>
        <w:left w:val="none" w:sz="0" w:space="0" w:color="auto"/>
        <w:bottom w:val="none" w:sz="0" w:space="0" w:color="auto"/>
        <w:right w:val="none" w:sz="0" w:space="0" w:color="auto"/>
      </w:divBdr>
    </w:div>
    <w:div w:id="2118864424">
      <w:bodyDiv w:val="1"/>
      <w:marLeft w:val="0"/>
      <w:marRight w:val="0"/>
      <w:marTop w:val="0"/>
      <w:marBottom w:val="0"/>
      <w:divBdr>
        <w:top w:val="none" w:sz="0" w:space="0" w:color="auto"/>
        <w:left w:val="none" w:sz="0" w:space="0" w:color="auto"/>
        <w:bottom w:val="none" w:sz="0" w:space="0" w:color="auto"/>
        <w:right w:val="none" w:sz="0" w:space="0" w:color="auto"/>
      </w:divBdr>
      <w:divsChild>
        <w:div w:id="82840559">
          <w:marLeft w:val="274"/>
          <w:marRight w:val="0"/>
          <w:marTop w:val="0"/>
          <w:marBottom w:val="0"/>
          <w:divBdr>
            <w:top w:val="none" w:sz="0" w:space="0" w:color="auto"/>
            <w:left w:val="none" w:sz="0" w:space="0" w:color="auto"/>
            <w:bottom w:val="none" w:sz="0" w:space="0" w:color="auto"/>
            <w:right w:val="none" w:sz="0" w:space="0" w:color="auto"/>
          </w:divBdr>
        </w:div>
        <w:div w:id="368798609">
          <w:marLeft w:val="274"/>
          <w:marRight w:val="0"/>
          <w:marTop w:val="0"/>
          <w:marBottom w:val="0"/>
          <w:divBdr>
            <w:top w:val="none" w:sz="0" w:space="0" w:color="auto"/>
            <w:left w:val="none" w:sz="0" w:space="0" w:color="auto"/>
            <w:bottom w:val="none" w:sz="0" w:space="0" w:color="auto"/>
            <w:right w:val="none" w:sz="0" w:space="0" w:color="auto"/>
          </w:divBdr>
        </w:div>
        <w:div w:id="524908762">
          <w:marLeft w:val="274"/>
          <w:marRight w:val="0"/>
          <w:marTop w:val="0"/>
          <w:marBottom w:val="0"/>
          <w:divBdr>
            <w:top w:val="none" w:sz="0" w:space="0" w:color="auto"/>
            <w:left w:val="none" w:sz="0" w:space="0" w:color="auto"/>
            <w:bottom w:val="none" w:sz="0" w:space="0" w:color="auto"/>
            <w:right w:val="none" w:sz="0" w:space="0" w:color="auto"/>
          </w:divBdr>
        </w:div>
        <w:div w:id="603926372">
          <w:marLeft w:val="274"/>
          <w:marRight w:val="0"/>
          <w:marTop w:val="0"/>
          <w:marBottom w:val="0"/>
          <w:divBdr>
            <w:top w:val="none" w:sz="0" w:space="0" w:color="auto"/>
            <w:left w:val="none" w:sz="0" w:space="0" w:color="auto"/>
            <w:bottom w:val="none" w:sz="0" w:space="0" w:color="auto"/>
            <w:right w:val="none" w:sz="0" w:space="0" w:color="auto"/>
          </w:divBdr>
        </w:div>
        <w:div w:id="773792973">
          <w:marLeft w:val="274"/>
          <w:marRight w:val="0"/>
          <w:marTop w:val="0"/>
          <w:marBottom w:val="0"/>
          <w:divBdr>
            <w:top w:val="none" w:sz="0" w:space="0" w:color="auto"/>
            <w:left w:val="none" w:sz="0" w:space="0" w:color="auto"/>
            <w:bottom w:val="none" w:sz="0" w:space="0" w:color="auto"/>
            <w:right w:val="none" w:sz="0" w:space="0" w:color="auto"/>
          </w:divBdr>
        </w:div>
        <w:div w:id="1203327522">
          <w:marLeft w:val="274"/>
          <w:marRight w:val="0"/>
          <w:marTop w:val="0"/>
          <w:marBottom w:val="0"/>
          <w:divBdr>
            <w:top w:val="none" w:sz="0" w:space="0" w:color="auto"/>
            <w:left w:val="none" w:sz="0" w:space="0" w:color="auto"/>
            <w:bottom w:val="none" w:sz="0" w:space="0" w:color="auto"/>
            <w:right w:val="none" w:sz="0" w:space="0" w:color="auto"/>
          </w:divBdr>
        </w:div>
        <w:div w:id="1287925279">
          <w:marLeft w:val="274"/>
          <w:marRight w:val="0"/>
          <w:marTop w:val="0"/>
          <w:marBottom w:val="0"/>
          <w:divBdr>
            <w:top w:val="none" w:sz="0" w:space="0" w:color="auto"/>
            <w:left w:val="none" w:sz="0" w:space="0" w:color="auto"/>
            <w:bottom w:val="none" w:sz="0" w:space="0" w:color="auto"/>
            <w:right w:val="none" w:sz="0" w:space="0" w:color="auto"/>
          </w:divBdr>
        </w:div>
        <w:div w:id="1292639650">
          <w:marLeft w:val="274"/>
          <w:marRight w:val="0"/>
          <w:marTop w:val="0"/>
          <w:marBottom w:val="0"/>
          <w:divBdr>
            <w:top w:val="none" w:sz="0" w:space="0" w:color="auto"/>
            <w:left w:val="none" w:sz="0" w:space="0" w:color="auto"/>
            <w:bottom w:val="none" w:sz="0" w:space="0" w:color="auto"/>
            <w:right w:val="none" w:sz="0" w:space="0" w:color="auto"/>
          </w:divBdr>
        </w:div>
        <w:div w:id="1347294278">
          <w:marLeft w:val="274"/>
          <w:marRight w:val="0"/>
          <w:marTop w:val="0"/>
          <w:marBottom w:val="0"/>
          <w:divBdr>
            <w:top w:val="none" w:sz="0" w:space="0" w:color="auto"/>
            <w:left w:val="none" w:sz="0" w:space="0" w:color="auto"/>
            <w:bottom w:val="none" w:sz="0" w:space="0" w:color="auto"/>
            <w:right w:val="none" w:sz="0" w:space="0" w:color="auto"/>
          </w:divBdr>
        </w:div>
      </w:divsChild>
    </w:div>
    <w:div w:id="2120297123">
      <w:bodyDiv w:val="1"/>
      <w:marLeft w:val="0"/>
      <w:marRight w:val="0"/>
      <w:marTop w:val="0"/>
      <w:marBottom w:val="0"/>
      <w:divBdr>
        <w:top w:val="none" w:sz="0" w:space="0" w:color="auto"/>
        <w:left w:val="none" w:sz="0" w:space="0" w:color="auto"/>
        <w:bottom w:val="none" w:sz="0" w:space="0" w:color="auto"/>
        <w:right w:val="none" w:sz="0" w:space="0" w:color="auto"/>
      </w:divBdr>
    </w:div>
    <w:div w:id="2125222731">
      <w:bodyDiv w:val="1"/>
      <w:marLeft w:val="0"/>
      <w:marRight w:val="0"/>
      <w:marTop w:val="0"/>
      <w:marBottom w:val="0"/>
      <w:divBdr>
        <w:top w:val="none" w:sz="0" w:space="0" w:color="auto"/>
        <w:left w:val="none" w:sz="0" w:space="0" w:color="auto"/>
        <w:bottom w:val="none" w:sz="0" w:space="0" w:color="auto"/>
        <w:right w:val="none" w:sz="0" w:space="0" w:color="auto"/>
      </w:divBdr>
    </w:div>
    <w:div w:id="2134126659">
      <w:bodyDiv w:val="1"/>
      <w:marLeft w:val="0"/>
      <w:marRight w:val="0"/>
      <w:marTop w:val="0"/>
      <w:marBottom w:val="0"/>
      <w:divBdr>
        <w:top w:val="none" w:sz="0" w:space="0" w:color="auto"/>
        <w:left w:val="none" w:sz="0" w:space="0" w:color="auto"/>
        <w:bottom w:val="none" w:sz="0" w:space="0" w:color="auto"/>
        <w:right w:val="none" w:sz="0" w:space="0" w:color="auto"/>
      </w:divBdr>
    </w:div>
    <w:div w:id="2137215549">
      <w:bodyDiv w:val="1"/>
      <w:marLeft w:val="0"/>
      <w:marRight w:val="0"/>
      <w:marTop w:val="0"/>
      <w:marBottom w:val="0"/>
      <w:divBdr>
        <w:top w:val="none" w:sz="0" w:space="0" w:color="auto"/>
        <w:left w:val="none" w:sz="0" w:space="0" w:color="auto"/>
        <w:bottom w:val="none" w:sz="0" w:space="0" w:color="auto"/>
        <w:right w:val="none" w:sz="0" w:space="0" w:color="auto"/>
      </w:divBdr>
      <w:divsChild>
        <w:div w:id="1407462380">
          <w:marLeft w:val="720"/>
          <w:marRight w:val="0"/>
          <w:marTop w:val="0"/>
          <w:marBottom w:val="0"/>
          <w:divBdr>
            <w:top w:val="none" w:sz="0" w:space="0" w:color="auto"/>
            <w:left w:val="none" w:sz="0" w:space="0" w:color="auto"/>
            <w:bottom w:val="none" w:sz="0" w:space="0" w:color="auto"/>
            <w:right w:val="none" w:sz="0" w:space="0" w:color="auto"/>
          </w:divBdr>
        </w:div>
      </w:divsChild>
    </w:div>
    <w:div w:id="2140296826">
      <w:bodyDiv w:val="1"/>
      <w:marLeft w:val="0"/>
      <w:marRight w:val="0"/>
      <w:marTop w:val="0"/>
      <w:marBottom w:val="0"/>
      <w:divBdr>
        <w:top w:val="none" w:sz="0" w:space="0" w:color="auto"/>
        <w:left w:val="none" w:sz="0" w:space="0" w:color="auto"/>
        <w:bottom w:val="none" w:sz="0" w:space="0" w:color="auto"/>
        <w:right w:val="none" w:sz="0" w:space="0" w:color="auto"/>
      </w:divBdr>
      <w:divsChild>
        <w:div w:id="18287544">
          <w:marLeft w:val="302"/>
          <w:marRight w:val="0"/>
          <w:marTop w:val="0"/>
          <w:marBottom w:val="0"/>
          <w:divBdr>
            <w:top w:val="none" w:sz="0" w:space="0" w:color="auto"/>
            <w:left w:val="none" w:sz="0" w:space="0" w:color="auto"/>
            <w:bottom w:val="none" w:sz="0" w:space="0" w:color="auto"/>
            <w:right w:val="none" w:sz="0" w:space="0" w:color="auto"/>
          </w:divBdr>
        </w:div>
        <w:div w:id="1676110282">
          <w:marLeft w:val="302"/>
          <w:marRight w:val="0"/>
          <w:marTop w:val="0"/>
          <w:marBottom w:val="0"/>
          <w:divBdr>
            <w:top w:val="none" w:sz="0" w:space="0" w:color="auto"/>
            <w:left w:val="none" w:sz="0" w:space="0" w:color="auto"/>
            <w:bottom w:val="none" w:sz="0" w:space="0" w:color="auto"/>
            <w:right w:val="none" w:sz="0" w:space="0" w:color="auto"/>
          </w:divBdr>
        </w:div>
      </w:divsChild>
    </w:div>
    <w:div w:id="2141460516">
      <w:bodyDiv w:val="1"/>
      <w:marLeft w:val="0"/>
      <w:marRight w:val="0"/>
      <w:marTop w:val="0"/>
      <w:marBottom w:val="0"/>
      <w:divBdr>
        <w:top w:val="none" w:sz="0" w:space="0" w:color="auto"/>
        <w:left w:val="none" w:sz="0" w:space="0" w:color="auto"/>
        <w:bottom w:val="none" w:sz="0" w:space="0" w:color="auto"/>
        <w:right w:val="none" w:sz="0" w:space="0" w:color="auto"/>
      </w:divBdr>
      <w:divsChild>
        <w:div w:id="11500993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4534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primary-health-networks-phn-strategy-2023-24?language=en" TargetMode="External"/><Relationship Id="rId1" Type="http://schemas.openxmlformats.org/officeDocument/2006/relationships/hyperlink" Target="https://www.health.gov.au/resources/publications/primary-health-networks-phn-strategy-2023-24?language=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A4F60D02CE4934B55666875066A58B"/>
        <w:category>
          <w:name w:val="General"/>
          <w:gallery w:val="placeholder"/>
        </w:category>
        <w:types>
          <w:type w:val="bbPlcHdr"/>
        </w:types>
        <w:behaviors>
          <w:behavior w:val="content"/>
        </w:behaviors>
        <w:guid w:val="{90AA7D78-BC3D-405B-9ACA-E2B1C7806603}"/>
      </w:docPartPr>
      <w:docPartBody>
        <w:p w:rsidR="00C3190D" w:rsidRDefault="00C3190D" w:rsidP="00C3190D">
          <w:pPr>
            <w:pStyle w:val="57A4F60D02CE4934B55666875066A58B"/>
          </w:pPr>
          <w:r>
            <w:rPr>
              <w:lang w:val="en-GB"/>
            </w:rP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nd">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n-ea">
    <w:charset w:val="00"/>
    <w:family w:val="roman"/>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90D"/>
    <w:rsid w:val="008A23DE"/>
    <w:rsid w:val="008F40D9"/>
    <w:rsid w:val="00C31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A4F60D02CE4934B55666875066A58B">
    <w:name w:val="57A4F60D02CE4934B55666875066A58B"/>
    <w:rsid w:val="00C319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C83678B7FD6C4398FB1B3AE4E3FA23" ma:contentTypeVersion="4" ma:contentTypeDescription="Create a new document." ma:contentTypeScope="" ma:versionID="e843ea0385f0357ad2f12ad6a1a9277d">
  <xsd:schema xmlns:xsd="http://www.w3.org/2001/XMLSchema" xmlns:xs="http://www.w3.org/2001/XMLSchema" xmlns:p="http://schemas.microsoft.com/office/2006/metadata/properties" xmlns:ns2="85005f9a-4403-4027-9610-ebac36c07c82" targetNamespace="http://schemas.microsoft.com/office/2006/metadata/properties" ma:root="true" ma:fieldsID="f44ee16e824fad20a72f540d89ae4185" ns2:_="">
    <xsd:import namespace="85005f9a-4403-4027-9610-ebac36c07c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05f9a-4403-4027-9610-ebac36c07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0C2AE0-42EB-455C-957E-E788C41DA60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85005f9a-4403-4027-9610-ebac36c07c82"/>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A07C3ED-5E9B-4E74-9B6B-5F11184A9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05f9a-4403-4027-9610-ebac36c07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39</Pages>
  <Words>11173</Words>
  <Characters>66627</Characters>
  <Application>Microsoft Office Word</Application>
  <DocSecurity>0</DocSecurity>
  <Lines>2149</Lines>
  <Paragraphs>1296</Paragraphs>
  <ScaleCrop>false</ScaleCrop>
  <HeadingPairs>
    <vt:vector size="2" baseType="variant">
      <vt:variant>
        <vt:lpstr>Title</vt:lpstr>
      </vt:variant>
      <vt:variant>
        <vt:i4>1</vt:i4>
      </vt:variant>
    </vt:vector>
  </HeadingPairs>
  <TitlesOfParts>
    <vt:vector size="1" baseType="lpstr">
      <vt:lpstr>PHN Business Model and MH Review</vt:lpstr>
    </vt:vector>
  </TitlesOfParts>
  <Company/>
  <LinksUpToDate>false</LinksUpToDate>
  <CharactersWithSpaces>76504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PHN Business Model and MH Review</dc:title>
  <dc:subject>Primary Health Care Networks </dc:subject>
  <dc:creator>Australian Government Department of Health, Disability and Ageing</dc:creator>
  <cp:lastPrinted>2025-12-16T03:35:00Z</cp:lastPrinted>
  <dcterms:created xsi:type="dcterms:W3CDTF">2025-10-10T01:46:00Z</dcterms:created>
  <dcterms:modified xsi:type="dcterms:W3CDTF">2025-12-17T01:14:00Z</dcterms:modified>
</cp:coreProperties>
</file>