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9B3D2" w14:textId="7DB45E0B" w:rsidR="00751A23" w:rsidRPr="00E842CE" w:rsidRDefault="00B76981" w:rsidP="00751A23">
      <w:pPr>
        <w:pStyle w:val="Title"/>
      </w:pPr>
      <w:r w:rsidRPr="00B76981">
        <w:t>Primary Health Network Program</w:t>
      </w:r>
      <w:r w:rsidR="009529A9">
        <w:t xml:space="preserve"> </w:t>
      </w:r>
      <w:r w:rsidRPr="00B76981">
        <w:br/>
        <w:t xml:space="preserve">Annual Performance Report </w:t>
      </w:r>
      <w:r w:rsidRPr="00B76981">
        <w:br/>
      </w:r>
      <w:r w:rsidRPr="00B76981">
        <w:rPr>
          <w:rStyle w:val="Heading1Char"/>
        </w:rPr>
        <w:t>2022–23 and 2023–24</w:t>
      </w:r>
    </w:p>
    <w:p w14:paraId="27B44666" w14:textId="58C25604" w:rsidR="00CA79CF" w:rsidRPr="00E842CE" w:rsidRDefault="00CA79CF" w:rsidP="00D43506">
      <w:pPr>
        <w:pStyle w:val="Subtitle"/>
      </w:pPr>
    </w:p>
    <w:p w14:paraId="49FD78FE" w14:textId="7F364BA1" w:rsidR="00CA79CF" w:rsidRPr="00E842CE" w:rsidRDefault="00B244C8" w:rsidP="00CA79CF">
      <w:pPr>
        <w:pStyle w:val="Subtitle"/>
        <w:sectPr w:rsidR="00CA79CF" w:rsidRPr="00E842CE" w:rsidSect="00CA79C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1" w:right="1418" w:bottom="1418" w:left="1418" w:header="709" w:footer="709" w:gutter="0"/>
          <w:cols w:space="708"/>
          <w:titlePg/>
          <w:docGrid w:linePitch="360"/>
        </w:sectPr>
      </w:pPr>
      <w:r>
        <w:rPr>
          <w:noProof/>
        </w:rPr>
        <w:drawing>
          <wp:anchor distT="0" distB="0" distL="114300" distR="114300" simplePos="0" relativeHeight="251658240" behindDoc="0" locked="0" layoutInCell="1" allowOverlap="1" wp14:anchorId="610051D4" wp14:editId="51C0ACF4">
            <wp:simplePos x="0" y="0"/>
            <wp:positionH relativeFrom="margin">
              <wp:align>center</wp:align>
            </wp:positionH>
            <wp:positionV relativeFrom="margin">
              <wp:align>bottom</wp:align>
            </wp:positionV>
            <wp:extent cx="6480000" cy="5023463"/>
            <wp:effectExtent l="0" t="0" r="0" b="6350"/>
            <wp:wrapSquare wrapText="bothSides"/>
            <wp:docPr id="13225615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61532" name="Picture 1">
                      <a:extLst>
                        <a:ext uri="{C183D7F6-B498-43B3-948B-1728B52AA6E4}">
                          <adec:decorative xmlns:adec="http://schemas.microsoft.com/office/drawing/2017/decorative" val="1"/>
                        </a:ext>
                      </a:extLst>
                    </pic:cNvPr>
                    <pic:cNvPicPr/>
                  </pic:nvPicPr>
                  <pic:blipFill rotWithShape="1">
                    <a:blip r:embed="rId17"/>
                    <a:srcRect l="6405" r="6267"/>
                    <a:stretch/>
                  </pic:blipFill>
                  <pic:spPr bwMode="auto">
                    <a:xfrm>
                      <a:off x="0" y="0"/>
                      <a:ext cx="6480000" cy="5023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D1F01" w14:textId="77777777" w:rsidR="00B76981" w:rsidRPr="00F91B0F" w:rsidRDefault="00B76981" w:rsidP="00B76981">
      <w:pPr>
        <w:pStyle w:val="Heading1"/>
        <w:tabs>
          <w:tab w:val="left" w:pos="2016"/>
        </w:tabs>
        <w:rPr>
          <w:sz w:val="32"/>
          <w:szCs w:val="32"/>
        </w:rPr>
      </w:pPr>
      <w:bookmarkStart w:id="0" w:name="_Toc105510120"/>
      <w:bookmarkStart w:id="1" w:name="_Toc106117644"/>
      <w:bookmarkStart w:id="2" w:name="_Toc106125447"/>
      <w:bookmarkStart w:id="3" w:name="_Toc164176714"/>
      <w:bookmarkStart w:id="4" w:name="_Toc212100668"/>
      <w:r w:rsidRPr="004A0028">
        <w:lastRenderedPageBreak/>
        <w:t>Acknowledgement</w:t>
      </w:r>
      <w:bookmarkEnd w:id="0"/>
      <w:bookmarkEnd w:id="1"/>
      <w:bookmarkEnd w:id="2"/>
      <w:bookmarkEnd w:id="3"/>
      <w:bookmarkEnd w:id="4"/>
    </w:p>
    <w:p w14:paraId="48BB1259" w14:textId="77777777" w:rsidR="00B76981" w:rsidRDefault="00B76981" w:rsidP="00B76981">
      <w:pPr>
        <w:pStyle w:val="NormalWeb"/>
        <w:tabs>
          <w:tab w:val="left" w:pos="2016"/>
        </w:tabs>
        <w:rPr>
          <w:rFonts w:ascii="Arial" w:hAnsi="Arial" w:cs="Arial"/>
          <w:sz w:val="22"/>
          <w:szCs w:val="22"/>
        </w:rPr>
      </w:pPr>
      <w:r w:rsidRPr="00093EE4">
        <w:rPr>
          <w:rFonts w:ascii="Arial" w:hAnsi="Arial" w:cs="Arial"/>
          <w:sz w:val="22"/>
          <w:szCs w:val="22"/>
        </w:rPr>
        <w:t>This document was developed by the Australian Government Department of Health</w:t>
      </w:r>
      <w:r>
        <w:rPr>
          <w:rFonts w:ascii="Arial" w:hAnsi="Arial" w:cs="Arial"/>
          <w:sz w:val="22"/>
          <w:szCs w:val="22"/>
        </w:rPr>
        <w:t>, Disability and Ageing</w:t>
      </w:r>
      <w:r w:rsidRPr="00093EE4">
        <w:rPr>
          <w:rFonts w:ascii="Arial" w:hAnsi="Arial" w:cs="Arial"/>
          <w:sz w:val="22"/>
          <w:szCs w:val="22"/>
        </w:rPr>
        <w:t xml:space="preserve"> as part of the Primary Health Networks Program Performance and Quality Framework. </w:t>
      </w:r>
    </w:p>
    <w:p w14:paraId="2B4639FD" w14:textId="77777777" w:rsidR="00F4086D" w:rsidRPr="00F4086D" w:rsidRDefault="00F4086D" w:rsidP="00F4086D">
      <w:pPr>
        <w:pStyle w:val="NormalWeb"/>
        <w:tabs>
          <w:tab w:val="left" w:pos="2016"/>
        </w:tabs>
        <w:rPr>
          <w:rFonts w:ascii="Arial" w:hAnsi="Arial" w:cs="Arial"/>
          <w:b/>
          <w:bCs/>
          <w:sz w:val="22"/>
          <w:szCs w:val="22"/>
        </w:rPr>
      </w:pPr>
      <w:r w:rsidRPr="00F4086D">
        <w:rPr>
          <w:rFonts w:ascii="Arial" w:hAnsi="Arial" w:cs="Arial"/>
          <w:b/>
          <w:bCs/>
          <w:sz w:val="22"/>
          <w:szCs w:val="22"/>
        </w:rPr>
        <w:t>Copyright</w:t>
      </w:r>
    </w:p>
    <w:p w14:paraId="402B61F9" w14:textId="1BC453CC" w:rsidR="00F4086D" w:rsidRPr="00F4086D" w:rsidRDefault="00F4086D" w:rsidP="00F4086D">
      <w:pPr>
        <w:pStyle w:val="NormalWeb"/>
        <w:tabs>
          <w:tab w:val="left" w:pos="2016"/>
        </w:tabs>
        <w:rPr>
          <w:rFonts w:ascii="Arial" w:hAnsi="Arial" w:cs="Arial"/>
          <w:sz w:val="22"/>
          <w:szCs w:val="22"/>
        </w:rPr>
      </w:pPr>
      <w:r w:rsidRPr="00F4086D">
        <w:rPr>
          <w:rFonts w:ascii="Arial" w:hAnsi="Arial" w:cs="Arial"/>
          <w:sz w:val="22"/>
          <w:szCs w:val="22"/>
        </w:rPr>
        <w:t>© 2025 Commonwealth of Australia as represented by the Department of Health, Disability and Ageing</w:t>
      </w:r>
    </w:p>
    <w:p w14:paraId="5B5A56BC" w14:textId="77777777" w:rsidR="00F4086D" w:rsidRPr="00F4086D" w:rsidRDefault="00F4086D" w:rsidP="00F4086D">
      <w:pPr>
        <w:pStyle w:val="NormalWeb"/>
        <w:tabs>
          <w:tab w:val="left" w:pos="2016"/>
        </w:tabs>
        <w:rPr>
          <w:rFonts w:ascii="Arial" w:hAnsi="Arial" w:cs="Arial"/>
          <w:sz w:val="22"/>
          <w:szCs w:val="22"/>
        </w:rPr>
      </w:pPr>
      <w:r w:rsidRPr="00F4086D">
        <w:rPr>
          <w:rFonts w:ascii="Arial" w:hAnsi="Arial" w:cs="Arial"/>
          <w:sz w:val="22"/>
          <w:szCs w:val="22"/>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33BE5CDD" w14:textId="2BB3B62D" w:rsidR="00F4086D" w:rsidRPr="00F4086D" w:rsidRDefault="00F4086D" w:rsidP="00F4086D">
      <w:pPr>
        <w:pStyle w:val="NormalWeb"/>
        <w:tabs>
          <w:tab w:val="left" w:pos="567"/>
        </w:tabs>
        <w:rPr>
          <w:rFonts w:ascii="Arial" w:hAnsi="Arial" w:cs="Arial"/>
          <w:sz w:val="22"/>
          <w:szCs w:val="22"/>
        </w:rPr>
      </w:pPr>
      <w:r w:rsidRPr="00F4086D">
        <w:rPr>
          <w:rFonts w:ascii="Arial" w:hAnsi="Arial" w:cs="Arial"/>
          <w:sz w:val="22"/>
          <w:szCs w:val="22"/>
        </w:rPr>
        <w:t>(a)</w:t>
      </w:r>
      <w:r>
        <w:rPr>
          <w:rFonts w:ascii="Arial" w:hAnsi="Arial" w:cs="Arial"/>
          <w:sz w:val="22"/>
          <w:szCs w:val="22"/>
        </w:rPr>
        <w:tab/>
      </w:r>
      <w:r w:rsidRPr="00F4086D">
        <w:rPr>
          <w:rFonts w:ascii="Arial" w:hAnsi="Arial" w:cs="Arial"/>
          <w:sz w:val="22"/>
          <w:szCs w:val="22"/>
        </w:rPr>
        <w:t>do not use the copy or reproduction for any commercial purpose; and</w:t>
      </w:r>
    </w:p>
    <w:p w14:paraId="28FD59B6" w14:textId="455547B5" w:rsidR="00F4086D" w:rsidRPr="00F4086D" w:rsidRDefault="00F4086D" w:rsidP="00F4086D">
      <w:pPr>
        <w:pStyle w:val="NormalWeb"/>
        <w:rPr>
          <w:rFonts w:ascii="Arial" w:hAnsi="Arial" w:cs="Arial"/>
          <w:sz w:val="22"/>
          <w:szCs w:val="22"/>
        </w:rPr>
      </w:pPr>
      <w:r w:rsidRPr="00F4086D">
        <w:rPr>
          <w:rFonts w:ascii="Arial" w:hAnsi="Arial" w:cs="Arial"/>
          <w:sz w:val="22"/>
          <w:szCs w:val="22"/>
        </w:rPr>
        <w:t>(b)</w:t>
      </w:r>
      <w:r>
        <w:rPr>
          <w:rFonts w:ascii="Arial" w:hAnsi="Arial" w:cs="Arial"/>
          <w:sz w:val="22"/>
          <w:szCs w:val="22"/>
        </w:rPr>
        <w:tab/>
      </w:r>
      <w:r w:rsidRPr="00F4086D">
        <w:rPr>
          <w:rFonts w:ascii="Arial" w:hAnsi="Arial" w:cs="Arial"/>
          <w:sz w:val="22"/>
          <w:szCs w:val="22"/>
        </w:rPr>
        <w:t>retain this copyright notice and all disclaimer notices as part of that copy or reproduction.</w:t>
      </w:r>
    </w:p>
    <w:p w14:paraId="1A676347" w14:textId="77777777" w:rsidR="00F4086D" w:rsidRPr="00F4086D" w:rsidRDefault="00F4086D" w:rsidP="00F4086D">
      <w:pPr>
        <w:pStyle w:val="NormalWeb"/>
        <w:tabs>
          <w:tab w:val="left" w:pos="2016"/>
        </w:tabs>
        <w:rPr>
          <w:rFonts w:ascii="Arial" w:hAnsi="Arial" w:cs="Arial"/>
          <w:sz w:val="22"/>
          <w:szCs w:val="22"/>
        </w:rPr>
      </w:pPr>
      <w:r w:rsidRPr="00F4086D">
        <w:rPr>
          <w:rFonts w:ascii="Arial" w:hAnsi="Arial" w:cs="Arial"/>
          <w:sz w:val="22"/>
          <w:szCs w:val="22"/>
        </w:rPr>
        <w:t xml:space="preserve">Apart from rights as permitted by the </w:t>
      </w:r>
      <w:r w:rsidRPr="00F4086D">
        <w:rPr>
          <w:rFonts w:ascii="Arial" w:hAnsi="Arial" w:cs="Arial"/>
          <w:i/>
          <w:iCs/>
          <w:sz w:val="22"/>
          <w:szCs w:val="22"/>
        </w:rPr>
        <w:t>Copyright Act 1968</w:t>
      </w:r>
      <w:r w:rsidRPr="00F4086D">
        <w:rPr>
          <w:rFonts w:ascii="Arial" w:hAnsi="Arial" w:cs="Arial"/>
          <w:sz w:val="22"/>
          <w:szCs w:val="22"/>
        </w:rPr>
        <w:t xml:space="preserve"> (</w:t>
      </w:r>
      <w:proofErr w:type="spellStart"/>
      <w:r w:rsidRPr="00F4086D">
        <w:rPr>
          <w:rFonts w:ascii="Arial" w:hAnsi="Arial" w:cs="Arial"/>
          <w:sz w:val="22"/>
          <w:szCs w:val="22"/>
        </w:rPr>
        <w:t>Cth</w:t>
      </w:r>
      <w:proofErr w:type="spellEnd"/>
      <w:r w:rsidRPr="00F4086D">
        <w:rPr>
          <w:rFonts w:ascii="Arial" w:hAnsi="Arial" w:cs="Arial"/>
          <w:sz w:val="22"/>
          <w:szCs w:val="22"/>
        </w:rPr>
        <w:t>) or allowed by this copyright notice, all other rights are reserved, including (but not limited to) all commercial rights.</w:t>
      </w:r>
    </w:p>
    <w:p w14:paraId="0B584B33" w14:textId="4D493280" w:rsidR="00F4086D" w:rsidRPr="00F4086D" w:rsidRDefault="00F4086D" w:rsidP="00F4086D">
      <w:pPr>
        <w:pStyle w:val="NormalWeb"/>
        <w:tabs>
          <w:tab w:val="left" w:pos="2016"/>
        </w:tabs>
        <w:rPr>
          <w:rFonts w:ascii="Arial" w:hAnsi="Arial" w:cs="Arial"/>
          <w:sz w:val="22"/>
          <w:szCs w:val="22"/>
        </w:rPr>
      </w:pPr>
      <w:r w:rsidRPr="00F4086D">
        <w:rPr>
          <w:rFonts w:ascii="Arial" w:hAnsi="Arial" w:cs="Arial"/>
          <w:sz w:val="22"/>
          <w:szCs w:val="22"/>
        </w:rPr>
        <w:t xml:space="preserve">Requests and inquiries concerning reproduction and other rights to use are to be sent to the Corporate Communication Branch, Department of Health, Disability and Ageing, GPO Box 9848, Canberra ACT 2601,or via e-mail to </w:t>
      </w:r>
      <w:hyperlink r:id="rId18" w:history="1">
        <w:r w:rsidRPr="00F4086D">
          <w:rPr>
            <w:rStyle w:val="Hyperlink"/>
            <w:rFonts w:ascii="Arial" w:hAnsi="Arial" w:cs="Arial"/>
            <w:sz w:val="22"/>
            <w:szCs w:val="22"/>
          </w:rPr>
          <w:t>copyright@health.gov.au</w:t>
        </w:r>
      </w:hyperlink>
      <w:r w:rsidRPr="00F4086D">
        <w:rPr>
          <w:rFonts w:ascii="Arial" w:hAnsi="Arial" w:cs="Arial"/>
          <w:sz w:val="22"/>
          <w:szCs w:val="22"/>
        </w:rPr>
        <w:t>.</w:t>
      </w:r>
    </w:p>
    <w:p w14:paraId="53958A67" w14:textId="77777777" w:rsidR="00B76981" w:rsidRPr="00F91B0F" w:rsidRDefault="00B76981" w:rsidP="00B76981">
      <w:pPr>
        <w:tabs>
          <w:tab w:val="left" w:pos="2016"/>
        </w:tabs>
        <w:rPr>
          <w:color w:val="3F4A75"/>
          <w:sz w:val="32"/>
          <w:szCs w:val="32"/>
        </w:rPr>
      </w:pPr>
      <w:r>
        <w:rPr>
          <w:color w:val="3F4A75"/>
          <w:sz w:val="32"/>
          <w:szCs w:val="32"/>
        </w:rPr>
        <w:t>Disclaimer</w:t>
      </w:r>
    </w:p>
    <w:p w14:paraId="2AEB67F6" w14:textId="6FD25E42" w:rsidR="00B76981" w:rsidRDefault="00B76981" w:rsidP="00B76981">
      <w:pPr>
        <w:pStyle w:val="NormalWeb"/>
        <w:tabs>
          <w:tab w:val="left" w:pos="2016"/>
        </w:tabs>
        <w:rPr>
          <w:rFonts w:ascii="Helvetica" w:hAnsi="Helvetica" w:cs="Helvetica"/>
          <w:sz w:val="22"/>
          <w:szCs w:val="22"/>
        </w:rPr>
      </w:pPr>
      <w:r w:rsidRPr="00C24F27">
        <w:rPr>
          <w:rFonts w:ascii="Helvetica" w:hAnsi="Helvetica" w:cs="Helvetica"/>
          <w:sz w:val="22"/>
          <w:szCs w:val="22"/>
        </w:rPr>
        <w:t>Opinions expressed in PHN Program Performance Report 2022</w:t>
      </w:r>
      <w:r w:rsidR="004453B3">
        <w:rPr>
          <w:rFonts w:ascii="Helvetica" w:hAnsi="Helvetica" w:cs="Helvetica"/>
          <w:sz w:val="22"/>
          <w:szCs w:val="22"/>
        </w:rPr>
        <w:t>–</w:t>
      </w:r>
      <w:r w:rsidRPr="00C24F27">
        <w:rPr>
          <w:rFonts w:ascii="Helvetica" w:hAnsi="Helvetica" w:cs="Helvetica"/>
          <w:sz w:val="22"/>
          <w:szCs w:val="22"/>
        </w:rPr>
        <w:t>23 and 2023</w:t>
      </w:r>
      <w:r w:rsidR="004453B3">
        <w:rPr>
          <w:rFonts w:ascii="Helvetica" w:hAnsi="Helvetica" w:cs="Helvetica"/>
          <w:sz w:val="22"/>
          <w:szCs w:val="22"/>
        </w:rPr>
        <w:t>–</w:t>
      </w:r>
      <w:r w:rsidRPr="00C24F27">
        <w:rPr>
          <w:rFonts w:ascii="Helvetica" w:hAnsi="Helvetica" w:cs="Helvetica"/>
          <w:sz w:val="22"/>
          <w:szCs w:val="22"/>
        </w:rPr>
        <w:t>24 are those of the authors and not necessarily those of the Australian Government Department of Health, Disability and Ageing. Data may be subject to revision.</w:t>
      </w:r>
    </w:p>
    <w:p w14:paraId="24001A57" w14:textId="77777777" w:rsidR="00B76981" w:rsidRPr="003C37BE" w:rsidRDefault="00B76981" w:rsidP="00B76981">
      <w:pPr>
        <w:tabs>
          <w:tab w:val="left" w:pos="2016"/>
        </w:tabs>
        <w:spacing w:after="160" w:line="259" w:lineRule="auto"/>
        <w:rPr>
          <w:rFonts w:ascii="Helvetica" w:hAnsi="Helvetica" w:cs="Helvetica"/>
        </w:rPr>
      </w:pPr>
      <w:r w:rsidRPr="003C37BE">
        <w:rPr>
          <w:rFonts w:ascii="Helvetica" w:hAnsi="Helvetica" w:cs="Helvetica"/>
        </w:rPr>
        <w:br w:type="page"/>
      </w:r>
    </w:p>
    <w:p w14:paraId="32FF4A82" w14:textId="5D984A20" w:rsidR="00B76981" w:rsidRPr="003C37BE" w:rsidRDefault="00B76981" w:rsidP="00B76981">
      <w:pPr>
        <w:pStyle w:val="TOCHeading"/>
        <w:tabs>
          <w:tab w:val="left" w:pos="2016"/>
        </w:tabs>
        <w:rPr>
          <w:lang w:val="en-AU"/>
        </w:rPr>
      </w:pPr>
      <w:r w:rsidRPr="0022607E">
        <w:lastRenderedPageBreak/>
        <w:t>Contents</w:t>
      </w:r>
    </w:p>
    <w:p w14:paraId="0237D387" w14:textId="38A88906" w:rsidR="00A07E33" w:rsidRDefault="00B76981">
      <w:pPr>
        <w:pStyle w:val="TOC1"/>
        <w:rPr>
          <w:rFonts w:asciiTheme="minorHAnsi" w:eastAsiaTheme="minorEastAsia" w:hAnsiTheme="minorHAnsi" w:cstheme="minorBidi"/>
          <w:noProof/>
          <w:kern w:val="2"/>
          <w:sz w:val="24"/>
          <w14:ligatures w14:val="standardContextual"/>
        </w:rPr>
      </w:pPr>
      <w:r>
        <w:rPr>
          <w:rFonts w:ascii="Helvetica" w:hAnsi="Helvetica" w:cs="Helvetica"/>
        </w:rPr>
        <w:fldChar w:fldCharType="begin"/>
      </w:r>
      <w:r>
        <w:rPr>
          <w:rFonts w:ascii="Helvetica" w:hAnsi="Helvetica" w:cs="Helvetica"/>
        </w:rPr>
        <w:instrText xml:space="preserve"> TOC \o "1-2" \h \z \u </w:instrText>
      </w:r>
      <w:r>
        <w:rPr>
          <w:rFonts w:ascii="Helvetica" w:hAnsi="Helvetica" w:cs="Helvetica"/>
        </w:rPr>
        <w:fldChar w:fldCharType="separate"/>
      </w:r>
      <w:hyperlink w:anchor="_Toc212100668" w:history="1">
        <w:r w:rsidR="00A07E33" w:rsidRPr="00574747">
          <w:rPr>
            <w:rStyle w:val="Hyperlink"/>
            <w:noProof/>
          </w:rPr>
          <w:t>Acknowledgement</w:t>
        </w:r>
        <w:r w:rsidR="00A07E33">
          <w:rPr>
            <w:noProof/>
            <w:webHidden/>
          </w:rPr>
          <w:tab/>
        </w:r>
        <w:r w:rsidR="00A07E33">
          <w:rPr>
            <w:noProof/>
            <w:webHidden/>
          </w:rPr>
          <w:fldChar w:fldCharType="begin"/>
        </w:r>
        <w:r w:rsidR="00A07E33">
          <w:rPr>
            <w:noProof/>
            <w:webHidden/>
          </w:rPr>
          <w:instrText xml:space="preserve"> PAGEREF _Toc212100668 \h </w:instrText>
        </w:r>
        <w:r w:rsidR="00A07E33">
          <w:rPr>
            <w:noProof/>
            <w:webHidden/>
          </w:rPr>
        </w:r>
        <w:r w:rsidR="00A07E33">
          <w:rPr>
            <w:noProof/>
            <w:webHidden/>
          </w:rPr>
          <w:fldChar w:fldCharType="separate"/>
        </w:r>
        <w:r w:rsidR="008A31C7">
          <w:rPr>
            <w:noProof/>
            <w:webHidden/>
          </w:rPr>
          <w:t>2</w:t>
        </w:r>
        <w:r w:rsidR="00A07E33">
          <w:rPr>
            <w:noProof/>
            <w:webHidden/>
          </w:rPr>
          <w:fldChar w:fldCharType="end"/>
        </w:r>
      </w:hyperlink>
    </w:p>
    <w:p w14:paraId="32BAA2EF" w14:textId="5C3FD7BE" w:rsidR="00A07E33" w:rsidRDefault="00A07E33">
      <w:pPr>
        <w:pStyle w:val="TOC1"/>
        <w:rPr>
          <w:rFonts w:asciiTheme="minorHAnsi" w:eastAsiaTheme="minorEastAsia" w:hAnsiTheme="minorHAnsi" w:cstheme="minorBidi"/>
          <w:noProof/>
          <w:kern w:val="2"/>
          <w:sz w:val="24"/>
          <w14:ligatures w14:val="standardContextual"/>
        </w:rPr>
      </w:pPr>
      <w:hyperlink w:anchor="_Toc212100669" w:history="1">
        <w:r w:rsidRPr="00574747">
          <w:rPr>
            <w:rStyle w:val="Hyperlink"/>
            <w:noProof/>
          </w:rPr>
          <w:t>Executive Summary</w:t>
        </w:r>
        <w:r>
          <w:rPr>
            <w:noProof/>
            <w:webHidden/>
          </w:rPr>
          <w:tab/>
        </w:r>
        <w:r>
          <w:rPr>
            <w:noProof/>
            <w:webHidden/>
          </w:rPr>
          <w:fldChar w:fldCharType="begin"/>
        </w:r>
        <w:r>
          <w:rPr>
            <w:noProof/>
            <w:webHidden/>
          </w:rPr>
          <w:instrText xml:space="preserve"> PAGEREF _Toc212100669 \h </w:instrText>
        </w:r>
        <w:r>
          <w:rPr>
            <w:noProof/>
            <w:webHidden/>
          </w:rPr>
        </w:r>
        <w:r>
          <w:rPr>
            <w:noProof/>
            <w:webHidden/>
          </w:rPr>
          <w:fldChar w:fldCharType="separate"/>
        </w:r>
        <w:r w:rsidR="008A31C7">
          <w:rPr>
            <w:noProof/>
            <w:webHidden/>
          </w:rPr>
          <w:t>4</w:t>
        </w:r>
        <w:r>
          <w:rPr>
            <w:noProof/>
            <w:webHidden/>
          </w:rPr>
          <w:fldChar w:fldCharType="end"/>
        </w:r>
      </w:hyperlink>
    </w:p>
    <w:p w14:paraId="3D0969D7" w14:textId="1856797F" w:rsidR="00A07E33" w:rsidRDefault="00A07E33">
      <w:pPr>
        <w:pStyle w:val="TOC1"/>
        <w:rPr>
          <w:rFonts w:asciiTheme="minorHAnsi" w:eastAsiaTheme="minorEastAsia" w:hAnsiTheme="minorHAnsi" w:cstheme="minorBidi"/>
          <w:noProof/>
          <w:kern w:val="2"/>
          <w:sz w:val="24"/>
          <w14:ligatures w14:val="standardContextual"/>
        </w:rPr>
      </w:pPr>
      <w:hyperlink w:anchor="_Toc212100670" w:history="1">
        <w:r w:rsidRPr="00574747">
          <w:rPr>
            <w:rStyle w:val="Hyperlink"/>
            <w:noProof/>
          </w:rPr>
          <w:t>Highlights</w:t>
        </w:r>
        <w:r>
          <w:rPr>
            <w:noProof/>
            <w:webHidden/>
          </w:rPr>
          <w:tab/>
        </w:r>
        <w:r>
          <w:rPr>
            <w:noProof/>
            <w:webHidden/>
          </w:rPr>
          <w:fldChar w:fldCharType="begin"/>
        </w:r>
        <w:r>
          <w:rPr>
            <w:noProof/>
            <w:webHidden/>
          </w:rPr>
          <w:instrText xml:space="preserve"> PAGEREF _Toc212100670 \h </w:instrText>
        </w:r>
        <w:r>
          <w:rPr>
            <w:noProof/>
            <w:webHidden/>
          </w:rPr>
        </w:r>
        <w:r>
          <w:rPr>
            <w:noProof/>
            <w:webHidden/>
          </w:rPr>
          <w:fldChar w:fldCharType="separate"/>
        </w:r>
        <w:r w:rsidR="008A31C7">
          <w:rPr>
            <w:noProof/>
            <w:webHidden/>
          </w:rPr>
          <w:t>7</w:t>
        </w:r>
        <w:r>
          <w:rPr>
            <w:noProof/>
            <w:webHidden/>
          </w:rPr>
          <w:fldChar w:fldCharType="end"/>
        </w:r>
      </w:hyperlink>
    </w:p>
    <w:p w14:paraId="2D2E44BC" w14:textId="68E60354" w:rsidR="00A07E33" w:rsidRDefault="00A07E33">
      <w:pPr>
        <w:pStyle w:val="TOC1"/>
        <w:rPr>
          <w:rFonts w:asciiTheme="minorHAnsi" w:eastAsiaTheme="minorEastAsia" w:hAnsiTheme="minorHAnsi" w:cstheme="minorBidi"/>
          <w:noProof/>
          <w:kern w:val="2"/>
          <w:sz w:val="24"/>
          <w14:ligatures w14:val="standardContextual"/>
        </w:rPr>
      </w:pPr>
      <w:hyperlink w:anchor="_Toc212100671" w:history="1">
        <w:r w:rsidRPr="00574747">
          <w:rPr>
            <w:rStyle w:val="Hyperlink"/>
            <w:noProof/>
          </w:rPr>
          <w:t>Financial Summary</w:t>
        </w:r>
        <w:r>
          <w:rPr>
            <w:noProof/>
            <w:webHidden/>
          </w:rPr>
          <w:tab/>
        </w:r>
        <w:r>
          <w:rPr>
            <w:noProof/>
            <w:webHidden/>
          </w:rPr>
          <w:fldChar w:fldCharType="begin"/>
        </w:r>
        <w:r>
          <w:rPr>
            <w:noProof/>
            <w:webHidden/>
          </w:rPr>
          <w:instrText xml:space="preserve"> PAGEREF _Toc212100671 \h </w:instrText>
        </w:r>
        <w:r>
          <w:rPr>
            <w:noProof/>
            <w:webHidden/>
          </w:rPr>
        </w:r>
        <w:r>
          <w:rPr>
            <w:noProof/>
            <w:webHidden/>
          </w:rPr>
          <w:fldChar w:fldCharType="separate"/>
        </w:r>
        <w:r w:rsidR="008A31C7">
          <w:rPr>
            <w:noProof/>
            <w:webHidden/>
          </w:rPr>
          <w:t>8</w:t>
        </w:r>
        <w:r>
          <w:rPr>
            <w:noProof/>
            <w:webHidden/>
          </w:rPr>
          <w:fldChar w:fldCharType="end"/>
        </w:r>
      </w:hyperlink>
    </w:p>
    <w:p w14:paraId="630F9BCA" w14:textId="2933E145" w:rsidR="00A07E33" w:rsidRDefault="00A07E33">
      <w:pPr>
        <w:pStyle w:val="TOC1"/>
        <w:rPr>
          <w:rFonts w:asciiTheme="minorHAnsi" w:eastAsiaTheme="minorEastAsia" w:hAnsiTheme="minorHAnsi" w:cstheme="minorBidi"/>
          <w:noProof/>
          <w:kern w:val="2"/>
          <w:sz w:val="24"/>
          <w14:ligatures w14:val="standardContextual"/>
        </w:rPr>
      </w:pPr>
      <w:hyperlink w:anchor="_Toc212100672" w:history="1">
        <w:r w:rsidRPr="00574747">
          <w:rPr>
            <w:rStyle w:val="Hyperlink"/>
            <w:noProof/>
          </w:rPr>
          <w:t>Performance Report</w:t>
        </w:r>
        <w:r>
          <w:rPr>
            <w:noProof/>
            <w:webHidden/>
          </w:rPr>
          <w:tab/>
        </w:r>
        <w:r>
          <w:rPr>
            <w:noProof/>
            <w:webHidden/>
          </w:rPr>
          <w:fldChar w:fldCharType="begin"/>
        </w:r>
        <w:r>
          <w:rPr>
            <w:noProof/>
            <w:webHidden/>
          </w:rPr>
          <w:instrText xml:space="preserve"> PAGEREF _Toc212100672 \h </w:instrText>
        </w:r>
        <w:r>
          <w:rPr>
            <w:noProof/>
            <w:webHidden/>
          </w:rPr>
        </w:r>
        <w:r>
          <w:rPr>
            <w:noProof/>
            <w:webHidden/>
          </w:rPr>
          <w:fldChar w:fldCharType="separate"/>
        </w:r>
        <w:r w:rsidR="008A31C7">
          <w:rPr>
            <w:noProof/>
            <w:webHidden/>
          </w:rPr>
          <w:t>10</w:t>
        </w:r>
        <w:r>
          <w:rPr>
            <w:noProof/>
            <w:webHidden/>
          </w:rPr>
          <w:fldChar w:fldCharType="end"/>
        </w:r>
      </w:hyperlink>
    </w:p>
    <w:p w14:paraId="68D876C3" w14:textId="646D4A50" w:rsidR="00A07E33" w:rsidRDefault="00A07E33">
      <w:pPr>
        <w:pStyle w:val="TOC2"/>
        <w:rPr>
          <w:rFonts w:asciiTheme="minorHAnsi" w:eastAsiaTheme="minorEastAsia" w:hAnsiTheme="minorHAnsi" w:cstheme="minorBidi"/>
          <w:kern w:val="2"/>
          <w:sz w:val="24"/>
          <w14:ligatures w14:val="standardContextual"/>
        </w:rPr>
      </w:pPr>
      <w:hyperlink w:anchor="_Toc212100673" w:history="1">
        <w:r w:rsidRPr="00574747">
          <w:rPr>
            <w:rStyle w:val="Hyperlink"/>
          </w:rPr>
          <w:t>1.</w:t>
        </w:r>
        <w:r>
          <w:rPr>
            <w:rFonts w:asciiTheme="minorHAnsi" w:eastAsiaTheme="minorEastAsia" w:hAnsiTheme="minorHAnsi" w:cstheme="minorBidi"/>
            <w:kern w:val="2"/>
            <w:sz w:val="24"/>
            <w14:ligatures w14:val="standardContextual"/>
          </w:rPr>
          <w:tab/>
        </w:r>
        <w:r w:rsidRPr="00574747">
          <w:rPr>
            <w:rStyle w:val="Hyperlink"/>
          </w:rPr>
          <w:t>Addressing Needs</w:t>
        </w:r>
        <w:r>
          <w:rPr>
            <w:webHidden/>
          </w:rPr>
          <w:tab/>
        </w:r>
        <w:r>
          <w:rPr>
            <w:webHidden/>
          </w:rPr>
          <w:fldChar w:fldCharType="begin"/>
        </w:r>
        <w:r>
          <w:rPr>
            <w:webHidden/>
          </w:rPr>
          <w:instrText xml:space="preserve"> PAGEREF _Toc212100673 \h </w:instrText>
        </w:r>
        <w:r>
          <w:rPr>
            <w:webHidden/>
          </w:rPr>
        </w:r>
        <w:r>
          <w:rPr>
            <w:webHidden/>
          </w:rPr>
          <w:fldChar w:fldCharType="separate"/>
        </w:r>
        <w:r w:rsidR="008A31C7">
          <w:rPr>
            <w:webHidden/>
          </w:rPr>
          <w:t>10</w:t>
        </w:r>
        <w:r>
          <w:rPr>
            <w:webHidden/>
          </w:rPr>
          <w:fldChar w:fldCharType="end"/>
        </w:r>
      </w:hyperlink>
    </w:p>
    <w:p w14:paraId="535103A3" w14:textId="641C540F" w:rsidR="00A07E33" w:rsidRDefault="00A07E33">
      <w:pPr>
        <w:pStyle w:val="TOC2"/>
        <w:rPr>
          <w:rFonts w:asciiTheme="minorHAnsi" w:eastAsiaTheme="minorEastAsia" w:hAnsiTheme="minorHAnsi" w:cstheme="minorBidi"/>
          <w:kern w:val="2"/>
          <w:sz w:val="24"/>
          <w14:ligatures w14:val="standardContextual"/>
        </w:rPr>
      </w:pPr>
      <w:hyperlink w:anchor="_Toc212100674" w:history="1">
        <w:r w:rsidRPr="00574747">
          <w:rPr>
            <w:rStyle w:val="Hyperlink"/>
            <w:lang w:val="en-GB"/>
          </w:rPr>
          <w:t>2.</w:t>
        </w:r>
        <w:r>
          <w:rPr>
            <w:rFonts w:asciiTheme="minorHAnsi" w:eastAsiaTheme="minorEastAsia" w:hAnsiTheme="minorHAnsi" w:cstheme="minorBidi"/>
            <w:kern w:val="2"/>
            <w:sz w:val="24"/>
            <w14:ligatures w14:val="standardContextual"/>
          </w:rPr>
          <w:tab/>
        </w:r>
        <w:r w:rsidRPr="00574747">
          <w:rPr>
            <w:rStyle w:val="Hyperlink"/>
            <w:lang w:val="en-GB"/>
          </w:rPr>
          <w:t>Quality Care</w:t>
        </w:r>
        <w:r>
          <w:rPr>
            <w:webHidden/>
          </w:rPr>
          <w:tab/>
        </w:r>
        <w:r>
          <w:rPr>
            <w:webHidden/>
          </w:rPr>
          <w:fldChar w:fldCharType="begin"/>
        </w:r>
        <w:r>
          <w:rPr>
            <w:webHidden/>
          </w:rPr>
          <w:instrText xml:space="preserve"> PAGEREF _Toc212100674 \h </w:instrText>
        </w:r>
        <w:r>
          <w:rPr>
            <w:webHidden/>
          </w:rPr>
        </w:r>
        <w:r>
          <w:rPr>
            <w:webHidden/>
          </w:rPr>
          <w:fldChar w:fldCharType="separate"/>
        </w:r>
        <w:r w:rsidR="008A31C7">
          <w:rPr>
            <w:webHidden/>
          </w:rPr>
          <w:t>15</w:t>
        </w:r>
        <w:r>
          <w:rPr>
            <w:webHidden/>
          </w:rPr>
          <w:fldChar w:fldCharType="end"/>
        </w:r>
      </w:hyperlink>
    </w:p>
    <w:p w14:paraId="66055429" w14:textId="61F59EBA" w:rsidR="00A07E33" w:rsidRDefault="00A07E33">
      <w:pPr>
        <w:pStyle w:val="TOC2"/>
        <w:rPr>
          <w:rFonts w:asciiTheme="minorHAnsi" w:eastAsiaTheme="minorEastAsia" w:hAnsiTheme="minorHAnsi" w:cstheme="minorBidi"/>
          <w:kern w:val="2"/>
          <w:sz w:val="24"/>
          <w14:ligatures w14:val="standardContextual"/>
        </w:rPr>
      </w:pPr>
      <w:hyperlink w:anchor="_Toc212100675" w:history="1">
        <w:r w:rsidRPr="00574747">
          <w:rPr>
            <w:rStyle w:val="Hyperlink"/>
            <w:lang w:val="en-GB"/>
          </w:rPr>
          <w:t>3.</w:t>
        </w:r>
        <w:r>
          <w:rPr>
            <w:rFonts w:asciiTheme="minorHAnsi" w:eastAsiaTheme="minorEastAsia" w:hAnsiTheme="minorHAnsi" w:cstheme="minorBidi"/>
            <w:kern w:val="2"/>
            <w:sz w:val="24"/>
            <w14:ligatures w14:val="standardContextual"/>
          </w:rPr>
          <w:tab/>
        </w:r>
        <w:r w:rsidRPr="00574747">
          <w:rPr>
            <w:rStyle w:val="Hyperlink"/>
            <w:lang w:val="en-GB"/>
          </w:rPr>
          <w:t>Improving Access</w:t>
        </w:r>
        <w:r>
          <w:rPr>
            <w:webHidden/>
          </w:rPr>
          <w:tab/>
        </w:r>
        <w:r>
          <w:rPr>
            <w:webHidden/>
          </w:rPr>
          <w:fldChar w:fldCharType="begin"/>
        </w:r>
        <w:r>
          <w:rPr>
            <w:webHidden/>
          </w:rPr>
          <w:instrText xml:space="preserve"> PAGEREF _Toc212100675 \h </w:instrText>
        </w:r>
        <w:r>
          <w:rPr>
            <w:webHidden/>
          </w:rPr>
        </w:r>
        <w:r>
          <w:rPr>
            <w:webHidden/>
          </w:rPr>
          <w:fldChar w:fldCharType="separate"/>
        </w:r>
        <w:r w:rsidR="008A31C7">
          <w:rPr>
            <w:webHidden/>
          </w:rPr>
          <w:t>29</w:t>
        </w:r>
        <w:r>
          <w:rPr>
            <w:webHidden/>
          </w:rPr>
          <w:fldChar w:fldCharType="end"/>
        </w:r>
      </w:hyperlink>
    </w:p>
    <w:p w14:paraId="757AA1D3" w14:textId="2A4C3DBC" w:rsidR="00A07E33" w:rsidRDefault="00A07E33">
      <w:pPr>
        <w:pStyle w:val="TOC2"/>
        <w:rPr>
          <w:rFonts w:asciiTheme="minorHAnsi" w:eastAsiaTheme="minorEastAsia" w:hAnsiTheme="minorHAnsi" w:cstheme="minorBidi"/>
          <w:kern w:val="2"/>
          <w:sz w:val="24"/>
          <w14:ligatures w14:val="standardContextual"/>
        </w:rPr>
      </w:pPr>
      <w:hyperlink w:anchor="_Toc212100676" w:history="1">
        <w:r w:rsidRPr="00574747">
          <w:rPr>
            <w:rStyle w:val="Hyperlink"/>
            <w:lang w:val="en-GB"/>
          </w:rPr>
          <w:t>4.</w:t>
        </w:r>
        <w:r>
          <w:rPr>
            <w:rFonts w:asciiTheme="minorHAnsi" w:eastAsiaTheme="minorEastAsia" w:hAnsiTheme="minorHAnsi" w:cstheme="minorBidi"/>
            <w:kern w:val="2"/>
            <w:sz w:val="24"/>
            <w14:ligatures w14:val="standardContextual"/>
          </w:rPr>
          <w:tab/>
        </w:r>
        <w:r w:rsidRPr="00574747">
          <w:rPr>
            <w:rStyle w:val="Hyperlink"/>
            <w:lang w:val="en-GB"/>
          </w:rPr>
          <w:t>Coordinated Care</w:t>
        </w:r>
        <w:r>
          <w:rPr>
            <w:webHidden/>
          </w:rPr>
          <w:tab/>
        </w:r>
        <w:r>
          <w:rPr>
            <w:webHidden/>
          </w:rPr>
          <w:fldChar w:fldCharType="begin"/>
        </w:r>
        <w:r>
          <w:rPr>
            <w:webHidden/>
          </w:rPr>
          <w:instrText xml:space="preserve"> PAGEREF _Toc212100676 \h </w:instrText>
        </w:r>
        <w:r>
          <w:rPr>
            <w:webHidden/>
          </w:rPr>
        </w:r>
        <w:r>
          <w:rPr>
            <w:webHidden/>
          </w:rPr>
          <w:fldChar w:fldCharType="separate"/>
        </w:r>
        <w:r w:rsidR="008A31C7">
          <w:rPr>
            <w:webHidden/>
          </w:rPr>
          <w:t>43</w:t>
        </w:r>
        <w:r>
          <w:rPr>
            <w:webHidden/>
          </w:rPr>
          <w:fldChar w:fldCharType="end"/>
        </w:r>
      </w:hyperlink>
    </w:p>
    <w:p w14:paraId="7C9F224C" w14:textId="0F35A0BF" w:rsidR="00A07E33" w:rsidRDefault="00A07E33">
      <w:pPr>
        <w:pStyle w:val="TOC2"/>
        <w:rPr>
          <w:rFonts w:asciiTheme="minorHAnsi" w:eastAsiaTheme="minorEastAsia" w:hAnsiTheme="minorHAnsi" w:cstheme="minorBidi"/>
          <w:kern w:val="2"/>
          <w:sz w:val="24"/>
          <w14:ligatures w14:val="standardContextual"/>
        </w:rPr>
      </w:pPr>
      <w:hyperlink w:anchor="_Toc212100677" w:history="1">
        <w:r w:rsidRPr="00574747">
          <w:rPr>
            <w:rStyle w:val="Hyperlink"/>
            <w:lang w:val="en-GB"/>
          </w:rPr>
          <w:t>5.</w:t>
        </w:r>
        <w:r>
          <w:rPr>
            <w:rFonts w:asciiTheme="minorHAnsi" w:eastAsiaTheme="minorEastAsia" w:hAnsiTheme="minorHAnsi" w:cstheme="minorBidi"/>
            <w:kern w:val="2"/>
            <w:sz w:val="24"/>
            <w14:ligatures w14:val="standardContextual"/>
          </w:rPr>
          <w:tab/>
        </w:r>
        <w:r w:rsidRPr="00574747">
          <w:rPr>
            <w:rStyle w:val="Hyperlink"/>
            <w:lang w:val="en-GB"/>
          </w:rPr>
          <w:t>Capable Organisations</w:t>
        </w:r>
        <w:r>
          <w:rPr>
            <w:webHidden/>
          </w:rPr>
          <w:tab/>
        </w:r>
        <w:r>
          <w:rPr>
            <w:webHidden/>
          </w:rPr>
          <w:fldChar w:fldCharType="begin"/>
        </w:r>
        <w:r>
          <w:rPr>
            <w:webHidden/>
          </w:rPr>
          <w:instrText xml:space="preserve"> PAGEREF _Toc212100677 \h </w:instrText>
        </w:r>
        <w:r>
          <w:rPr>
            <w:webHidden/>
          </w:rPr>
        </w:r>
        <w:r>
          <w:rPr>
            <w:webHidden/>
          </w:rPr>
          <w:fldChar w:fldCharType="separate"/>
        </w:r>
        <w:r w:rsidR="008A31C7">
          <w:rPr>
            <w:webHidden/>
          </w:rPr>
          <w:t>51</w:t>
        </w:r>
        <w:r>
          <w:rPr>
            <w:webHidden/>
          </w:rPr>
          <w:fldChar w:fldCharType="end"/>
        </w:r>
      </w:hyperlink>
    </w:p>
    <w:p w14:paraId="7FF3A72E" w14:textId="05BC6142" w:rsidR="00A07E33" w:rsidRDefault="00A07E33">
      <w:pPr>
        <w:pStyle w:val="TOC1"/>
        <w:rPr>
          <w:rFonts w:asciiTheme="minorHAnsi" w:eastAsiaTheme="minorEastAsia" w:hAnsiTheme="minorHAnsi" w:cstheme="minorBidi"/>
          <w:noProof/>
          <w:kern w:val="2"/>
          <w:sz w:val="24"/>
          <w14:ligatures w14:val="standardContextual"/>
        </w:rPr>
      </w:pPr>
      <w:hyperlink w:anchor="_Toc212100678" w:history="1">
        <w:r w:rsidRPr="00574747">
          <w:rPr>
            <w:rStyle w:val="Hyperlink"/>
            <w:noProof/>
          </w:rPr>
          <w:t>Appendix – Performance and Quality Framework Indicators</w:t>
        </w:r>
        <w:r>
          <w:rPr>
            <w:noProof/>
            <w:webHidden/>
          </w:rPr>
          <w:tab/>
        </w:r>
        <w:r>
          <w:rPr>
            <w:noProof/>
            <w:webHidden/>
          </w:rPr>
          <w:fldChar w:fldCharType="begin"/>
        </w:r>
        <w:r>
          <w:rPr>
            <w:noProof/>
            <w:webHidden/>
          </w:rPr>
          <w:instrText xml:space="preserve"> PAGEREF _Toc212100678 \h </w:instrText>
        </w:r>
        <w:r>
          <w:rPr>
            <w:noProof/>
            <w:webHidden/>
          </w:rPr>
        </w:r>
        <w:r>
          <w:rPr>
            <w:noProof/>
            <w:webHidden/>
          </w:rPr>
          <w:fldChar w:fldCharType="separate"/>
        </w:r>
        <w:r w:rsidR="008A31C7">
          <w:rPr>
            <w:noProof/>
            <w:webHidden/>
          </w:rPr>
          <w:t>52</w:t>
        </w:r>
        <w:r>
          <w:rPr>
            <w:noProof/>
            <w:webHidden/>
          </w:rPr>
          <w:fldChar w:fldCharType="end"/>
        </w:r>
      </w:hyperlink>
    </w:p>
    <w:p w14:paraId="42B229FA" w14:textId="41618D5E" w:rsidR="00B76981" w:rsidRPr="003C37BE" w:rsidRDefault="00B76981" w:rsidP="00B76981">
      <w:pPr>
        <w:tabs>
          <w:tab w:val="left" w:pos="2016"/>
        </w:tabs>
        <w:rPr>
          <w:rFonts w:ascii="Helvetica" w:hAnsi="Helvetica" w:cs="Helvetica"/>
        </w:rPr>
      </w:pPr>
      <w:r>
        <w:rPr>
          <w:rFonts w:ascii="Helvetica" w:hAnsi="Helvetica" w:cs="Helvetica"/>
        </w:rPr>
        <w:fldChar w:fldCharType="end"/>
      </w:r>
    </w:p>
    <w:p w14:paraId="480124CD" w14:textId="77777777" w:rsidR="00B76981" w:rsidRPr="003C37BE" w:rsidRDefault="00B76981" w:rsidP="00B76981">
      <w:pPr>
        <w:tabs>
          <w:tab w:val="left" w:pos="2016"/>
        </w:tabs>
        <w:autoSpaceDE w:val="0"/>
        <w:autoSpaceDN w:val="0"/>
        <w:adjustRightInd w:val="0"/>
        <w:spacing w:after="160" w:line="259" w:lineRule="auto"/>
        <w:rPr>
          <w:rFonts w:ascii="Helvetica" w:hAnsi="Helvetica" w:cs="Helvetica"/>
        </w:rPr>
      </w:pPr>
      <w:r w:rsidRPr="003C37BE">
        <w:rPr>
          <w:rFonts w:ascii="Helvetica" w:hAnsi="Helvetica" w:cs="Helvetica"/>
        </w:rPr>
        <w:br w:type="page"/>
      </w:r>
    </w:p>
    <w:p w14:paraId="6EEDB18C" w14:textId="4DA42CCF" w:rsidR="00B76981" w:rsidRDefault="00B76981" w:rsidP="00B76981">
      <w:pPr>
        <w:pStyle w:val="Heading1"/>
        <w:tabs>
          <w:tab w:val="left" w:pos="2016"/>
        </w:tabs>
      </w:pPr>
      <w:bookmarkStart w:id="5" w:name="_Ref164867037"/>
      <w:bookmarkStart w:id="6" w:name="_Toc212100669"/>
      <w:r w:rsidRPr="00DE242A">
        <w:lastRenderedPageBreak/>
        <w:t>Executive Summary</w:t>
      </w:r>
      <w:bookmarkEnd w:id="5"/>
      <w:bookmarkEnd w:id="6"/>
    </w:p>
    <w:p w14:paraId="14C08C4B" w14:textId="39D2C408" w:rsidR="00000AE7" w:rsidRDefault="00B76981" w:rsidP="00B76981">
      <w:r>
        <w:t xml:space="preserve">A </w:t>
      </w:r>
      <w:r w:rsidRPr="00593895">
        <w:t xml:space="preserve">Primary Health Network </w:t>
      </w:r>
      <w:r>
        <w:t>(PHN) is an</w:t>
      </w:r>
      <w:r w:rsidRPr="00593895">
        <w:t xml:space="preserve"> independent organisation that </w:t>
      </w:r>
      <w:r>
        <w:t>is</w:t>
      </w:r>
      <w:r w:rsidRPr="00593895">
        <w:t xml:space="preserve"> fund</w:t>
      </w:r>
      <w:r>
        <w:t>ed</w:t>
      </w:r>
      <w:r w:rsidRPr="00593895">
        <w:t xml:space="preserve"> </w:t>
      </w:r>
      <w:r>
        <w:t xml:space="preserve">by the Australian Government </w:t>
      </w:r>
      <w:r w:rsidRPr="00593895">
        <w:t xml:space="preserve">to </w:t>
      </w:r>
      <w:r>
        <w:t>identify and address primary health care needs for their region</w:t>
      </w:r>
      <w:r w:rsidRPr="00593895">
        <w:t>.</w:t>
      </w:r>
      <w:r>
        <w:t xml:space="preserve"> Each of the 31 PHNs throughout Australia is unique in its approach to managing health services based on what is required by their communities, </w:t>
      </w:r>
      <w:r w:rsidRPr="007C104F">
        <w:rPr>
          <w:rFonts w:ascii="Helvetica" w:hAnsi="Helvetica" w:cs="Helvetica"/>
        </w:rPr>
        <w:t>in line with priority areas set by the Australian Government</w:t>
      </w:r>
      <w:r>
        <w:rPr>
          <w:rFonts w:ascii="Helvetica" w:hAnsi="Helvetica" w:cs="Helvetica"/>
        </w:rPr>
        <w:t xml:space="preserve"> for </w:t>
      </w:r>
      <w:r w:rsidRPr="00C835B7">
        <w:rPr>
          <w:rFonts w:ascii="Helvetica" w:hAnsi="Helvetica" w:cs="Helvetica"/>
        </w:rPr>
        <w:t>mental health</w:t>
      </w:r>
      <w:r>
        <w:rPr>
          <w:rFonts w:ascii="Helvetica" w:hAnsi="Helvetica" w:cs="Helvetica"/>
        </w:rPr>
        <w:t xml:space="preserve">, </w:t>
      </w:r>
      <w:r w:rsidRPr="00C835B7">
        <w:rPr>
          <w:rFonts w:ascii="Helvetica" w:hAnsi="Helvetica" w:cs="Helvetica"/>
        </w:rPr>
        <w:t>Aboriginal and Torres Strait Islander health</w:t>
      </w:r>
      <w:r>
        <w:rPr>
          <w:rFonts w:ascii="Helvetica" w:hAnsi="Helvetica" w:cs="Helvetica"/>
        </w:rPr>
        <w:t xml:space="preserve">, </w:t>
      </w:r>
      <w:r w:rsidRPr="00C835B7">
        <w:rPr>
          <w:rFonts w:ascii="Helvetica" w:hAnsi="Helvetica" w:cs="Helvetica"/>
        </w:rPr>
        <w:t>population health</w:t>
      </w:r>
      <w:r>
        <w:rPr>
          <w:rFonts w:ascii="Helvetica" w:hAnsi="Helvetica" w:cs="Helvetica"/>
        </w:rPr>
        <w:t xml:space="preserve">, </w:t>
      </w:r>
      <w:r w:rsidRPr="00C835B7">
        <w:rPr>
          <w:rFonts w:ascii="Helvetica" w:hAnsi="Helvetica" w:cs="Helvetica"/>
        </w:rPr>
        <w:t>health workforce</w:t>
      </w:r>
      <w:r>
        <w:rPr>
          <w:rFonts w:ascii="Helvetica" w:hAnsi="Helvetica" w:cs="Helvetica"/>
        </w:rPr>
        <w:t xml:space="preserve">, </w:t>
      </w:r>
      <w:r w:rsidRPr="00C835B7">
        <w:rPr>
          <w:rFonts w:ascii="Helvetica" w:hAnsi="Helvetica" w:cs="Helvetica"/>
        </w:rPr>
        <w:t>digital health</w:t>
      </w:r>
      <w:r>
        <w:rPr>
          <w:rFonts w:ascii="Helvetica" w:hAnsi="Helvetica" w:cs="Helvetica"/>
        </w:rPr>
        <w:t xml:space="preserve">, </w:t>
      </w:r>
      <w:r w:rsidRPr="00C835B7">
        <w:rPr>
          <w:rFonts w:ascii="Helvetica" w:hAnsi="Helvetica" w:cs="Helvetica"/>
        </w:rPr>
        <w:t>aged care</w:t>
      </w:r>
      <w:r>
        <w:rPr>
          <w:rFonts w:ascii="Helvetica" w:hAnsi="Helvetica" w:cs="Helvetica"/>
        </w:rPr>
        <w:t xml:space="preserve"> and </w:t>
      </w:r>
      <w:r w:rsidRPr="00C835B7">
        <w:rPr>
          <w:rFonts w:ascii="Helvetica" w:hAnsi="Helvetica" w:cs="Helvetica"/>
        </w:rPr>
        <w:t>alcohol and other drugs</w:t>
      </w:r>
      <w:r>
        <w:t xml:space="preserve">. PHN activities align with program objectives outlined in the </w:t>
      </w:r>
      <w:r>
        <w:rPr>
          <w:rFonts w:ascii="Helvetica" w:hAnsi="Helvetica" w:cs="Helvetica"/>
        </w:rPr>
        <w:t>PHN Program Performance and Quality Framework</w:t>
      </w:r>
      <w:r>
        <w:t>.</w:t>
      </w:r>
      <w:r>
        <w:rPr>
          <w:rStyle w:val="FootnoteReference"/>
          <w:rFonts w:ascii="Helvetica" w:hAnsi="Helvetica" w:cs="Helvetica"/>
        </w:rPr>
        <w:footnoteReference w:id="2"/>
      </w:r>
      <w:r>
        <w:t xml:space="preserve"> </w:t>
      </w:r>
      <w:r w:rsidR="00551756">
        <w:t>PHNs vary in geography, population, remoteness</w:t>
      </w:r>
      <w:r w:rsidR="008B67A4">
        <w:rPr>
          <w:rStyle w:val="FootnoteReference"/>
        </w:rPr>
        <w:footnoteReference w:id="3"/>
      </w:r>
      <w:r w:rsidR="00551756">
        <w:t xml:space="preserve"> and socio-economic </w:t>
      </w:r>
      <w:r w:rsidR="001A2BFC">
        <w:t>disadvantage</w:t>
      </w:r>
      <w:r w:rsidR="008B67A4">
        <w:t>.</w:t>
      </w:r>
      <w:r w:rsidR="00EB4836">
        <w:rPr>
          <w:rStyle w:val="FootnoteReference"/>
        </w:rPr>
        <w:footnoteReference w:id="4"/>
      </w:r>
      <w:r w:rsidR="00551756">
        <w:t xml:space="preserve"> </w:t>
      </w:r>
    </w:p>
    <w:p w14:paraId="409AE3D0" w14:textId="77777777" w:rsidR="00000AE7" w:rsidRDefault="00000AE7" w:rsidP="00B76981"/>
    <w:p w14:paraId="3B13063E" w14:textId="2C04A3DA" w:rsidR="00865745" w:rsidRDefault="00865745" w:rsidP="00865745">
      <w:pPr>
        <w:pStyle w:val="FigureTitle"/>
      </w:pPr>
      <w:r>
        <w:t>Figure 1: Map of Primary Health Network regions</w:t>
      </w:r>
    </w:p>
    <w:p w14:paraId="1D52931A" w14:textId="0FFADB68" w:rsidR="00876C1E" w:rsidRDefault="00876C1E" w:rsidP="00B76981">
      <w:r>
        <w:rPr>
          <w:noProof/>
        </w:rPr>
        <w:drawing>
          <wp:inline distT="0" distB="0" distL="0" distR="0" wp14:anchorId="3389B51F" wp14:editId="3618B3FB">
            <wp:extent cx="5753100" cy="4057650"/>
            <wp:effectExtent l="0" t="0" r="0" b="0"/>
            <wp:docPr id="417901661" name="Picture 1" descr="Figure 1: Map of Primary Health Network regions. A map of Australia showing PHN boundaries with call-outs showing boundaries for capital cities covered by more than one P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01661" name="Picture 1" descr="Figure 1: Map of Primary Health Network regions. A map of Australia showing PHN boundaries with call-outs showing boundaries for capital cities covered by more than one PH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inline>
        </w:drawing>
      </w:r>
    </w:p>
    <w:p w14:paraId="2281775D" w14:textId="6B7189C2" w:rsidR="00B76981" w:rsidRDefault="00B76981" w:rsidP="00B76981">
      <w:r>
        <w:lastRenderedPageBreak/>
        <w:t>Individual PHN performance is assessed every 12 months to ensure that each PHN is meeting the objectives of the PHN program and helping to improve health care across their regions. The annual performance report is a consolidated review of PHNs performance both individually and collectively,</w:t>
      </w:r>
      <w:r w:rsidR="008B67A4">
        <w:rPr>
          <w:rStyle w:val="FootnoteReference"/>
        </w:rPr>
        <w:footnoteReference w:id="5"/>
      </w:r>
      <w:r>
        <w:t xml:space="preserve"> </w:t>
      </w:r>
      <w:r w:rsidRPr="003C37BE">
        <w:rPr>
          <w:rFonts w:ascii="Helvetica" w:hAnsi="Helvetica" w:cs="Helvetica"/>
        </w:rPr>
        <w:t>evaluat</w:t>
      </w:r>
      <w:r>
        <w:rPr>
          <w:rFonts w:ascii="Helvetica" w:hAnsi="Helvetica" w:cs="Helvetica"/>
        </w:rPr>
        <w:t>ing</w:t>
      </w:r>
      <w:r w:rsidRPr="003C37BE">
        <w:rPr>
          <w:rFonts w:ascii="Helvetica" w:hAnsi="Helvetica" w:cs="Helvetica"/>
        </w:rPr>
        <w:t xml:space="preserve"> </w:t>
      </w:r>
      <w:r>
        <w:rPr>
          <w:rFonts w:ascii="Helvetica" w:hAnsi="Helvetica" w:cs="Helvetica"/>
        </w:rPr>
        <w:t>the</w:t>
      </w:r>
      <w:r w:rsidRPr="003C37BE">
        <w:rPr>
          <w:rFonts w:ascii="Helvetica" w:hAnsi="Helvetica" w:cs="Helvetica"/>
        </w:rPr>
        <w:t xml:space="preserve"> </w:t>
      </w:r>
      <w:r>
        <w:rPr>
          <w:rFonts w:ascii="Helvetica" w:hAnsi="Helvetica" w:cs="Helvetica"/>
        </w:rPr>
        <w:t xml:space="preserve">contribution of </w:t>
      </w:r>
      <w:r w:rsidRPr="003C37BE">
        <w:rPr>
          <w:rFonts w:ascii="Helvetica" w:hAnsi="Helvetica" w:cs="Helvetica"/>
        </w:rPr>
        <w:t xml:space="preserve">activities and functions delivered by PHNs towards achieving </w:t>
      </w:r>
      <w:r>
        <w:rPr>
          <w:rFonts w:ascii="Helvetica" w:hAnsi="Helvetica" w:cs="Helvetica"/>
        </w:rPr>
        <w:t>PHN</w:t>
      </w:r>
      <w:r w:rsidRPr="003C37BE">
        <w:rPr>
          <w:rFonts w:ascii="Helvetica" w:hAnsi="Helvetica" w:cs="Helvetica"/>
        </w:rPr>
        <w:t xml:space="preserve"> </w:t>
      </w:r>
      <w:r w:rsidRPr="00406B1E">
        <w:rPr>
          <w:rFonts w:ascii="Helvetica" w:hAnsi="Helvetica" w:cs="Helvetica"/>
        </w:rPr>
        <w:t>program objectives</w:t>
      </w:r>
      <w:r w:rsidRPr="003C37BE">
        <w:rPr>
          <w:rFonts w:ascii="Helvetica" w:hAnsi="Helvetica" w:cs="Helvetica"/>
        </w:rPr>
        <w:t>.</w:t>
      </w:r>
    </w:p>
    <w:p w14:paraId="5DE4BD19" w14:textId="491F50B4" w:rsidR="00B76981" w:rsidRDefault="00B76981" w:rsidP="00BB6EAA">
      <w:r>
        <w:t xml:space="preserve">This is the fifth PHN program annual performance report under the </w:t>
      </w:r>
      <w:r w:rsidR="00FC787E">
        <w:rPr>
          <w:rFonts w:ascii="Helvetica" w:hAnsi="Helvetica" w:cs="Helvetica"/>
        </w:rPr>
        <w:t>PHN Program Performance and Quality Framework</w:t>
      </w:r>
      <w:r>
        <w:t xml:space="preserve"> and contains information for the 2022–23 and 2023–24 reporting periods.</w:t>
      </w:r>
      <w:r w:rsidR="00AC6BAA">
        <w:rPr>
          <w:rStyle w:val="FootnoteReference"/>
          <w:rFonts w:ascii="Helvetica" w:hAnsi="Helvetica" w:cs="Helvetica"/>
        </w:rPr>
        <w:footnoteReference w:id="6"/>
      </w:r>
      <w:r>
        <w:t xml:space="preserve"> Both reporting periods have been included in this report to resolve the delayed publication of performance information and to address the recommendations of the </w:t>
      </w:r>
      <w:r w:rsidRPr="00B722B5">
        <w:t>A</w:t>
      </w:r>
      <w:r>
        <w:t xml:space="preserve">ustralian </w:t>
      </w:r>
      <w:r w:rsidRPr="00B722B5">
        <w:t>N</w:t>
      </w:r>
      <w:r>
        <w:t xml:space="preserve">ational </w:t>
      </w:r>
      <w:r w:rsidRPr="00B722B5">
        <w:t>A</w:t>
      </w:r>
      <w:r>
        <w:t xml:space="preserve">udit </w:t>
      </w:r>
      <w:r w:rsidRPr="00B722B5">
        <w:t>O</w:t>
      </w:r>
      <w:r>
        <w:t>ffice</w:t>
      </w:r>
      <w:r w:rsidRPr="00B722B5">
        <w:t xml:space="preserve"> </w:t>
      </w:r>
      <w:r>
        <w:t>in</w:t>
      </w:r>
      <w:r w:rsidRPr="00B722B5">
        <w:t xml:space="preserve"> the </w:t>
      </w:r>
      <w:r w:rsidRPr="00B13EF2">
        <w:rPr>
          <w:i/>
          <w:iCs/>
        </w:rPr>
        <w:t>Effectiveness of the Department of Health and Aged Care’s Performance Management of Primary Health Networks</w:t>
      </w:r>
      <w:r w:rsidRPr="00E731E5">
        <w:rPr>
          <w:rStyle w:val="FootnoteReference"/>
          <w:rFonts w:ascii="Helvetica" w:hAnsi="Helvetica" w:cs="Helvetica"/>
          <w:b/>
        </w:rPr>
        <w:footnoteReference w:id="7"/>
      </w:r>
      <w:r w:rsidRPr="00B722B5">
        <w:t xml:space="preserve"> </w:t>
      </w:r>
      <w:r w:rsidR="005524C0">
        <w:t xml:space="preserve">audit report </w:t>
      </w:r>
      <w:r w:rsidRPr="00B722B5">
        <w:t>regarding the timeliness of reporting</w:t>
      </w:r>
      <w:r>
        <w:t xml:space="preserve">. </w:t>
      </w:r>
    </w:p>
    <w:p w14:paraId="2B373E53" w14:textId="73A57983" w:rsidR="00B76981" w:rsidRDefault="00B76981" w:rsidP="00BB6EAA">
      <w:r>
        <w:t xml:space="preserve">This report </w:t>
      </w:r>
      <w:r w:rsidR="00F1301D">
        <w:t xml:space="preserve">is arranged around </w:t>
      </w:r>
      <w:r>
        <w:t>the five outcomes contained in the</w:t>
      </w:r>
      <w:r w:rsidR="00FC787E" w:rsidRPr="00FC787E">
        <w:rPr>
          <w:rFonts w:ascii="Helvetica" w:hAnsi="Helvetica" w:cs="Helvetica"/>
        </w:rPr>
        <w:t xml:space="preserve"> </w:t>
      </w:r>
      <w:r w:rsidR="00FC787E">
        <w:rPr>
          <w:rFonts w:ascii="Helvetica" w:hAnsi="Helvetica" w:cs="Helvetica"/>
        </w:rPr>
        <w:t>PHN Program Performance and Quality Framework</w:t>
      </w:r>
      <w:r>
        <w:t xml:space="preserve">: addressing needs, supporting quality care, improving access, coordinated care and capable organisations, </w:t>
      </w:r>
      <w:r w:rsidR="00C862E6">
        <w:t>for</w:t>
      </w:r>
      <w:r>
        <w:t xml:space="preserve"> all current performance indicators.</w:t>
      </w:r>
      <w:r>
        <w:rPr>
          <w:rStyle w:val="FootnoteReference"/>
          <w:rFonts w:ascii="Helvetica" w:hAnsi="Helvetica" w:cs="Helvetica"/>
        </w:rPr>
        <w:footnoteReference w:id="8"/>
      </w:r>
      <w:r>
        <w:t xml:space="preserve"> </w:t>
      </w:r>
    </w:p>
    <w:p w14:paraId="05578088" w14:textId="325D6A42" w:rsidR="00857E95" w:rsidRDefault="00B76981" w:rsidP="00BB6EAA">
      <w:r>
        <w:t xml:space="preserve">Performance information for individual PHNs has been introduced in this report in accordance with the recommendation of the </w:t>
      </w:r>
      <w:r w:rsidR="00FC787E" w:rsidRPr="00B722B5">
        <w:t>A</w:t>
      </w:r>
      <w:r w:rsidR="00FC787E">
        <w:t xml:space="preserve">ustralian </w:t>
      </w:r>
      <w:r w:rsidR="00FC787E" w:rsidRPr="00B722B5">
        <w:t>N</w:t>
      </w:r>
      <w:r w:rsidR="00FC787E">
        <w:t xml:space="preserve">ational </w:t>
      </w:r>
      <w:r w:rsidR="00FC787E" w:rsidRPr="00B722B5">
        <w:t>A</w:t>
      </w:r>
      <w:r w:rsidR="00FC787E">
        <w:t xml:space="preserve">udit </w:t>
      </w:r>
      <w:r w:rsidR="00FC787E" w:rsidRPr="00B722B5">
        <w:t>O</w:t>
      </w:r>
      <w:r w:rsidR="00FC787E">
        <w:t xml:space="preserve">ffice </w:t>
      </w:r>
      <w:r w:rsidR="007E067C">
        <w:t xml:space="preserve">(ANAO) </w:t>
      </w:r>
      <w:r>
        <w:t>that the department ‘</w:t>
      </w:r>
      <w:r w:rsidRPr="00C51A80">
        <w:t>publish individual PHNs’ performance data and analysis in annual reports</w:t>
      </w:r>
      <w:r>
        <w:t>’.</w:t>
      </w:r>
      <w:r>
        <w:rPr>
          <w:rStyle w:val="FootnoteReference"/>
          <w:rFonts w:ascii="Helvetica" w:hAnsi="Helvetica" w:cs="Helvetica"/>
        </w:rPr>
        <w:footnoteReference w:id="9"/>
      </w:r>
      <w:r>
        <w:t xml:space="preserve"> Individual reporting has been included to highlight </w:t>
      </w:r>
      <w:r w:rsidR="00C862E6">
        <w:t>high performance</w:t>
      </w:r>
      <w:r>
        <w:t xml:space="preserve"> and identify areas for development, with the intention for PHNs to benefit from comparative analysis of performance.</w:t>
      </w:r>
      <w:r w:rsidR="00857E95">
        <w:t xml:space="preserve"> </w:t>
      </w:r>
      <w:r w:rsidR="00C862E6">
        <w:t>F</w:t>
      </w:r>
      <w:r>
        <w:t xml:space="preserve">inancial </w:t>
      </w:r>
      <w:r w:rsidR="00C862E6">
        <w:t>information</w:t>
      </w:r>
      <w:r>
        <w:t xml:space="preserve"> for the PHN program for the 2022–23 and 2023–24 financial years is also included in this report.</w:t>
      </w:r>
    </w:p>
    <w:p w14:paraId="20F6DB7B" w14:textId="3942441F" w:rsidR="00B76981" w:rsidRDefault="007E067C" w:rsidP="00BB6EAA">
      <w:r>
        <w:t xml:space="preserve">Another component of the department’s response to the ANAO audit </w:t>
      </w:r>
      <w:r w:rsidR="000526D1">
        <w:t xml:space="preserve">is the development of the new Performance Measurement and Reporting Framework. This Framework will be progressively introduced from the </w:t>
      </w:r>
      <w:r w:rsidR="000D6E12">
        <w:t>2024-25 Annual Report</w:t>
      </w:r>
      <w:r w:rsidR="00D70223">
        <w:t xml:space="preserve"> and incorporates a greater emphasis on </w:t>
      </w:r>
      <w:r w:rsidR="000651D9">
        <w:t xml:space="preserve">outcome measures and a greater range of stakeholder input. </w:t>
      </w:r>
      <w:r w:rsidR="00B76981">
        <w:t xml:space="preserve"> </w:t>
      </w:r>
    </w:p>
    <w:p w14:paraId="42A30B9D" w14:textId="77777777" w:rsidR="008D7104" w:rsidRDefault="00634186" w:rsidP="00BB6EAA">
      <w:r>
        <w:t>F</w:t>
      </w:r>
      <w:r w:rsidR="00CC46E2">
        <w:t xml:space="preserve">actors affecting the PHN operating environment and broader healthcare landscape can influence performance and the achievement of outcomes. </w:t>
      </w:r>
      <w:r>
        <w:t>Major environmental events</w:t>
      </w:r>
      <w:r w:rsidR="00EB616D">
        <w:t>, such as bushfires and floods,</w:t>
      </w:r>
      <w:r>
        <w:t xml:space="preserve"> can divert PHN resources to local emergency support in affected communities. </w:t>
      </w:r>
      <w:r w:rsidR="00EB616D">
        <w:t xml:space="preserve">During the two reporting periods there were </w:t>
      </w:r>
      <w:r w:rsidR="00C862E6">
        <w:t>several</w:t>
      </w:r>
      <w:r w:rsidR="00EB616D">
        <w:t xml:space="preserve"> events that required mobilisation of PHNs to provide local assistance</w:t>
      </w:r>
      <w:r w:rsidR="00D762D4">
        <w:t xml:space="preserve"> for such events</w:t>
      </w:r>
      <w:r w:rsidR="00EB616D">
        <w:t>.</w:t>
      </w:r>
      <w:r w:rsidR="001D5B6B">
        <w:t xml:space="preserve"> </w:t>
      </w:r>
    </w:p>
    <w:p w14:paraId="4624CF69" w14:textId="39AAAA27" w:rsidR="00AC2262" w:rsidRPr="00AC2262" w:rsidRDefault="00AC6BAA" w:rsidP="00BB6EAA">
      <w:r>
        <w:lastRenderedPageBreak/>
        <w:t xml:space="preserve">While the </w:t>
      </w:r>
      <w:r w:rsidRPr="001D5B6B">
        <w:t xml:space="preserve">COVID-19 </w:t>
      </w:r>
      <w:r>
        <w:t>emergency response ended early in the 2023–24 reporting period,</w:t>
      </w:r>
      <w:r>
        <w:rPr>
          <w:rStyle w:val="FootnoteReference"/>
        </w:rPr>
        <w:footnoteReference w:id="10"/>
      </w:r>
      <w:r>
        <w:t xml:space="preserve"> ongoing adjustment</w:t>
      </w:r>
      <w:r w:rsidR="00B878B0">
        <w:t>s</w:t>
      </w:r>
      <w:r>
        <w:t xml:space="preserve"> to a post-COVID-19 healthcare environment have remained. </w:t>
      </w:r>
      <w:r w:rsidR="008A3594">
        <w:t>Th</w:t>
      </w:r>
      <w:r w:rsidR="00790EB2">
        <w:t>is</w:t>
      </w:r>
      <w:r w:rsidR="008A3594">
        <w:t xml:space="preserve"> </w:t>
      </w:r>
      <w:r w:rsidR="00790EB2">
        <w:t xml:space="preserve">has included </w:t>
      </w:r>
      <w:r w:rsidR="008A3594">
        <w:t>primary health care sector</w:t>
      </w:r>
      <w:r w:rsidR="00790EB2">
        <w:t xml:space="preserve"> responses to</w:t>
      </w:r>
      <w:r w:rsidR="008A3594">
        <w:t xml:space="preserve"> </w:t>
      </w:r>
      <w:r w:rsidR="004E4EAF" w:rsidRPr="004E4EAF">
        <w:t>t</w:t>
      </w:r>
      <w:r w:rsidR="008D7104" w:rsidRPr="004E4EAF">
        <w:t>he Japanese Encephalitis Virus and</w:t>
      </w:r>
      <w:r w:rsidR="00AC2262" w:rsidRPr="004E4EAF">
        <w:rPr>
          <w:rFonts w:ascii="Segoe UI" w:hAnsi="Segoe UI" w:cs="Segoe UI"/>
          <w:color w:val="auto"/>
          <w:sz w:val="18"/>
          <w:szCs w:val="18"/>
          <w:lang w:eastAsia="en-AU"/>
        </w:rPr>
        <w:t xml:space="preserve"> </w:t>
      </w:r>
      <w:r w:rsidR="00AC2262" w:rsidRPr="004E4EAF">
        <w:t>the inclusion of the shingles vaccine on the National Immunisation Program for older Australians</w:t>
      </w:r>
      <w:r w:rsidR="00B13EF2" w:rsidRPr="004E4EAF">
        <w:t>,</w:t>
      </w:r>
      <w:r w:rsidR="00790EB2" w:rsidRPr="004E4EAF">
        <w:t xml:space="preserve"> which created</w:t>
      </w:r>
      <w:r w:rsidR="00AC2262" w:rsidRPr="004E4EAF">
        <w:t xml:space="preserve"> increased </w:t>
      </w:r>
      <w:r w:rsidR="00B13EF2" w:rsidRPr="004E4EAF">
        <w:t xml:space="preserve">general </w:t>
      </w:r>
      <w:r w:rsidR="00AC2262" w:rsidRPr="004E4EAF">
        <w:t>demand for the vaccine.</w:t>
      </w:r>
      <w:r w:rsidR="00AC2262">
        <w:t xml:space="preserve"> </w:t>
      </w:r>
    </w:p>
    <w:p w14:paraId="4DF000C0" w14:textId="1D3FE8DB" w:rsidR="00EB616D" w:rsidRDefault="00AC6BAA" w:rsidP="00BB6EAA">
      <w:r>
        <w:t>More broadly, th</w:t>
      </w:r>
      <w:r w:rsidR="00EB616D">
        <w:t xml:space="preserve">e primary health care sector </w:t>
      </w:r>
      <w:r w:rsidR="00D762D4">
        <w:t>is</w:t>
      </w:r>
      <w:r w:rsidR="00EB616D">
        <w:t xml:space="preserve"> undergoing significant review and reform. This includes</w:t>
      </w:r>
      <w:r w:rsidR="00E13A3C">
        <w:t xml:space="preserve"> through</w:t>
      </w:r>
      <w:r w:rsidR="00EB616D">
        <w:t xml:space="preserve"> the introduction of initiatives such as Medicare Urgent Care Clinics and MyMedicare, </w:t>
      </w:r>
      <w:r w:rsidR="00D762D4">
        <w:t xml:space="preserve">as well as </w:t>
      </w:r>
      <w:r w:rsidR="00EB616D">
        <w:t>changes to bulk billing incentives</w:t>
      </w:r>
      <w:r w:rsidR="00D762D4">
        <w:t>.</w:t>
      </w:r>
      <w:r w:rsidR="004B1EFE">
        <w:rPr>
          <w:rStyle w:val="FootnoteReference"/>
        </w:rPr>
        <w:footnoteReference w:id="11"/>
      </w:r>
      <w:r w:rsidR="00D762D4">
        <w:t xml:space="preserve"> </w:t>
      </w:r>
      <w:r w:rsidR="004B1EFE">
        <w:t>Significant r</w:t>
      </w:r>
      <w:r w:rsidR="00D762D4">
        <w:t xml:space="preserve">eviews </w:t>
      </w:r>
      <w:r w:rsidR="004B1EFE" w:rsidRPr="004B1EFE">
        <w:t xml:space="preserve">to strengthen Australia’s primary </w:t>
      </w:r>
      <w:r w:rsidR="004B1EFE">
        <w:t xml:space="preserve">health </w:t>
      </w:r>
      <w:r w:rsidR="004B1EFE" w:rsidRPr="004B1EFE">
        <w:t>care system and health workforce</w:t>
      </w:r>
      <w:r w:rsidR="004B1EFE">
        <w:t xml:space="preserve"> </w:t>
      </w:r>
      <w:r w:rsidR="004B1EFE" w:rsidRPr="004B1EFE">
        <w:t xml:space="preserve"> </w:t>
      </w:r>
      <w:r w:rsidR="004B1EFE">
        <w:t>have been completed</w:t>
      </w:r>
      <w:r w:rsidR="00404ED5">
        <w:t xml:space="preserve"> and</w:t>
      </w:r>
      <w:r w:rsidR="004B1EFE">
        <w:t xml:space="preserve"> work</w:t>
      </w:r>
      <w:r w:rsidR="00404ED5">
        <w:t xml:space="preserve"> is</w:t>
      </w:r>
      <w:r w:rsidR="004B1EFE">
        <w:t xml:space="preserve"> underway to implement findings and </w:t>
      </w:r>
      <w:r w:rsidR="004B1EFE" w:rsidRPr="004B1EFE">
        <w:t>recommendations</w:t>
      </w:r>
      <w:r w:rsidR="00D762D4">
        <w:t>.</w:t>
      </w:r>
      <w:r w:rsidR="004B1EFE">
        <w:rPr>
          <w:rStyle w:val="FootnoteReference"/>
        </w:rPr>
        <w:footnoteReference w:id="12"/>
      </w:r>
      <w:r w:rsidR="00D762D4">
        <w:t xml:space="preserve"> </w:t>
      </w:r>
      <w:r w:rsidR="00EB4836">
        <w:t xml:space="preserve">The ongoing response to the </w:t>
      </w:r>
      <w:r w:rsidR="00EB4836" w:rsidRPr="00EB4836">
        <w:t>Royal Commission into Aged Care Quality and Safety</w:t>
      </w:r>
      <w:r w:rsidR="00AC2262">
        <w:t>,</w:t>
      </w:r>
      <w:r w:rsidR="004B1EFE">
        <w:rPr>
          <w:rStyle w:val="FootnoteReference"/>
        </w:rPr>
        <w:footnoteReference w:id="13"/>
      </w:r>
      <w:r w:rsidR="00AC2262">
        <w:t xml:space="preserve"> the introduction of the </w:t>
      </w:r>
      <w:r w:rsidR="00AC2262" w:rsidRPr="00292BEF">
        <w:rPr>
          <w:i/>
          <w:iCs/>
        </w:rPr>
        <w:t>Aged Care Act 2024</w:t>
      </w:r>
      <w:r w:rsidR="00AC2262">
        <w:t xml:space="preserve"> </w:t>
      </w:r>
      <w:r w:rsidR="00292BEF">
        <w:t>(</w:t>
      </w:r>
      <w:proofErr w:type="spellStart"/>
      <w:r w:rsidR="00292BEF">
        <w:t>Cth</w:t>
      </w:r>
      <w:proofErr w:type="spellEnd"/>
      <w:r w:rsidR="00292BEF">
        <w:t xml:space="preserve">) </w:t>
      </w:r>
      <w:r w:rsidR="00AC2262">
        <w:t>and other aged care reforms</w:t>
      </w:r>
      <w:r w:rsidR="00EB4836">
        <w:t xml:space="preserve"> also influences</w:t>
      </w:r>
      <w:r w:rsidR="00E13A3C">
        <w:t xml:space="preserve"> priorities and</w:t>
      </w:r>
      <w:r w:rsidR="00EB4836">
        <w:t xml:space="preserve"> the delivery of services. </w:t>
      </w:r>
    </w:p>
    <w:p w14:paraId="7E1787F5" w14:textId="647D9068" w:rsidR="00AC6BAA" w:rsidRDefault="00AC6BAA">
      <w:pPr>
        <w:spacing w:before="0" w:after="0" w:line="240" w:lineRule="auto"/>
        <w:rPr>
          <w:rFonts w:ascii="Helvetica" w:hAnsi="Helvetica" w:cs="Helvetica"/>
        </w:rPr>
      </w:pPr>
      <w:r>
        <w:rPr>
          <w:rFonts w:ascii="Helvetica" w:hAnsi="Helvetica" w:cs="Helvetica"/>
        </w:rPr>
        <w:br w:type="page"/>
      </w:r>
    </w:p>
    <w:p w14:paraId="5C20A4A5" w14:textId="5D7CF73B" w:rsidR="00B76981" w:rsidRDefault="00B76981" w:rsidP="00B76981">
      <w:pPr>
        <w:pStyle w:val="Heading1"/>
      </w:pPr>
      <w:bookmarkStart w:id="7" w:name="_Toc212100670"/>
      <w:r>
        <w:lastRenderedPageBreak/>
        <w:t>Highlights</w:t>
      </w:r>
      <w:bookmarkEnd w:id="7"/>
    </w:p>
    <w:p w14:paraId="6B5931BE" w14:textId="151D0869" w:rsidR="00B76981" w:rsidRDefault="00B76981" w:rsidP="00B7698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ighlights"/>
        <w:tblDescription w:val="A table containing 6 reporting highlights with accompanying themed decorative graphics."/>
      </w:tblPr>
      <w:tblGrid>
        <w:gridCol w:w="3107"/>
        <w:gridCol w:w="2995"/>
        <w:gridCol w:w="2968"/>
      </w:tblGrid>
      <w:tr w:rsidR="003630EC" w14:paraId="1D6F5DA4" w14:textId="77777777" w:rsidTr="00C36E1B">
        <w:trPr>
          <w:trHeight w:val="3022"/>
        </w:trPr>
        <w:tc>
          <w:tcPr>
            <w:tcW w:w="3020" w:type="dxa"/>
            <w:vAlign w:val="center"/>
          </w:tcPr>
          <w:p w14:paraId="0711563B" w14:textId="7CC27101" w:rsidR="00F55667" w:rsidRPr="00C36E1B" w:rsidRDefault="00F55667" w:rsidP="009164EE">
            <w:pPr>
              <w:pStyle w:val="Subtitle"/>
              <w:jc w:val="center"/>
              <w:rPr>
                <w:color w:val="00727D"/>
                <w:sz w:val="24"/>
              </w:rPr>
            </w:pPr>
            <w:r w:rsidRPr="00C36E1B">
              <w:rPr>
                <w:b/>
                <w:bCs/>
                <w:color w:val="00727D"/>
                <w:sz w:val="28"/>
                <w:szCs w:val="28"/>
              </w:rPr>
              <w:t>234%</w:t>
            </w:r>
            <w:r w:rsidR="00212AF5" w:rsidRPr="00C36E1B">
              <w:rPr>
                <w:b/>
                <w:bCs/>
                <w:color w:val="00727D"/>
                <w:sz w:val="28"/>
                <w:szCs w:val="28"/>
              </w:rPr>
              <w:t xml:space="preserve"> </w:t>
            </w:r>
            <w:r w:rsidRPr="00C36E1B">
              <w:rPr>
                <w:b/>
                <w:bCs/>
                <w:color w:val="00727D"/>
                <w:sz w:val="28"/>
                <w:szCs w:val="28"/>
              </w:rPr>
              <w:t xml:space="preserve">increase in My Health Record cross views </w:t>
            </w:r>
            <w:r w:rsidR="006F08AA" w:rsidRPr="00C36E1B">
              <w:rPr>
                <w:b/>
                <w:bCs/>
                <w:color w:val="00727D"/>
                <w:sz w:val="28"/>
                <w:szCs w:val="28"/>
              </w:rPr>
              <w:t xml:space="preserve">by general practices </w:t>
            </w:r>
            <w:r w:rsidRPr="00C36E1B">
              <w:rPr>
                <w:b/>
                <w:bCs/>
                <w:color w:val="00727D"/>
                <w:sz w:val="28"/>
                <w:szCs w:val="28"/>
              </w:rPr>
              <w:t>since the 2021–22 annual report</w:t>
            </w:r>
          </w:p>
        </w:tc>
        <w:tc>
          <w:tcPr>
            <w:tcW w:w="3020" w:type="dxa"/>
            <w:vAlign w:val="center"/>
          </w:tcPr>
          <w:p w14:paraId="3F25C17E" w14:textId="572D46B6" w:rsidR="00F55667" w:rsidRDefault="00417298" w:rsidP="00391286">
            <w:pPr>
              <w:jc w:val="center"/>
            </w:pPr>
            <w:r>
              <w:rPr>
                <w:noProof/>
              </w:rPr>
              <w:drawing>
                <wp:inline distT="0" distB="0" distL="0" distR="0" wp14:anchorId="7EFEA674" wp14:editId="67B7F131">
                  <wp:extent cx="1620000" cy="1620000"/>
                  <wp:effectExtent l="0" t="0" r="0" b="0"/>
                  <wp:docPr id="17736189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18979"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620000" cy="1620000"/>
                          </a:xfrm>
                          <a:prstGeom prst="rect">
                            <a:avLst/>
                          </a:prstGeom>
                        </pic:spPr>
                      </pic:pic>
                    </a:graphicData>
                  </a:graphic>
                </wp:inline>
              </w:drawing>
            </w:r>
          </w:p>
        </w:tc>
        <w:tc>
          <w:tcPr>
            <w:tcW w:w="3020" w:type="dxa"/>
            <w:vAlign w:val="center"/>
          </w:tcPr>
          <w:p w14:paraId="267CD11F" w14:textId="3CC11F1B" w:rsidR="00F5551A" w:rsidRPr="00F5551A" w:rsidRDefault="00134B84" w:rsidP="00391286">
            <w:pPr>
              <w:pStyle w:val="Subtitle"/>
              <w:jc w:val="center"/>
              <w:rPr>
                <w:b/>
                <w:bCs/>
                <w:sz w:val="28"/>
                <w:szCs w:val="28"/>
              </w:rPr>
            </w:pPr>
            <w:r>
              <w:rPr>
                <w:b/>
                <w:bCs/>
                <w:color w:val="00727D"/>
                <w:sz w:val="28"/>
                <w:szCs w:val="28"/>
              </w:rPr>
              <w:t xml:space="preserve">In 2023–24, </w:t>
            </w:r>
            <w:r w:rsidR="00F5551A" w:rsidRPr="00C36E1B">
              <w:rPr>
                <w:b/>
                <w:bCs/>
                <w:color w:val="00727D"/>
                <w:sz w:val="28"/>
                <w:szCs w:val="28"/>
              </w:rPr>
              <w:t>27.2%</w:t>
            </w:r>
            <w:r w:rsidR="00F5551A" w:rsidRPr="00A60914">
              <w:rPr>
                <w:b/>
                <w:bCs/>
                <w:color w:val="00727D"/>
                <w:sz w:val="28"/>
                <w:szCs w:val="28"/>
              </w:rPr>
              <w:t xml:space="preserve"> </w:t>
            </w:r>
            <w:r w:rsidR="00F5551A" w:rsidRPr="00C36E1B">
              <w:rPr>
                <w:b/>
                <w:bCs/>
                <w:color w:val="00727D"/>
                <w:sz w:val="28"/>
                <w:szCs w:val="28"/>
              </w:rPr>
              <w:t>of Aboriginal and Torres Strait Islander people in regional areas received a health assessment</w:t>
            </w:r>
          </w:p>
        </w:tc>
      </w:tr>
      <w:tr w:rsidR="003630EC" w14:paraId="7DC7A7B4" w14:textId="77777777" w:rsidTr="00C36E1B">
        <w:trPr>
          <w:trHeight w:val="3022"/>
        </w:trPr>
        <w:tc>
          <w:tcPr>
            <w:tcW w:w="3020" w:type="dxa"/>
            <w:vAlign w:val="center"/>
          </w:tcPr>
          <w:p w14:paraId="54682C13" w14:textId="1A066912" w:rsidR="00F55667" w:rsidRDefault="00735D43" w:rsidP="00391286">
            <w:pPr>
              <w:jc w:val="center"/>
            </w:pPr>
            <w:r>
              <w:rPr>
                <w:noProof/>
              </w:rPr>
              <w:drawing>
                <wp:inline distT="0" distB="0" distL="0" distR="0" wp14:anchorId="02F990B7" wp14:editId="16ACDBDD">
                  <wp:extent cx="1836000" cy="1622933"/>
                  <wp:effectExtent l="0" t="0" r="0" b="0"/>
                  <wp:docPr id="15256983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98328"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1836000" cy="1622933"/>
                          </a:xfrm>
                          <a:prstGeom prst="rect">
                            <a:avLst/>
                          </a:prstGeom>
                        </pic:spPr>
                      </pic:pic>
                    </a:graphicData>
                  </a:graphic>
                </wp:inline>
              </w:drawing>
            </w:r>
          </w:p>
        </w:tc>
        <w:tc>
          <w:tcPr>
            <w:tcW w:w="3020" w:type="dxa"/>
            <w:vAlign w:val="center"/>
          </w:tcPr>
          <w:p w14:paraId="3B6FCA64" w14:textId="3E917021" w:rsidR="00F55667" w:rsidRPr="00C36E1B" w:rsidRDefault="00F5551A" w:rsidP="00A60914">
            <w:pPr>
              <w:pStyle w:val="Heading5"/>
              <w:spacing w:before="120"/>
              <w:jc w:val="center"/>
              <w:rPr>
                <w:color w:val="153A63"/>
                <w:sz w:val="28"/>
                <w:szCs w:val="28"/>
              </w:rPr>
            </w:pPr>
            <w:r w:rsidRPr="00C36E1B">
              <w:rPr>
                <w:color w:val="153A63"/>
                <w:sz w:val="28"/>
                <w:szCs w:val="28"/>
              </w:rPr>
              <w:t>148%</w:t>
            </w:r>
            <w:r w:rsidR="00B13EF2">
              <w:rPr>
                <w:color w:val="153A63"/>
                <w:sz w:val="28"/>
                <w:szCs w:val="28"/>
              </w:rPr>
              <w:t xml:space="preserve"> </w:t>
            </w:r>
            <w:r w:rsidRPr="00C36E1B">
              <w:rPr>
                <w:color w:val="153A63"/>
                <w:sz w:val="28"/>
                <w:szCs w:val="28"/>
              </w:rPr>
              <w:t>increase in My Health Record cross views by pharmacies since the 2021–22 annual report</w:t>
            </w:r>
          </w:p>
        </w:tc>
        <w:tc>
          <w:tcPr>
            <w:tcW w:w="3020" w:type="dxa"/>
            <w:vAlign w:val="center"/>
          </w:tcPr>
          <w:p w14:paraId="4AB430F9" w14:textId="2DAD97BF" w:rsidR="00F55667" w:rsidRDefault="003630EC" w:rsidP="00391286">
            <w:pPr>
              <w:jc w:val="center"/>
            </w:pPr>
            <w:r>
              <w:rPr>
                <w:noProof/>
              </w:rPr>
              <w:drawing>
                <wp:inline distT="0" distB="0" distL="0" distR="0" wp14:anchorId="77A34038" wp14:editId="007B78D1">
                  <wp:extent cx="1440000" cy="1440000"/>
                  <wp:effectExtent l="0" t="0" r="8255" b="8255"/>
                  <wp:docPr id="17373630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63018"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1440000" cy="1440000"/>
                          </a:xfrm>
                          <a:prstGeom prst="rect">
                            <a:avLst/>
                          </a:prstGeom>
                        </pic:spPr>
                      </pic:pic>
                    </a:graphicData>
                  </a:graphic>
                </wp:inline>
              </w:drawing>
            </w:r>
          </w:p>
        </w:tc>
      </w:tr>
      <w:tr w:rsidR="003630EC" w14:paraId="3F9DBB8E" w14:textId="77777777" w:rsidTr="00C36E1B">
        <w:trPr>
          <w:trHeight w:val="3022"/>
        </w:trPr>
        <w:tc>
          <w:tcPr>
            <w:tcW w:w="3020" w:type="dxa"/>
            <w:vAlign w:val="center"/>
          </w:tcPr>
          <w:p w14:paraId="6F79B021" w14:textId="47A505F6" w:rsidR="004B347E" w:rsidRPr="004B347E" w:rsidRDefault="004B347E" w:rsidP="00A60914">
            <w:pPr>
              <w:pStyle w:val="Subtitle"/>
              <w:jc w:val="center"/>
            </w:pPr>
            <w:r w:rsidRPr="00A60914">
              <w:rPr>
                <w:b/>
                <w:bCs/>
                <w:color w:val="00727D"/>
                <w:sz w:val="28"/>
                <w:szCs w:val="28"/>
              </w:rPr>
              <w:t>In 2023–24, all PHN commissioned alcohol and other drug service providers were accredited and actively delivering services</w:t>
            </w:r>
          </w:p>
        </w:tc>
        <w:tc>
          <w:tcPr>
            <w:tcW w:w="3020" w:type="dxa"/>
            <w:vAlign w:val="center"/>
          </w:tcPr>
          <w:p w14:paraId="2A66D90D" w14:textId="0A9799B4" w:rsidR="00F55667" w:rsidRDefault="0083236F" w:rsidP="0083236F">
            <w:pPr>
              <w:pStyle w:val="Subtitle"/>
              <w:jc w:val="center"/>
            </w:pPr>
            <w:r>
              <w:rPr>
                <w:noProof/>
              </w:rPr>
              <w:drawing>
                <wp:inline distT="0" distB="0" distL="0" distR="0" wp14:anchorId="74F034D3" wp14:editId="1BD6A100">
                  <wp:extent cx="1476000" cy="1476000"/>
                  <wp:effectExtent l="0" t="0" r="0" b="0"/>
                  <wp:docPr id="18431019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01937"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1476000" cy="1476000"/>
                          </a:xfrm>
                          <a:prstGeom prst="rect">
                            <a:avLst/>
                          </a:prstGeom>
                        </pic:spPr>
                      </pic:pic>
                    </a:graphicData>
                  </a:graphic>
                </wp:inline>
              </w:drawing>
            </w:r>
          </w:p>
        </w:tc>
        <w:tc>
          <w:tcPr>
            <w:tcW w:w="3020" w:type="dxa"/>
            <w:vAlign w:val="center"/>
          </w:tcPr>
          <w:p w14:paraId="46A19353" w14:textId="7142AAD8" w:rsidR="00F55667" w:rsidRPr="00212AF5" w:rsidRDefault="00134B84" w:rsidP="00391286">
            <w:pPr>
              <w:pStyle w:val="Subtitle"/>
              <w:jc w:val="center"/>
              <w:rPr>
                <w:sz w:val="28"/>
                <w:szCs w:val="28"/>
              </w:rPr>
            </w:pPr>
            <w:r>
              <w:rPr>
                <w:b/>
                <w:bCs/>
                <w:color w:val="00727D"/>
                <w:sz w:val="28"/>
                <w:szCs w:val="28"/>
              </w:rPr>
              <w:t>I</w:t>
            </w:r>
            <w:r w:rsidR="00F5551A" w:rsidRPr="00C36E1B">
              <w:rPr>
                <w:b/>
                <w:bCs/>
                <w:color w:val="00727D"/>
                <w:sz w:val="28"/>
                <w:szCs w:val="28"/>
              </w:rPr>
              <w:t xml:space="preserve">ncrease in delivery of culturally </w:t>
            </w:r>
            <w:r w:rsidR="009164EE" w:rsidRPr="00C36E1B">
              <w:rPr>
                <w:b/>
                <w:bCs/>
                <w:color w:val="00727D"/>
                <w:sz w:val="28"/>
                <w:szCs w:val="28"/>
              </w:rPr>
              <w:t>safe</w:t>
            </w:r>
            <w:r w:rsidR="00F5551A" w:rsidRPr="00C36E1B">
              <w:rPr>
                <w:b/>
                <w:bCs/>
                <w:color w:val="00727D"/>
                <w:sz w:val="28"/>
                <w:szCs w:val="28"/>
              </w:rPr>
              <w:t xml:space="preserve"> mental health, alcohol and other drugs and mainstream primary health care services</w:t>
            </w:r>
          </w:p>
        </w:tc>
      </w:tr>
      <w:tr w:rsidR="003630EC" w14:paraId="179E9F2C" w14:textId="77777777" w:rsidTr="00C36E1B">
        <w:trPr>
          <w:trHeight w:val="3022"/>
        </w:trPr>
        <w:tc>
          <w:tcPr>
            <w:tcW w:w="3020" w:type="dxa"/>
            <w:vAlign w:val="center"/>
          </w:tcPr>
          <w:p w14:paraId="21311FB6" w14:textId="279393C7" w:rsidR="00F55667" w:rsidRDefault="004B347E" w:rsidP="00391286">
            <w:pPr>
              <w:jc w:val="center"/>
            </w:pPr>
            <w:r>
              <w:rPr>
                <w:noProof/>
              </w:rPr>
              <w:drawing>
                <wp:inline distT="0" distB="0" distL="0" distR="0" wp14:anchorId="63990BF0" wp14:editId="13EB43E3">
                  <wp:extent cx="1620000" cy="1620000"/>
                  <wp:effectExtent l="0" t="0" r="0" b="0"/>
                  <wp:docPr id="11156541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54195"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1620000" cy="1620000"/>
                          </a:xfrm>
                          <a:prstGeom prst="rect">
                            <a:avLst/>
                          </a:prstGeom>
                        </pic:spPr>
                      </pic:pic>
                    </a:graphicData>
                  </a:graphic>
                </wp:inline>
              </w:drawing>
            </w:r>
          </w:p>
        </w:tc>
        <w:tc>
          <w:tcPr>
            <w:tcW w:w="3020" w:type="dxa"/>
            <w:vAlign w:val="center"/>
          </w:tcPr>
          <w:p w14:paraId="749A5CE2" w14:textId="1436E02E" w:rsidR="004B347E" w:rsidRPr="004B347E" w:rsidRDefault="0083236F" w:rsidP="00A60914">
            <w:pPr>
              <w:pStyle w:val="Heading5"/>
              <w:spacing w:before="120"/>
              <w:jc w:val="center"/>
            </w:pPr>
            <w:r w:rsidRPr="0064059A">
              <w:rPr>
                <w:color w:val="153A63"/>
                <w:sz w:val="28"/>
                <w:szCs w:val="28"/>
              </w:rPr>
              <w:t>In 2023–24, primary care services in residential aged care homes returned to pre-COVID rates</w:t>
            </w:r>
          </w:p>
        </w:tc>
        <w:tc>
          <w:tcPr>
            <w:tcW w:w="3020" w:type="dxa"/>
            <w:vAlign w:val="center"/>
          </w:tcPr>
          <w:p w14:paraId="60EA4D26" w14:textId="07317F06" w:rsidR="00F55667" w:rsidRDefault="00417298" w:rsidP="00391286">
            <w:pPr>
              <w:jc w:val="center"/>
            </w:pPr>
            <w:r>
              <w:rPr>
                <w:noProof/>
              </w:rPr>
              <w:drawing>
                <wp:inline distT="0" distB="0" distL="0" distR="0" wp14:anchorId="10E2CCC5" wp14:editId="43981400">
                  <wp:extent cx="1430915" cy="1260000"/>
                  <wp:effectExtent l="0" t="0" r="0" b="0"/>
                  <wp:docPr id="16539450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45038"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1430915" cy="1260000"/>
                          </a:xfrm>
                          <a:prstGeom prst="rect">
                            <a:avLst/>
                          </a:prstGeom>
                        </pic:spPr>
                      </pic:pic>
                    </a:graphicData>
                  </a:graphic>
                </wp:inline>
              </w:drawing>
            </w:r>
          </w:p>
        </w:tc>
      </w:tr>
    </w:tbl>
    <w:p w14:paraId="60011A35" w14:textId="77777777" w:rsidR="00F55667" w:rsidRDefault="00F55667">
      <w:pPr>
        <w:spacing w:before="0" w:after="0" w:line="240" w:lineRule="auto"/>
      </w:pPr>
    </w:p>
    <w:p w14:paraId="16DCF2FA" w14:textId="2BE735A1" w:rsidR="00F55667" w:rsidRDefault="00F55667">
      <w:pPr>
        <w:spacing w:before="0" w:after="0" w:line="240" w:lineRule="auto"/>
      </w:pPr>
      <w:r>
        <w:br w:type="page"/>
      </w:r>
    </w:p>
    <w:p w14:paraId="69827ABF" w14:textId="6564CEB0" w:rsidR="003435EC" w:rsidRDefault="003435EC" w:rsidP="003435EC">
      <w:pPr>
        <w:pStyle w:val="Heading1"/>
      </w:pPr>
      <w:bookmarkStart w:id="8" w:name="_Toc212100671"/>
      <w:r>
        <w:lastRenderedPageBreak/>
        <w:t xml:space="preserve">Financial </w:t>
      </w:r>
      <w:r w:rsidR="0010462F">
        <w:t>Summary</w:t>
      </w:r>
      <w:bookmarkEnd w:id="8"/>
    </w:p>
    <w:p w14:paraId="7739D1AC" w14:textId="7AA2443F" w:rsidR="00BF1308" w:rsidRDefault="00400758" w:rsidP="00400758">
      <w:r>
        <w:t>Primary Health Network Program funding for the 2022–23 and 2023–24 financial years was $1.885 billion and $1.83</w:t>
      </w:r>
      <w:r w:rsidR="0039624F">
        <w:t>8</w:t>
      </w:r>
      <w:r>
        <w:t xml:space="preserve"> billion, respectively. When compared to 2021–22</w:t>
      </w:r>
      <w:r w:rsidR="00DD281F">
        <w:t xml:space="preserve"> funding ($1.562 billion) there has been an increase of approximately 20 per cent in 2022–23, </w:t>
      </w:r>
      <w:r w:rsidR="006D4F94">
        <w:t>continuing a</w:t>
      </w:r>
      <w:r w:rsidR="005524C0">
        <w:t>t</w:t>
      </w:r>
      <w:r w:rsidR="00DD281F">
        <w:t xml:space="preserve"> a similar funding level for 2023–24. </w:t>
      </w:r>
      <w:r w:rsidR="00957F68">
        <w:t>As the government implement</w:t>
      </w:r>
      <w:r w:rsidR="006D4F94">
        <w:t>s</w:t>
      </w:r>
      <w:r w:rsidR="00957F68">
        <w:t xml:space="preserve"> primary health care initiatives</w:t>
      </w:r>
      <w:r w:rsidR="00B63CC3">
        <w:t>, including</w:t>
      </w:r>
      <w:r w:rsidR="00957F68">
        <w:t xml:space="preserve"> as part of reforms to strengthen Medicare, PHNs continue to play a critical role in </w:t>
      </w:r>
      <w:r w:rsidR="00AB59F2">
        <w:t xml:space="preserve">identifying and implementing services based on needs of their regions. </w:t>
      </w:r>
    </w:p>
    <w:p w14:paraId="13FFA40C" w14:textId="7C18B362" w:rsidR="00155347" w:rsidRDefault="0024311A" w:rsidP="00155347">
      <w:r>
        <w:t xml:space="preserve">The </w:t>
      </w:r>
      <w:r w:rsidR="00155347">
        <w:t xml:space="preserve">Primary Mental Health Care </w:t>
      </w:r>
      <w:r>
        <w:t xml:space="preserve">schedule </w:t>
      </w:r>
      <w:r w:rsidR="00155347">
        <w:t xml:space="preserve">continues to be the </w:t>
      </w:r>
      <w:r>
        <w:t>highest proportion of</w:t>
      </w:r>
      <w:r w:rsidR="00155347">
        <w:t xml:space="preserve"> funding provided to PHNs, at $720.2 million and $745.</w:t>
      </w:r>
      <w:r w:rsidR="0039624F">
        <w:t>6</w:t>
      </w:r>
      <w:r w:rsidR="00155347">
        <w:t xml:space="preserve"> million for 2022–23 and 2023–24 respectively.</w:t>
      </w:r>
      <w:r>
        <w:t xml:space="preserve"> </w:t>
      </w:r>
      <w:r w:rsidR="006D4F94">
        <w:t xml:space="preserve">Funding for mental health has increased overall, during the 2022–23 and </w:t>
      </w:r>
      <w:r w:rsidR="005524C0">
        <w:br/>
      </w:r>
      <w:r w:rsidR="006D4F94">
        <w:t>2023–24 period</w:t>
      </w:r>
      <w:r w:rsidR="00E06B85">
        <w:t>s</w:t>
      </w:r>
      <w:r w:rsidR="006D4F94">
        <w:t xml:space="preserve">, including through the </w:t>
      </w:r>
      <w:r w:rsidR="006D4F94" w:rsidRPr="006D4F94">
        <w:t>National Mental Health &amp; Suicide Prevention Agreement &amp; Bilateral PHN Program</w:t>
      </w:r>
      <w:r w:rsidR="006D4F94">
        <w:t xml:space="preserve">, and growth in funding for Commonwealth Psychosocial Support. </w:t>
      </w:r>
      <w:r w:rsidR="00334326">
        <w:t xml:space="preserve">Specific mental health funding for COVID-19 has concluded and mental health support for bushfire affected Australians reduced to $0.1 million per year for each of the two reporting years. </w:t>
      </w:r>
    </w:p>
    <w:p w14:paraId="3DB73672" w14:textId="0069E3D8" w:rsidR="00EA10F2" w:rsidRDefault="000A643D" w:rsidP="00243E26">
      <w:pPr>
        <w:rPr>
          <w:rFonts w:cs="Arial"/>
          <w:bCs/>
        </w:rPr>
      </w:pPr>
      <w:r>
        <w:t>The Strengthening Medicare – General Practice Grants Program ($</w:t>
      </w:r>
      <w:r w:rsidR="00EA10F2">
        <w:t>193.2</w:t>
      </w:r>
      <w:r>
        <w:t>m in gran</w:t>
      </w:r>
      <w:r w:rsidR="007F7501">
        <w:t>t</w:t>
      </w:r>
      <w:r>
        <w:t>s over two years from 2022</w:t>
      </w:r>
      <w:r w:rsidR="004453B3">
        <w:t>–</w:t>
      </w:r>
      <w:r>
        <w:t>23 to 2023</w:t>
      </w:r>
      <w:r w:rsidR="004453B3">
        <w:t>–</w:t>
      </w:r>
      <w:r>
        <w:t xml:space="preserve">24) </w:t>
      </w:r>
      <w:r w:rsidR="00EA10F2">
        <w:t>was</w:t>
      </w:r>
      <w:r>
        <w:t xml:space="preserve"> implemented in partnership with PHNs and </w:t>
      </w:r>
      <w:r w:rsidR="00B878B0">
        <w:t xml:space="preserve">the </w:t>
      </w:r>
      <w:r w:rsidRPr="000A643D">
        <w:t>National Aboriginal Community Controlled Health Organisation (NACCHO)</w:t>
      </w:r>
      <w:r>
        <w:t xml:space="preserve">. </w:t>
      </w:r>
      <w:r w:rsidR="00EA10F2" w:rsidRPr="00EF1452">
        <w:t xml:space="preserve">One-off grants between $25,000 and $50,000 for eligible </w:t>
      </w:r>
      <w:r w:rsidR="00EA10F2">
        <w:t>g</w:t>
      </w:r>
      <w:r w:rsidR="00EA10F2" w:rsidRPr="00EF1452">
        <w:t xml:space="preserve">eneral </w:t>
      </w:r>
      <w:r w:rsidR="00EA10F2">
        <w:t>p</w:t>
      </w:r>
      <w:r w:rsidR="00EA10F2" w:rsidRPr="00EF1452">
        <w:t xml:space="preserve">ractices and Aboriginal Community Controlled Health Organisations (ACCHOs) </w:t>
      </w:r>
      <w:r w:rsidR="00EA10F2">
        <w:t xml:space="preserve">were provided </w:t>
      </w:r>
      <w:r>
        <w:t>to make improvements to their practices</w:t>
      </w:r>
      <w:r w:rsidR="00B878B0">
        <w:t>,</w:t>
      </w:r>
      <w:r>
        <w:t xml:space="preserve"> expand patient access and support safe and accessible quality primary care. </w:t>
      </w:r>
      <w:r w:rsidR="007F7501">
        <w:t>The program, administered and managed by</w:t>
      </w:r>
      <w:r>
        <w:t xml:space="preserve"> </w:t>
      </w:r>
      <w:r w:rsidR="007F7501">
        <w:t>PHNs and NACCHO for general practices and ACCHOs respectively</w:t>
      </w:r>
      <w:r w:rsidR="00243E26">
        <w:t xml:space="preserve"> on behalf of the department</w:t>
      </w:r>
      <w:r w:rsidR="007F7501">
        <w:t>, provide</w:t>
      </w:r>
      <w:r w:rsidR="00EA10F2">
        <w:t>d</w:t>
      </w:r>
      <w:r w:rsidR="007F7501">
        <w:t xml:space="preserve"> funding for e</w:t>
      </w:r>
      <w:r>
        <w:t>nhancing digital health capability</w:t>
      </w:r>
      <w:r w:rsidR="007F7501">
        <w:t>, u</w:t>
      </w:r>
      <w:r>
        <w:t>pgrading infection prevention and control arrangements</w:t>
      </w:r>
      <w:r w:rsidR="007F7501">
        <w:t>, and m</w:t>
      </w:r>
      <w:r>
        <w:t>aintaining or achieving accreditation under the General Practice Accreditation Scheme.</w:t>
      </w:r>
      <w:r w:rsidR="00527771">
        <w:t xml:space="preserve"> </w:t>
      </w:r>
      <w:r w:rsidR="00243E26">
        <w:rPr>
          <w:rFonts w:cs="Arial"/>
        </w:rPr>
        <w:t>G</w:t>
      </w:r>
      <w:r w:rsidR="00243E26" w:rsidRPr="00EF1452">
        <w:rPr>
          <w:rFonts w:cs="Arial"/>
          <w:bCs/>
        </w:rPr>
        <w:t>rant amount</w:t>
      </w:r>
      <w:r w:rsidR="00243E26">
        <w:rPr>
          <w:rFonts w:cs="Arial"/>
          <w:bCs/>
        </w:rPr>
        <w:t>s</w:t>
      </w:r>
      <w:r w:rsidR="00243E26" w:rsidRPr="00EF1452">
        <w:rPr>
          <w:rFonts w:cs="Arial"/>
          <w:bCs/>
        </w:rPr>
        <w:t xml:space="preserve"> for each PHN w</w:t>
      </w:r>
      <w:r w:rsidR="00243E26">
        <w:rPr>
          <w:rFonts w:cs="Arial"/>
          <w:bCs/>
        </w:rPr>
        <w:t xml:space="preserve">ere </w:t>
      </w:r>
      <w:r w:rsidR="00243E26" w:rsidRPr="00EF1452">
        <w:rPr>
          <w:rFonts w:cs="Arial"/>
          <w:bCs/>
        </w:rPr>
        <w:t>determined based on the estimated number and size of general practice applicants in the PHN region</w:t>
      </w:r>
      <w:r w:rsidR="00243E26">
        <w:rPr>
          <w:rFonts w:cs="Arial"/>
          <w:bCs/>
        </w:rPr>
        <w:t xml:space="preserve">, with an </w:t>
      </w:r>
      <w:r w:rsidR="00243E26">
        <w:rPr>
          <w:rFonts w:cs="Arial"/>
        </w:rPr>
        <w:t xml:space="preserve">overall </w:t>
      </w:r>
      <w:r w:rsidR="00EA10F2" w:rsidRPr="00EF1452">
        <w:rPr>
          <w:rFonts w:cs="Arial"/>
        </w:rPr>
        <w:t>uptake rate of 93</w:t>
      </w:r>
      <w:r w:rsidR="00243E26">
        <w:rPr>
          <w:rFonts w:cs="Arial"/>
        </w:rPr>
        <w:t xml:space="preserve"> per cent</w:t>
      </w:r>
      <w:r w:rsidR="00EA10F2" w:rsidRPr="00EF1452">
        <w:rPr>
          <w:rFonts w:cs="Arial"/>
        </w:rPr>
        <w:t xml:space="preserve"> for </w:t>
      </w:r>
      <w:r w:rsidR="00243E26">
        <w:rPr>
          <w:rFonts w:cs="Arial"/>
        </w:rPr>
        <w:t xml:space="preserve">general </w:t>
      </w:r>
      <w:r w:rsidR="00EA10F2" w:rsidRPr="00EF1452">
        <w:rPr>
          <w:rFonts w:cs="Arial"/>
        </w:rPr>
        <w:t>practices and 99</w:t>
      </w:r>
      <w:r w:rsidR="00243E26">
        <w:rPr>
          <w:rFonts w:cs="Arial"/>
        </w:rPr>
        <w:t xml:space="preserve"> per cent</w:t>
      </w:r>
      <w:r w:rsidR="00EA10F2" w:rsidRPr="00EF1452">
        <w:rPr>
          <w:rFonts w:cs="Arial"/>
        </w:rPr>
        <w:t xml:space="preserve"> for ACCHOs.</w:t>
      </w:r>
    </w:p>
    <w:p w14:paraId="15FC77CE" w14:textId="55E0749E" w:rsidR="00B450AD" w:rsidRDefault="00334326" w:rsidP="00B450AD">
      <w:pPr>
        <w:tabs>
          <w:tab w:val="num" w:pos="720"/>
        </w:tabs>
      </w:pPr>
      <w:r>
        <w:t xml:space="preserve">Significant investment in the Medicare Urgent Care Clinics program </w:t>
      </w:r>
      <w:r w:rsidR="007F3034">
        <w:t xml:space="preserve">for PHNs </w:t>
      </w:r>
      <w:r>
        <w:t>has continued during the two reporting periods</w:t>
      </w:r>
      <w:r w:rsidR="00E10BB9">
        <w:t xml:space="preserve">. </w:t>
      </w:r>
      <w:r w:rsidR="00E10BB9" w:rsidRPr="00E10BB9">
        <w:t>In four jurisdictions, PHNs are responsible for commissioning Medicare Urgent Care Clinics and have received significant investment during the two reporting periods ($35.2 million in 2022–23 and $68.9 million in 2023–24). The Australian government is working closely with PHNs to ensure Medicare Urgent Care Clinics continue to meet the program intent, are integrated with other local health services and meet the needs of local communities.</w:t>
      </w:r>
      <w:r w:rsidR="001442AE" w:rsidDel="001442AE">
        <w:t xml:space="preserve"> </w:t>
      </w:r>
    </w:p>
    <w:p w14:paraId="2DBF1DFC" w14:textId="7EFD3B78" w:rsidR="00B62F2C" w:rsidRPr="00B450AD" w:rsidRDefault="00B62F2C" w:rsidP="00B62F2C">
      <w:pPr>
        <w:tabs>
          <w:tab w:val="num" w:pos="720"/>
        </w:tabs>
      </w:pPr>
      <w:r>
        <w:t xml:space="preserve">Investment in PHN support for aged care has continued during the 2022–23 and 2023–24 reporting periods, including through the Care Finder Program ($64.9 million in 2022–23 and $82.6 million in 2023–24). PHNs are </w:t>
      </w:r>
      <w:r w:rsidRPr="00B62F2C">
        <w:t>responsible for commissioning and managing care finder services, leveraging their commissioning expertise and in-depth understanding of local community needs.</w:t>
      </w:r>
      <w:r>
        <w:t xml:space="preserve"> </w:t>
      </w:r>
    </w:p>
    <w:p w14:paraId="010BCFF6" w14:textId="77777777" w:rsidR="007D7FDF" w:rsidRDefault="007D7FDF">
      <w:pPr>
        <w:spacing w:before="0" w:after="0" w:line="240" w:lineRule="auto"/>
        <w:rPr>
          <w:b/>
          <w:lang w:val="en-US"/>
        </w:rPr>
      </w:pPr>
      <w:r>
        <w:br w:type="page"/>
      </w:r>
    </w:p>
    <w:p w14:paraId="08720FDB" w14:textId="51E50662" w:rsidR="005C5D74" w:rsidRPr="00196710" w:rsidRDefault="005C5D74" w:rsidP="005C5D74">
      <w:pPr>
        <w:pStyle w:val="TableTitle"/>
      </w:pPr>
      <w:r>
        <w:lastRenderedPageBreak/>
        <w:t>Table 1: PHN Program funding, 2022–23 and 2023–24</w:t>
      </w:r>
    </w:p>
    <w:tbl>
      <w:tblPr>
        <w:tblStyle w:val="DepartmentofHealthtable"/>
        <w:tblW w:w="9071" w:type="dxa"/>
        <w:tblLook w:val="04A0" w:firstRow="1" w:lastRow="0" w:firstColumn="1" w:lastColumn="0" w:noHBand="0" w:noVBand="1"/>
        <w:tblCaption w:val="Table 1: PHN Program funding, 2022–23 and 2023–24"/>
        <w:tblDescription w:val="Table showing the breakdown of funding at program level for the top 13 programs."/>
      </w:tblPr>
      <w:tblGrid>
        <w:gridCol w:w="6237"/>
        <w:gridCol w:w="1418"/>
        <w:gridCol w:w="1416"/>
      </w:tblGrid>
      <w:tr w:rsidR="005C5D74" w14:paraId="680E12D1" w14:textId="77777777" w:rsidTr="005C5D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AD6E827" w14:textId="712328A7" w:rsidR="005C5D74" w:rsidRPr="00DC7910" w:rsidRDefault="005C5D74" w:rsidP="001C4212">
            <w:pPr>
              <w:pStyle w:val="TableHeaderWhite"/>
            </w:pPr>
            <w:r>
              <w:t>Funding</w:t>
            </w:r>
          </w:p>
        </w:tc>
        <w:tc>
          <w:tcPr>
            <w:tcW w:w="1418" w:type="dxa"/>
          </w:tcPr>
          <w:p w14:paraId="4194DE5C" w14:textId="7C4CC66B" w:rsidR="005C5D74" w:rsidRDefault="005C5D74" w:rsidP="001C4212">
            <w:pPr>
              <w:pStyle w:val="TableHeader"/>
              <w:cnfStyle w:val="100000000000" w:firstRow="1" w:lastRow="0" w:firstColumn="0" w:lastColumn="0" w:oddVBand="0" w:evenVBand="0" w:oddHBand="0" w:evenHBand="0" w:firstRowFirstColumn="0" w:firstRowLastColumn="0" w:lastRowFirstColumn="0" w:lastRowLastColumn="0"/>
            </w:pPr>
            <w:r>
              <w:t>2022–23</w:t>
            </w:r>
          </w:p>
        </w:tc>
        <w:tc>
          <w:tcPr>
            <w:tcW w:w="1416" w:type="dxa"/>
          </w:tcPr>
          <w:p w14:paraId="07234020" w14:textId="342B9B95" w:rsidR="005C5D74" w:rsidRDefault="005C5D74" w:rsidP="001C4212">
            <w:pPr>
              <w:pStyle w:val="TableHeader"/>
              <w:cnfStyle w:val="100000000000" w:firstRow="1" w:lastRow="0" w:firstColumn="0" w:lastColumn="0" w:oddVBand="0" w:evenVBand="0" w:oddHBand="0" w:evenHBand="0" w:firstRowFirstColumn="0" w:firstRowLastColumn="0" w:lastRowFirstColumn="0" w:lastRowLastColumn="0"/>
            </w:pPr>
            <w:r>
              <w:t>2023–24</w:t>
            </w:r>
          </w:p>
        </w:tc>
      </w:tr>
      <w:tr w:rsidR="005C5D74" w:rsidRPr="005C5D74" w14:paraId="4DA61F6F" w14:textId="77777777" w:rsidTr="005C5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7EF4C93E" w14:textId="2176F1D7" w:rsidR="005C5D74" w:rsidRPr="005C5D74" w:rsidRDefault="005C5D74" w:rsidP="00116059">
            <w:pPr>
              <w:pStyle w:val="Tabletextleft"/>
            </w:pPr>
            <w:r w:rsidRPr="005C5D74">
              <w:t>Core Funding</w:t>
            </w:r>
            <w:r w:rsidR="00404495">
              <w:t xml:space="preserve"> Schedule</w:t>
            </w:r>
          </w:p>
        </w:tc>
        <w:tc>
          <w:tcPr>
            <w:tcW w:w="1418" w:type="dxa"/>
          </w:tcPr>
          <w:p w14:paraId="0FD95041" w14:textId="370AD1F5" w:rsidR="005C5D74" w:rsidRPr="005C5D74" w:rsidRDefault="005C5D74" w:rsidP="00116059">
            <w:pPr>
              <w:pStyle w:val="Tabletextleft"/>
              <w:cnfStyle w:val="000000100000" w:firstRow="0" w:lastRow="0" w:firstColumn="0" w:lastColumn="0" w:oddVBand="0" w:evenVBand="0" w:oddHBand="1" w:evenHBand="0" w:firstRowFirstColumn="0" w:firstRowLastColumn="0" w:lastRowFirstColumn="0" w:lastRowLastColumn="0"/>
            </w:pPr>
            <w:r w:rsidRPr="005C5D74">
              <w:t>$348.6 m</w:t>
            </w:r>
          </w:p>
        </w:tc>
        <w:tc>
          <w:tcPr>
            <w:tcW w:w="1416" w:type="dxa"/>
          </w:tcPr>
          <w:p w14:paraId="1EE8837D" w14:textId="0B74CA04" w:rsidR="005C5D74" w:rsidRPr="005C5D74" w:rsidRDefault="005C5D74" w:rsidP="00116059">
            <w:pPr>
              <w:pStyle w:val="Tabletextleft"/>
              <w:cnfStyle w:val="000000100000" w:firstRow="0" w:lastRow="0" w:firstColumn="0" w:lastColumn="0" w:oddVBand="0" w:evenVBand="0" w:oddHBand="1" w:evenHBand="0" w:firstRowFirstColumn="0" w:firstRowLastColumn="0" w:lastRowFirstColumn="0" w:lastRowLastColumn="0"/>
            </w:pPr>
            <w:r w:rsidRPr="005C5D74">
              <w:t>$350.3 m</w:t>
            </w:r>
          </w:p>
        </w:tc>
      </w:tr>
      <w:tr w:rsidR="005C5D74" w:rsidRPr="005C5D74" w14:paraId="2D94E4B9" w14:textId="77777777" w:rsidTr="005C5D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7910BF89" w14:textId="0E7C356F" w:rsidR="005C5D74" w:rsidRPr="005C5D74" w:rsidRDefault="005C5D74" w:rsidP="00116059">
            <w:pPr>
              <w:pStyle w:val="Tabletextleft"/>
            </w:pPr>
            <w:r w:rsidRPr="005C5D74">
              <w:t>Pilots and Targeted Programs</w:t>
            </w:r>
          </w:p>
        </w:tc>
        <w:tc>
          <w:tcPr>
            <w:tcW w:w="1418" w:type="dxa"/>
          </w:tcPr>
          <w:p w14:paraId="1290DF49" w14:textId="08D25EDB" w:rsidR="005C5D74" w:rsidRPr="005C5D74" w:rsidRDefault="005C5D74" w:rsidP="00116059">
            <w:pPr>
              <w:pStyle w:val="Tabletextleft"/>
              <w:cnfStyle w:val="000000010000" w:firstRow="0" w:lastRow="0" w:firstColumn="0" w:lastColumn="0" w:oddVBand="0" w:evenVBand="0" w:oddHBand="0" w:evenHBand="1" w:firstRowFirstColumn="0" w:firstRowLastColumn="0" w:lastRowFirstColumn="0" w:lastRowLastColumn="0"/>
            </w:pPr>
            <w:r w:rsidRPr="005C5D74">
              <w:t>$231.7 m</w:t>
            </w:r>
            <w:r w:rsidR="008A57CE">
              <w:rPr>
                <w:rStyle w:val="FootnoteReference"/>
              </w:rPr>
              <w:footnoteReference w:id="14"/>
            </w:r>
          </w:p>
        </w:tc>
        <w:tc>
          <w:tcPr>
            <w:tcW w:w="1416" w:type="dxa"/>
          </w:tcPr>
          <w:p w14:paraId="5AD2B861" w14:textId="3AE34957" w:rsidR="005C5D74" w:rsidRPr="005C5D74" w:rsidRDefault="005C5D74" w:rsidP="00116059">
            <w:pPr>
              <w:pStyle w:val="Tabletextleft"/>
              <w:cnfStyle w:val="000000010000" w:firstRow="0" w:lastRow="0" w:firstColumn="0" w:lastColumn="0" w:oddVBand="0" w:evenVBand="0" w:oddHBand="0" w:evenHBand="1" w:firstRowFirstColumn="0" w:firstRowLastColumn="0" w:lastRowFirstColumn="0" w:lastRowLastColumn="0"/>
            </w:pPr>
            <w:r w:rsidRPr="005C5D74">
              <w:t>$41.2 m</w:t>
            </w:r>
          </w:p>
        </w:tc>
      </w:tr>
      <w:tr w:rsidR="005C5D74" w:rsidRPr="005C5D74" w14:paraId="1F39BCEE" w14:textId="77777777" w:rsidTr="005C5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78BDD040" w14:textId="2053750C" w:rsidR="005C5D74" w:rsidRPr="005C5D74" w:rsidRDefault="00116059" w:rsidP="00116059">
            <w:pPr>
              <w:pStyle w:val="Tabletextleft"/>
            </w:pPr>
            <w:r>
              <w:t xml:space="preserve">Medicare </w:t>
            </w:r>
            <w:r w:rsidR="005C5D74" w:rsidRPr="005C5D74">
              <w:t>Urgent Care Clinics Programs</w:t>
            </w:r>
          </w:p>
        </w:tc>
        <w:tc>
          <w:tcPr>
            <w:tcW w:w="1418" w:type="dxa"/>
          </w:tcPr>
          <w:p w14:paraId="24EB305F" w14:textId="7BC6A8B6" w:rsidR="005C5D74" w:rsidRPr="005C5D74" w:rsidRDefault="005C5D74" w:rsidP="00116059">
            <w:pPr>
              <w:pStyle w:val="Tabletextleft"/>
              <w:cnfStyle w:val="000000100000" w:firstRow="0" w:lastRow="0" w:firstColumn="0" w:lastColumn="0" w:oddVBand="0" w:evenVBand="0" w:oddHBand="1" w:evenHBand="0" w:firstRowFirstColumn="0" w:firstRowLastColumn="0" w:lastRowFirstColumn="0" w:lastRowLastColumn="0"/>
            </w:pPr>
            <w:r w:rsidRPr="005C5D74">
              <w:t>$35.2 m</w:t>
            </w:r>
          </w:p>
        </w:tc>
        <w:tc>
          <w:tcPr>
            <w:tcW w:w="1416" w:type="dxa"/>
          </w:tcPr>
          <w:p w14:paraId="6DAB6F92" w14:textId="0500DA0A" w:rsidR="005C5D74" w:rsidRPr="005C5D74" w:rsidRDefault="005C5D74" w:rsidP="00116059">
            <w:pPr>
              <w:pStyle w:val="Tabletextleft"/>
              <w:cnfStyle w:val="000000100000" w:firstRow="0" w:lastRow="0" w:firstColumn="0" w:lastColumn="0" w:oddVBand="0" w:evenVBand="0" w:oddHBand="1" w:evenHBand="0" w:firstRowFirstColumn="0" w:firstRowLastColumn="0" w:lastRowFirstColumn="0" w:lastRowLastColumn="0"/>
            </w:pPr>
            <w:r w:rsidRPr="005C5D74">
              <w:t>$68.9 m</w:t>
            </w:r>
          </w:p>
        </w:tc>
      </w:tr>
      <w:tr w:rsidR="005C5D74" w:rsidRPr="005C5D74" w14:paraId="230754DD" w14:textId="77777777" w:rsidTr="005C5D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4CA725FA" w14:textId="6D82635B" w:rsidR="005C5D74" w:rsidRPr="005C5D74" w:rsidRDefault="005C5D74" w:rsidP="00116059">
            <w:pPr>
              <w:pStyle w:val="Tabletextleft"/>
            </w:pPr>
            <w:r w:rsidRPr="005C5D74">
              <w:t>Primary Mental Health Care</w:t>
            </w:r>
          </w:p>
        </w:tc>
        <w:tc>
          <w:tcPr>
            <w:tcW w:w="1418" w:type="dxa"/>
          </w:tcPr>
          <w:p w14:paraId="4368D0CC" w14:textId="0F435B96" w:rsidR="005C5D74" w:rsidRPr="005C5D74" w:rsidRDefault="005C5D74" w:rsidP="00116059">
            <w:pPr>
              <w:pStyle w:val="Tabletextleft"/>
              <w:cnfStyle w:val="000000010000" w:firstRow="0" w:lastRow="0" w:firstColumn="0" w:lastColumn="0" w:oddVBand="0" w:evenVBand="0" w:oddHBand="0" w:evenHBand="1" w:firstRowFirstColumn="0" w:firstRowLastColumn="0" w:lastRowFirstColumn="0" w:lastRowLastColumn="0"/>
            </w:pPr>
            <w:r w:rsidRPr="005C5D74">
              <w:t>$720.2 m</w:t>
            </w:r>
          </w:p>
        </w:tc>
        <w:tc>
          <w:tcPr>
            <w:tcW w:w="1416" w:type="dxa"/>
          </w:tcPr>
          <w:p w14:paraId="271EE7F2" w14:textId="277CBBD4" w:rsidR="005C5D74" w:rsidRPr="005C5D74" w:rsidRDefault="005C5D74" w:rsidP="00116059">
            <w:pPr>
              <w:pStyle w:val="Tabletextleft"/>
              <w:cnfStyle w:val="000000010000" w:firstRow="0" w:lastRow="0" w:firstColumn="0" w:lastColumn="0" w:oddVBand="0" w:evenVBand="0" w:oddHBand="0" w:evenHBand="1" w:firstRowFirstColumn="0" w:firstRowLastColumn="0" w:lastRowFirstColumn="0" w:lastRowLastColumn="0"/>
            </w:pPr>
            <w:r w:rsidRPr="005C5D74">
              <w:t>$745.6 m</w:t>
            </w:r>
          </w:p>
        </w:tc>
      </w:tr>
      <w:tr w:rsidR="005C5D74" w:rsidRPr="005C5D74" w14:paraId="29C886C3" w14:textId="77777777" w:rsidTr="005C5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3A617ADF" w14:textId="15F1DA79" w:rsidR="005C5D74" w:rsidRPr="005C5D74" w:rsidRDefault="005C5D74" w:rsidP="00116059">
            <w:pPr>
              <w:pStyle w:val="Tabletextleft"/>
            </w:pPr>
            <w:r w:rsidRPr="005C5D74">
              <w:t>Mental Health Supports for Bushfire Affected Australia</w:t>
            </w:r>
          </w:p>
        </w:tc>
        <w:tc>
          <w:tcPr>
            <w:tcW w:w="1418" w:type="dxa"/>
          </w:tcPr>
          <w:p w14:paraId="48B3943A" w14:textId="261D3A92" w:rsidR="005C5D74" w:rsidRPr="005C5D74" w:rsidRDefault="005C5D74" w:rsidP="00116059">
            <w:pPr>
              <w:pStyle w:val="Tabletextleft"/>
              <w:cnfStyle w:val="000000100000" w:firstRow="0" w:lastRow="0" w:firstColumn="0" w:lastColumn="0" w:oddVBand="0" w:evenVBand="0" w:oddHBand="1" w:evenHBand="0" w:firstRowFirstColumn="0" w:firstRowLastColumn="0" w:lastRowFirstColumn="0" w:lastRowLastColumn="0"/>
            </w:pPr>
            <w:r w:rsidRPr="005C5D74">
              <w:t>$0.1 m</w:t>
            </w:r>
          </w:p>
        </w:tc>
        <w:tc>
          <w:tcPr>
            <w:tcW w:w="1416" w:type="dxa"/>
          </w:tcPr>
          <w:p w14:paraId="2C4A5F65" w14:textId="3DBF47FC" w:rsidR="005C5D74" w:rsidRPr="005C5D74" w:rsidRDefault="005C5D74" w:rsidP="00116059">
            <w:pPr>
              <w:pStyle w:val="Tabletextleft"/>
              <w:cnfStyle w:val="000000100000" w:firstRow="0" w:lastRow="0" w:firstColumn="0" w:lastColumn="0" w:oddVBand="0" w:evenVBand="0" w:oddHBand="1" w:evenHBand="0" w:firstRowFirstColumn="0" w:firstRowLastColumn="0" w:lastRowFirstColumn="0" w:lastRowLastColumn="0"/>
            </w:pPr>
            <w:r w:rsidRPr="005C5D74">
              <w:t>$0.1 m</w:t>
            </w:r>
          </w:p>
        </w:tc>
      </w:tr>
      <w:tr w:rsidR="005C5D74" w:rsidRPr="005C5D74" w14:paraId="4E30AF32" w14:textId="77777777" w:rsidTr="005C5D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315B28AE" w14:textId="0380ED43" w:rsidR="005C5D74" w:rsidRPr="005C5D74" w:rsidRDefault="005C5D74" w:rsidP="00116059">
            <w:pPr>
              <w:pStyle w:val="Tabletextleft"/>
            </w:pPr>
            <w:r w:rsidRPr="005C5D74">
              <w:t>National Mental Health &amp; Suicide Prevention Agreement &amp; Bilateral PHN Program</w:t>
            </w:r>
          </w:p>
        </w:tc>
        <w:tc>
          <w:tcPr>
            <w:tcW w:w="1418" w:type="dxa"/>
          </w:tcPr>
          <w:p w14:paraId="1134585B" w14:textId="3FAC302A" w:rsidR="005C5D74" w:rsidRPr="005C5D74" w:rsidRDefault="005C5D74" w:rsidP="00116059">
            <w:pPr>
              <w:pStyle w:val="Tabletextleft"/>
              <w:cnfStyle w:val="000000010000" w:firstRow="0" w:lastRow="0" w:firstColumn="0" w:lastColumn="0" w:oddVBand="0" w:evenVBand="0" w:oddHBand="0" w:evenHBand="1" w:firstRowFirstColumn="0" w:firstRowLastColumn="0" w:lastRowFirstColumn="0" w:lastRowLastColumn="0"/>
            </w:pPr>
            <w:r w:rsidRPr="005C5D74">
              <w:t>$49 m</w:t>
            </w:r>
          </w:p>
        </w:tc>
        <w:tc>
          <w:tcPr>
            <w:tcW w:w="1416" w:type="dxa"/>
          </w:tcPr>
          <w:p w14:paraId="202E56EE" w14:textId="3DCF7CB4" w:rsidR="005C5D74" w:rsidRPr="005C5D74" w:rsidRDefault="005C5D74" w:rsidP="00116059">
            <w:pPr>
              <w:pStyle w:val="Tabletextleft"/>
              <w:cnfStyle w:val="000000010000" w:firstRow="0" w:lastRow="0" w:firstColumn="0" w:lastColumn="0" w:oddVBand="0" w:evenVBand="0" w:oddHBand="0" w:evenHBand="1" w:firstRowFirstColumn="0" w:firstRowLastColumn="0" w:lastRowFirstColumn="0" w:lastRowLastColumn="0"/>
            </w:pPr>
            <w:r w:rsidRPr="005C5D74">
              <w:t>$117.8 m</w:t>
            </w:r>
          </w:p>
        </w:tc>
      </w:tr>
      <w:tr w:rsidR="00731934" w:rsidRPr="005C5D74" w14:paraId="7BE54AB5" w14:textId="77777777" w:rsidTr="005C5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4548D08" w14:textId="041AC776" w:rsidR="00731934" w:rsidRPr="005C5D74" w:rsidRDefault="00731934" w:rsidP="00116059">
            <w:pPr>
              <w:pStyle w:val="Tabletextleft"/>
            </w:pPr>
            <w:bookmarkStart w:id="10" w:name="_Hlk204586659"/>
            <w:r w:rsidRPr="005C5D74">
              <w:t>Headspace Demand Management and Enhancement Program</w:t>
            </w:r>
          </w:p>
        </w:tc>
        <w:tc>
          <w:tcPr>
            <w:tcW w:w="1418" w:type="dxa"/>
          </w:tcPr>
          <w:p w14:paraId="4AB35568" w14:textId="65074717" w:rsidR="00731934" w:rsidRPr="005C5D74" w:rsidRDefault="00731934" w:rsidP="00116059">
            <w:pPr>
              <w:pStyle w:val="Tabletextleft"/>
              <w:cnfStyle w:val="000000100000" w:firstRow="0" w:lastRow="0" w:firstColumn="0" w:lastColumn="0" w:oddVBand="0" w:evenVBand="0" w:oddHBand="1" w:evenHBand="0" w:firstRowFirstColumn="0" w:firstRowLastColumn="0" w:lastRowFirstColumn="0" w:lastRowLastColumn="0"/>
            </w:pPr>
            <w:r w:rsidRPr="005C5D74">
              <w:t>$36.7 m</w:t>
            </w:r>
          </w:p>
        </w:tc>
        <w:tc>
          <w:tcPr>
            <w:tcW w:w="1416" w:type="dxa"/>
          </w:tcPr>
          <w:p w14:paraId="5CE04707" w14:textId="1D970837" w:rsidR="00731934" w:rsidRPr="005C5D74" w:rsidRDefault="00731934" w:rsidP="00116059">
            <w:pPr>
              <w:pStyle w:val="Tabletextleft"/>
              <w:cnfStyle w:val="000000100000" w:firstRow="0" w:lastRow="0" w:firstColumn="0" w:lastColumn="0" w:oddVBand="0" w:evenVBand="0" w:oddHBand="1" w:evenHBand="0" w:firstRowFirstColumn="0" w:firstRowLastColumn="0" w:lastRowFirstColumn="0" w:lastRowLastColumn="0"/>
            </w:pPr>
            <w:r w:rsidRPr="005C5D74">
              <w:t>$17.3 m</w:t>
            </w:r>
          </w:p>
        </w:tc>
      </w:tr>
      <w:bookmarkEnd w:id="10"/>
      <w:tr w:rsidR="00731934" w:rsidRPr="005C5D74" w14:paraId="74E4189C" w14:textId="77777777" w:rsidTr="005C5D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6FE1654A" w14:textId="12629C1D" w:rsidR="00731934" w:rsidRPr="005C5D74" w:rsidRDefault="00731934" w:rsidP="00116059">
            <w:pPr>
              <w:pStyle w:val="Tabletextleft"/>
            </w:pPr>
            <w:r w:rsidRPr="005C5D74">
              <w:t>Commonwealth Psychosocial Support</w:t>
            </w:r>
          </w:p>
        </w:tc>
        <w:tc>
          <w:tcPr>
            <w:tcW w:w="1418" w:type="dxa"/>
          </w:tcPr>
          <w:p w14:paraId="34F7BA4D" w14:textId="4BC08BF5" w:rsidR="00731934" w:rsidRPr="005C5D74" w:rsidRDefault="00731934" w:rsidP="00116059">
            <w:pPr>
              <w:pStyle w:val="Tabletextleft"/>
              <w:cnfStyle w:val="000000010000" w:firstRow="0" w:lastRow="0" w:firstColumn="0" w:lastColumn="0" w:oddVBand="0" w:evenVBand="0" w:oddHBand="0" w:evenHBand="1" w:firstRowFirstColumn="0" w:firstRowLastColumn="0" w:lastRowFirstColumn="0" w:lastRowLastColumn="0"/>
            </w:pPr>
            <w:r w:rsidRPr="005C5D74">
              <w:t>$116 m</w:t>
            </w:r>
          </w:p>
        </w:tc>
        <w:tc>
          <w:tcPr>
            <w:tcW w:w="1416" w:type="dxa"/>
          </w:tcPr>
          <w:p w14:paraId="1EB2DD8A" w14:textId="4E2BFDCF" w:rsidR="00731934" w:rsidRPr="005C5D74" w:rsidRDefault="00731934" w:rsidP="00116059">
            <w:pPr>
              <w:pStyle w:val="Tabletextleft"/>
              <w:cnfStyle w:val="000000010000" w:firstRow="0" w:lastRow="0" w:firstColumn="0" w:lastColumn="0" w:oddVBand="0" w:evenVBand="0" w:oddHBand="0" w:evenHBand="1" w:firstRowFirstColumn="0" w:firstRowLastColumn="0" w:lastRowFirstColumn="0" w:lastRowLastColumn="0"/>
            </w:pPr>
            <w:r w:rsidRPr="005C5D74">
              <w:t>$125.2 m</w:t>
            </w:r>
          </w:p>
        </w:tc>
      </w:tr>
      <w:tr w:rsidR="00731934" w:rsidRPr="005C5D74" w14:paraId="148C99EC" w14:textId="77777777" w:rsidTr="005C5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3EEBF638" w14:textId="6C0BB862" w:rsidR="00731934" w:rsidRPr="005C5D74" w:rsidRDefault="00731934" w:rsidP="00116059">
            <w:pPr>
              <w:pStyle w:val="Tabletextleft"/>
            </w:pPr>
            <w:r w:rsidRPr="005C5D74">
              <w:t>After Hours</w:t>
            </w:r>
          </w:p>
        </w:tc>
        <w:tc>
          <w:tcPr>
            <w:tcW w:w="1418" w:type="dxa"/>
          </w:tcPr>
          <w:p w14:paraId="7D519FB3" w14:textId="089FF15D" w:rsidR="00731934" w:rsidRPr="005C5D74" w:rsidRDefault="00731934" w:rsidP="00116059">
            <w:pPr>
              <w:pStyle w:val="Tabletextleft"/>
              <w:cnfStyle w:val="000000100000" w:firstRow="0" w:lastRow="0" w:firstColumn="0" w:lastColumn="0" w:oddVBand="0" w:evenVBand="0" w:oddHBand="1" w:evenHBand="0" w:firstRowFirstColumn="0" w:firstRowLastColumn="0" w:lastRowFirstColumn="0" w:lastRowLastColumn="0"/>
            </w:pPr>
            <w:r w:rsidRPr="005C5D74">
              <w:t>$55.6 m</w:t>
            </w:r>
          </w:p>
        </w:tc>
        <w:tc>
          <w:tcPr>
            <w:tcW w:w="1416" w:type="dxa"/>
          </w:tcPr>
          <w:p w14:paraId="3F68A2AB" w14:textId="452871C6" w:rsidR="00731934" w:rsidRPr="005C5D74" w:rsidRDefault="00731934" w:rsidP="00116059">
            <w:pPr>
              <w:pStyle w:val="Tabletextleft"/>
              <w:cnfStyle w:val="000000100000" w:firstRow="0" w:lastRow="0" w:firstColumn="0" w:lastColumn="0" w:oddVBand="0" w:evenVBand="0" w:oddHBand="1" w:evenHBand="0" w:firstRowFirstColumn="0" w:firstRowLastColumn="0" w:lastRowFirstColumn="0" w:lastRowLastColumn="0"/>
            </w:pPr>
            <w:r w:rsidRPr="005C5D74">
              <w:t>$62.5 m</w:t>
            </w:r>
          </w:p>
        </w:tc>
      </w:tr>
      <w:tr w:rsidR="00731934" w:rsidRPr="005C5D74" w14:paraId="3FF84DCD" w14:textId="77777777" w:rsidTr="005C5D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682C6A90" w14:textId="18AD7C1E" w:rsidR="00731934" w:rsidRPr="005C5D74" w:rsidRDefault="00731934" w:rsidP="00116059">
            <w:pPr>
              <w:pStyle w:val="Tabletextleft"/>
            </w:pPr>
            <w:r w:rsidRPr="005C5D74">
              <w:t>Integrated Team Care</w:t>
            </w:r>
          </w:p>
        </w:tc>
        <w:tc>
          <w:tcPr>
            <w:tcW w:w="1418" w:type="dxa"/>
          </w:tcPr>
          <w:p w14:paraId="0B01171E" w14:textId="7AFB2997" w:rsidR="00731934" w:rsidRPr="005C5D74" w:rsidRDefault="00731934" w:rsidP="00116059">
            <w:pPr>
              <w:pStyle w:val="Tabletextleft"/>
              <w:cnfStyle w:val="000000010000" w:firstRow="0" w:lastRow="0" w:firstColumn="0" w:lastColumn="0" w:oddVBand="0" w:evenVBand="0" w:oddHBand="0" w:evenHBand="1" w:firstRowFirstColumn="0" w:firstRowLastColumn="0" w:lastRowFirstColumn="0" w:lastRowLastColumn="0"/>
            </w:pPr>
            <w:r w:rsidRPr="005C5D74">
              <w:t>$67.7 m</w:t>
            </w:r>
          </w:p>
        </w:tc>
        <w:tc>
          <w:tcPr>
            <w:tcW w:w="1416" w:type="dxa"/>
          </w:tcPr>
          <w:p w14:paraId="43E09697" w14:textId="3BA1911F" w:rsidR="00731934" w:rsidRPr="005C5D74" w:rsidRDefault="00731934" w:rsidP="00116059">
            <w:pPr>
              <w:pStyle w:val="Tabletextleft"/>
              <w:cnfStyle w:val="000000010000" w:firstRow="0" w:lastRow="0" w:firstColumn="0" w:lastColumn="0" w:oddVBand="0" w:evenVBand="0" w:oddHBand="0" w:evenHBand="1" w:firstRowFirstColumn="0" w:firstRowLastColumn="0" w:lastRowFirstColumn="0" w:lastRowLastColumn="0"/>
            </w:pPr>
            <w:r w:rsidRPr="005C5D74">
              <w:t>$68.7 m</w:t>
            </w:r>
          </w:p>
        </w:tc>
      </w:tr>
      <w:tr w:rsidR="00731934" w:rsidRPr="005C5D74" w14:paraId="643836E5" w14:textId="77777777" w:rsidTr="005C5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7875BB1" w14:textId="527F4FC2" w:rsidR="00731934" w:rsidRPr="005C5D74" w:rsidRDefault="00731934" w:rsidP="00116059">
            <w:pPr>
              <w:pStyle w:val="Tabletextleft"/>
            </w:pPr>
            <w:r w:rsidRPr="005C5D74">
              <w:t>Drug &amp; Alcohol Treatment Services Program</w:t>
            </w:r>
          </w:p>
        </w:tc>
        <w:tc>
          <w:tcPr>
            <w:tcW w:w="1418" w:type="dxa"/>
          </w:tcPr>
          <w:p w14:paraId="7ED580D2" w14:textId="10777786" w:rsidR="00731934" w:rsidRPr="005C5D74" w:rsidRDefault="00731934" w:rsidP="00116059">
            <w:pPr>
              <w:pStyle w:val="Tabletextleft"/>
              <w:cnfStyle w:val="000000100000" w:firstRow="0" w:lastRow="0" w:firstColumn="0" w:lastColumn="0" w:oddVBand="0" w:evenVBand="0" w:oddHBand="1" w:evenHBand="0" w:firstRowFirstColumn="0" w:firstRowLastColumn="0" w:lastRowFirstColumn="0" w:lastRowLastColumn="0"/>
            </w:pPr>
            <w:r w:rsidRPr="005C5D74">
              <w:t>$118.3 m</w:t>
            </w:r>
          </w:p>
        </w:tc>
        <w:tc>
          <w:tcPr>
            <w:tcW w:w="1416" w:type="dxa"/>
          </w:tcPr>
          <w:p w14:paraId="5FBBEB3A" w14:textId="40492415" w:rsidR="00731934" w:rsidRPr="005C5D74" w:rsidRDefault="00731934" w:rsidP="00116059">
            <w:pPr>
              <w:pStyle w:val="Tabletextleft"/>
              <w:cnfStyle w:val="000000100000" w:firstRow="0" w:lastRow="0" w:firstColumn="0" w:lastColumn="0" w:oddVBand="0" w:evenVBand="0" w:oddHBand="1" w:evenHBand="0" w:firstRowFirstColumn="0" w:firstRowLastColumn="0" w:lastRowFirstColumn="0" w:lastRowLastColumn="0"/>
            </w:pPr>
            <w:r w:rsidRPr="005C5D74">
              <w:t>$120.9 m</w:t>
            </w:r>
          </w:p>
        </w:tc>
      </w:tr>
      <w:tr w:rsidR="00731934" w:rsidRPr="005C5D74" w14:paraId="6D678AB1" w14:textId="77777777" w:rsidTr="005C5D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3360429C" w14:textId="781E7AE0" w:rsidR="00731934" w:rsidRPr="001F2D0A" w:rsidRDefault="00731934" w:rsidP="00116059">
            <w:pPr>
              <w:pStyle w:val="Tabletextleft"/>
            </w:pPr>
            <w:r w:rsidRPr="001F2D0A">
              <w:t xml:space="preserve">Community Health </w:t>
            </w:r>
            <w:r w:rsidR="00116059" w:rsidRPr="001F2D0A">
              <w:t>and</w:t>
            </w:r>
            <w:r w:rsidRPr="001F2D0A">
              <w:t xml:space="preserve"> Hospitals Program</w:t>
            </w:r>
          </w:p>
        </w:tc>
        <w:tc>
          <w:tcPr>
            <w:tcW w:w="1418" w:type="dxa"/>
          </w:tcPr>
          <w:p w14:paraId="0EE81D10" w14:textId="52311849" w:rsidR="00731934" w:rsidRPr="005C5D74" w:rsidRDefault="00731934" w:rsidP="00116059">
            <w:pPr>
              <w:pStyle w:val="Tabletextleft"/>
              <w:cnfStyle w:val="000000010000" w:firstRow="0" w:lastRow="0" w:firstColumn="0" w:lastColumn="0" w:oddVBand="0" w:evenVBand="0" w:oddHBand="0" w:evenHBand="1" w:firstRowFirstColumn="0" w:firstRowLastColumn="0" w:lastRowFirstColumn="0" w:lastRowLastColumn="0"/>
            </w:pPr>
            <w:r w:rsidRPr="005C5D74">
              <w:t>$16.1 m</w:t>
            </w:r>
          </w:p>
        </w:tc>
        <w:tc>
          <w:tcPr>
            <w:tcW w:w="1416" w:type="dxa"/>
          </w:tcPr>
          <w:p w14:paraId="79AF9FBD" w14:textId="50FA20F4" w:rsidR="00731934" w:rsidRPr="005C5D74" w:rsidRDefault="00731934" w:rsidP="00116059">
            <w:pPr>
              <w:pStyle w:val="Tabletextleft"/>
              <w:cnfStyle w:val="000000010000" w:firstRow="0" w:lastRow="0" w:firstColumn="0" w:lastColumn="0" w:oddVBand="0" w:evenVBand="0" w:oddHBand="0" w:evenHBand="1" w:firstRowFirstColumn="0" w:firstRowLastColumn="0" w:lastRowFirstColumn="0" w:lastRowLastColumn="0"/>
            </w:pPr>
            <w:r w:rsidRPr="005C5D74">
              <w:t>$10.1 m</w:t>
            </w:r>
          </w:p>
        </w:tc>
      </w:tr>
      <w:tr w:rsidR="00731934" w:rsidRPr="005C5D74" w14:paraId="3F8B0A79" w14:textId="77777777" w:rsidTr="005C5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5F0FC93" w14:textId="66395CE1" w:rsidR="00731934" w:rsidRPr="005C5D74" w:rsidRDefault="00731934" w:rsidP="00116059">
            <w:pPr>
              <w:pStyle w:val="Tabletextleft"/>
            </w:pPr>
            <w:r w:rsidRPr="005C5D74">
              <w:t>Aged Care</w:t>
            </w:r>
          </w:p>
        </w:tc>
        <w:tc>
          <w:tcPr>
            <w:tcW w:w="1418" w:type="dxa"/>
          </w:tcPr>
          <w:p w14:paraId="59164E72" w14:textId="407D82BC" w:rsidR="00731934" w:rsidRPr="005C5D74" w:rsidRDefault="00731934" w:rsidP="00116059">
            <w:pPr>
              <w:pStyle w:val="Tabletextleft"/>
              <w:cnfStyle w:val="000000100000" w:firstRow="0" w:lastRow="0" w:firstColumn="0" w:lastColumn="0" w:oddVBand="0" w:evenVBand="0" w:oddHBand="1" w:evenHBand="0" w:firstRowFirstColumn="0" w:firstRowLastColumn="0" w:lastRowFirstColumn="0" w:lastRowLastColumn="0"/>
            </w:pPr>
            <w:r w:rsidRPr="005C5D74">
              <w:t>$90.3 m</w:t>
            </w:r>
          </w:p>
        </w:tc>
        <w:tc>
          <w:tcPr>
            <w:tcW w:w="1416" w:type="dxa"/>
          </w:tcPr>
          <w:p w14:paraId="47CC4A59" w14:textId="26CF1CFD" w:rsidR="00731934" w:rsidRPr="005C5D74" w:rsidRDefault="00731934" w:rsidP="00116059">
            <w:pPr>
              <w:pStyle w:val="Tabletextleft"/>
              <w:cnfStyle w:val="000000100000" w:firstRow="0" w:lastRow="0" w:firstColumn="0" w:lastColumn="0" w:oddVBand="0" w:evenVBand="0" w:oddHBand="1" w:evenHBand="0" w:firstRowFirstColumn="0" w:firstRowLastColumn="0" w:lastRowFirstColumn="0" w:lastRowLastColumn="0"/>
            </w:pPr>
            <w:r w:rsidRPr="005C5D74">
              <w:t>$108.4 m</w:t>
            </w:r>
          </w:p>
        </w:tc>
      </w:tr>
      <w:tr w:rsidR="00731934" w:rsidRPr="002670AB" w14:paraId="00A991B7" w14:textId="77777777" w:rsidTr="005C5D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353F07C2" w14:textId="41AD2298" w:rsidR="00731934" w:rsidRPr="002670AB" w:rsidRDefault="00731934" w:rsidP="00116059">
            <w:pPr>
              <w:pStyle w:val="Tabletextleft"/>
              <w:rPr>
                <w:b/>
                <w:bCs/>
              </w:rPr>
            </w:pPr>
            <w:r w:rsidRPr="002670AB">
              <w:rPr>
                <w:b/>
                <w:bCs/>
              </w:rPr>
              <w:t>Total</w:t>
            </w:r>
          </w:p>
        </w:tc>
        <w:tc>
          <w:tcPr>
            <w:tcW w:w="1418" w:type="dxa"/>
          </w:tcPr>
          <w:p w14:paraId="4E197AD6" w14:textId="2A0D3473" w:rsidR="00731934" w:rsidRPr="002670AB" w:rsidRDefault="00731934" w:rsidP="00116059">
            <w:pPr>
              <w:pStyle w:val="Tabletextleft"/>
              <w:cnfStyle w:val="000000010000" w:firstRow="0" w:lastRow="0" w:firstColumn="0" w:lastColumn="0" w:oddVBand="0" w:evenVBand="0" w:oddHBand="0" w:evenHBand="1" w:firstRowFirstColumn="0" w:firstRowLastColumn="0" w:lastRowFirstColumn="0" w:lastRowLastColumn="0"/>
              <w:rPr>
                <w:b/>
                <w:bCs/>
              </w:rPr>
            </w:pPr>
            <w:r w:rsidRPr="002670AB">
              <w:rPr>
                <w:b/>
                <w:bCs/>
              </w:rPr>
              <w:t>$1.885 b</w:t>
            </w:r>
          </w:p>
        </w:tc>
        <w:tc>
          <w:tcPr>
            <w:tcW w:w="1416" w:type="dxa"/>
          </w:tcPr>
          <w:p w14:paraId="428A4A05" w14:textId="20EA15A9" w:rsidR="00731934" w:rsidRPr="00313BD4" w:rsidRDefault="00731934" w:rsidP="00116059">
            <w:pPr>
              <w:pStyle w:val="Tabletextleft"/>
              <w:cnfStyle w:val="000000010000" w:firstRow="0" w:lastRow="0" w:firstColumn="0" w:lastColumn="0" w:oddVBand="0" w:evenVBand="0" w:oddHBand="0" w:evenHBand="1" w:firstRowFirstColumn="0" w:firstRowLastColumn="0" w:lastRowFirstColumn="0" w:lastRowLastColumn="0"/>
              <w:rPr>
                <w:b/>
                <w:bCs/>
              </w:rPr>
            </w:pPr>
            <w:r w:rsidRPr="00313BD4">
              <w:rPr>
                <w:b/>
                <w:bCs/>
              </w:rPr>
              <w:t>$1.838 b</w:t>
            </w:r>
          </w:p>
        </w:tc>
      </w:tr>
    </w:tbl>
    <w:p w14:paraId="23BCAD88" w14:textId="77777777" w:rsidR="005C5D74" w:rsidRDefault="005C5D74" w:rsidP="00BF1308">
      <w:pPr>
        <w:rPr>
          <w:rStyle w:val="normaltextrun"/>
        </w:rPr>
      </w:pPr>
    </w:p>
    <w:p w14:paraId="20B1DF46" w14:textId="54FDB2AE" w:rsidR="00BF1308" w:rsidRDefault="00BF1308" w:rsidP="00BF1308">
      <w:pPr>
        <w:rPr>
          <w:rStyle w:val="normaltextrun"/>
        </w:rPr>
      </w:pPr>
      <w:r>
        <w:rPr>
          <w:rStyle w:val="normaltextrun"/>
        </w:rPr>
        <w:br w:type="page"/>
      </w:r>
    </w:p>
    <w:p w14:paraId="767FCD58" w14:textId="1C346275" w:rsidR="00B76981" w:rsidRDefault="00B76981" w:rsidP="00B76981">
      <w:pPr>
        <w:pStyle w:val="Heading1"/>
        <w:rPr>
          <w:rStyle w:val="normaltextrun"/>
        </w:rPr>
      </w:pPr>
      <w:bookmarkStart w:id="11" w:name="_Toc212100672"/>
      <w:r>
        <w:rPr>
          <w:rStyle w:val="normaltextrun"/>
        </w:rPr>
        <w:lastRenderedPageBreak/>
        <w:t>Performance Report</w:t>
      </w:r>
      <w:bookmarkEnd w:id="11"/>
    </w:p>
    <w:p w14:paraId="484551CD" w14:textId="1D03EB20" w:rsidR="0CFDE7D0" w:rsidRDefault="00B76981">
      <w:r>
        <w:t xml:space="preserve">The </w:t>
      </w:r>
      <w:r w:rsidR="005524C0">
        <w:t xml:space="preserve">PHN </w:t>
      </w:r>
      <w:r>
        <w:t>Program has two objectives outlined in the Performance and Quality Framework – to i</w:t>
      </w:r>
      <w:r w:rsidRPr="00614BAF">
        <w:t>ncrease the efficiency and effectiveness of medical services, particularly for patients at risk of poor health outcomes</w:t>
      </w:r>
      <w:r>
        <w:t>, and to i</w:t>
      </w:r>
      <w:r w:rsidRPr="00614BAF">
        <w:t>mprove coordination of care to ensure patients receive the right care in the right place at the right time.</w:t>
      </w:r>
      <w:r>
        <w:t xml:space="preserve"> In addressing the health needs of their region PHNs are also guided by the priority areas for targeted work and national priorities set by the Australian Government. </w:t>
      </w:r>
      <w:r w:rsidRPr="001930B2">
        <w:t xml:space="preserve">Performance indicators are linked to outcome themes to align PHN activities to the two program objectives, with performance in this report grouped by </w:t>
      </w:r>
      <w:r w:rsidR="007C68B4" w:rsidRPr="001930B2">
        <w:t xml:space="preserve">four of the </w:t>
      </w:r>
      <w:r w:rsidRPr="001930B2">
        <w:t xml:space="preserve">outcome themes specified in the </w:t>
      </w:r>
      <w:r w:rsidR="00087FBE" w:rsidRPr="001930B2">
        <w:rPr>
          <w:rFonts w:ascii="Helvetica" w:hAnsi="Helvetica" w:cs="Helvetica"/>
        </w:rPr>
        <w:t>PHN Program Performance and Quality Framework</w:t>
      </w:r>
      <w:r w:rsidRPr="001930B2">
        <w:t>.</w:t>
      </w:r>
      <w:r w:rsidR="00404ED5" w:rsidRPr="001930B2">
        <w:rPr>
          <w:rStyle w:val="FootnoteReference"/>
        </w:rPr>
        <w:footnoteReference w:id="15"/>
      </w:r>
      <w:r>
        <w:t xml:space="preserve"> </w:t>
      </w:r>
      <w:r w:rsidR="036B1AB1">
        <w:t>A full table of indicators and their corresponding</w:t>
      </w:r>
      <w:r w:rsidR="00AF3095">
        <w:t xml:space="preserve"> codes and </w:t>
      </w:r>
      <w:r w:rsidR="00E86B37">
        <w:t>titles</w:t>
      </w:r>
      <w:r w:rsidR="036B1AB1">
        <w:t xml:space="preserve"> are available </w:t>
      </w:r>
      <w:r w:rsidR="00A07E33">
        <w:t xml:space="preserve">at Appendix – </w:t>
      </w:r>
      <w:r w:rsidR="00A07E33" w:rsidRPr="00A07E33">
        <w:t>Performance and Quality Framework Indicators</w:t>
      </w:r>
      <w:r w:rsidR="00925B54">
        <w:t xml:space="preserve">. </w:t>
      </w:r>
    </w:p>
    <w:p w14:paraId="2A79BBFF" w14:textId="77777777" w:rsidR="00B76981" w:rsidRDefault="00B76981" w:rsidP="00402795">
      <w:pPr>
        <w:pStyle w:val="Heading2"/>
      </w:pPr>
      <w:bookmarkStart w:id="12" w:name="_Toc212100673"/>
      <w:r>
        <w:t>Addressing Needs</w:t>
      </w:r>
      <w:bookmarkEnd w:id="12"/>
    </w:p>
    <w:p w14:paraId="1B2DF690" w14:textId="3F294F4C" w:rsidR="00B76981" w:rsidRDefault="00B76981" w:rsidP="00BB6EAA">
      <w:r>
        <w:t>Performance indicators for this outcome theme encompass a</w:t>
      </w:r>
      <w:r w:rsidRPr="0068513F">
        <w:t xml:space="preserve">ctivities conducted by PHNs to address the needs of people in their local region, including </w:t>
      </w:r>
      <w:r>
        <w:t>for Aboriginal and Torres Strait Islander people</w:t>
      </w:r>
      <w:r w:rsidR="00151FEA">
        <w:t>,</w:t>
      </w:r>
      <w:r>
        <w:t xml:space="preserve"> and through fewer preventable hospitalisations for people with chronic conditions and vaccine preventable diseases. </w:t>
      </w:r>
    </w:p>
    <w:p w14:paraId="5DD9FCAC" w14:textId="4814BEA1" w:rsidR="00B76981" w:rsidRDefault="00FF5219" w:rsidP="001F0866">
      <w:pPr>
        <w:pStyle w:val="Heading3"/>
      </w:pPr>
      <w:r>
        <w:t xml:space="preserve">P1 – </w:t>
      </w:r>
      <w:r w:rsidR="00320208">
        <w:t>A</w:t>
      </w:r>
      <w:r w:rsidR="00B76981">
        <w:t xml:space="preserve">ctivities </w:t>
      </w:r>
      <w:r w:rsidR="00BE494A">
        <w:t>A</w:t>
      </w:r>
      <w:r w:rsidR="00B76981">
        <w:t xml:space="preserve">ddress </w:t>
      </w:r>
      <w:r w:rsidR="00BE494A">
        <w:t>P</w:t>
      </w:r>
      <w:r w:rsidR="00B76981">
        <w:t xml:space="preserve">rioritised </w:t>
      </w:r>
      <w:r w:rsidR="00BE494A">
        <w:t>N</w:t>
      </w:r>
      <w:r w:rsidR="00B76981">
        <w:t xml:space="preserve">eeds </w:t>
      </w:r>
    </w:p>
    <w:p w14:paraId="57D9568B" w14:textId="369A7875" w:rsidR="00B76981" w:rsidRDefault="009D7BF7" w:rsidP="00A73DBF">
      <w:pPr>
        <w:rPr>
          <w:szCs w:val="22"/>
        </w:rPr>
      </w:pPr>
      <w:r>
        <w:t>A</w:t>
      </w:r>
      <w:r w:rsidR="00B76981">
        <w:t xml:space="preserve">ll activities delivered by PHNs </w:t>
      </w:r>
      <w:r>
        <w:t xml:space="preserve">are required to </w:t>
      </w:r>
      <w:r w:rsidR="00B76981">
        <w:t>address prioritised needs and/or national priorities. Relevant activities are captured</w:t>
      </w:r>
      <w:r w:rsidR="00EC4909">
        <w:t xml:space="preserve"> in</w:t>
      </w:r>
      <w:r w:rsidR="00B76981">
        <w:t xml:space="preserve"> individual PHN </w:t>
      </w:r>
      <w:r w:rsidR="00B13EF2">
        <w:t xml:space="preserve">Health </w:t>
      </w:r>
      <w:r w:rsidR="00B76981">
        <w:t xml:space="preserve">Needs Assessments and included in related Activity </w:t>
      </w:r>
      <w:r w:rsidR="00AC2262">
        <w:t xml:space="preserve">Work </w:t>
      </w:r>
      <w:r w:rsidR="00B76981">
        <w:t>Plans. All PHNs have</w:t>
      </w:r>
      <w:r w:rsidR="00982845">
        <w:t xml:space="preserve"> reported and</w:t>
      </w:r>
      <w:r w:rsidR="00B76981">
        <w:t xml:space="preserve"> been assessed as meeting this indicator for the two reporting periods</w:t>
      </w:r>
      <w:r w:rsidR="009170AC">
        <w:t xml:space="preserve"> (2022–23 and 2023–24)</w:t>
      </w:r>
      <w:r w:rsidR="00B76981">
        <w:t xml:space="preserve">. </w:t>
      </w:r>
    </w:p>
    <w:p w14:paraId="47D9EC09" w14:textId="77777777" w:rsidR="00B76981" w:rsidRPr="00EE74EC" w:rsidRDefault="00B76981" w:rsidP="00B76981">
      <w:pPr>
        <w:pStyle w:val="Paragraphtext"/>
        <w:rPr>
          <w:sz w:val="22"/>
          <w:szCs w:val="22"/>
          <w:lang w:eastAsia="en-US"/>
        </w:rPr>
      </w:pPr>
    </w:p>
    <w:p w14:paraId="0E40F16F" w14:textId="0066503F" w:rsidR="00B76981" w:rsidRDefault="00FF5219" w:rsidP="00B76981">
      <w:pPr>
        <w:pStyle w:val="Heading3"/>
      </w:pPr>
      <w:r>
        <w:t xml:space="preserve">P2 – </w:t>
      </w:r>
      <w:r w:rsidR="00B76981">
        <w:t xml:space="preserve">Health </w:t>
      </w:r>
      <w:r w:rsidR="00BE494A">
        <w:t>S</w:t>
      </w:r>
      <w:r w:rsidR="00B76981">
        <w:t xml:space="preserve">ystem </w:t>
      </w:r>
      <w:r w:rsidR="00BE494A">
        <w:t>I</w:t>
      </w:r>
      <w:r w:rsidR="00B76981">
        <w:t xml:space="preserve">mprovement and </w:t>
      </w:r>
      <w:r w:rsidR="00BE494A">
        <w:t>I</w:t>
      </w:r>
      <w:r w:rsidR="00B76981">
        <w:t>nnovation</w:t>
      </w:r>
    </w:p>
    <w:p w14:paraId="28914B0F" w14:textId="189C659A" w:rsidR="00BA2278" w:rsidRDefault="00B76981" w:rsidP="00E728C1">
      <w:r>
        <w:t xml:space="preserve">All PHNs have been assessed as meeting this performance indicator for 2022–23 and </w:t>
      </w:r>
      <w:r w:rsidR="00A73DBF">
        <w:br/>
      </w:r>
      <w:r>
        <w:t>2023</w:t>
      </w:r>
      <w:r w:rsidR="00A73DBF">
        <w:t>–</w:t>
      </w:r>
      <w:r>
        <w:t>24, which is measured by providing at least one example of a health system improvement, innovation or commissioning best practice. Examples provided</w:t>
      </w:r>
      <w:r w:rsidR="00BA2278">
        <w:t xml:space="preserve"> include:</w:t>
      </w:r>
    </w:p>
    <w:p w14:paraId="4A2BAD42" w14:textId="0EB9EB9F" w:rsidR="00BA2278" w:rsidRDefault="00E728C1" w:rsidP="00BA2278">
      <w:pPr>
        <w:pStyle w:val="ListBullet"/>
      </w:pPr>
      <w:r>
        <w:t xml:space="preserve">the </w:t>
      </w:r>
      <w:r w:rsidR="005714D0">
        <w:t xml:space="preserve">implementation of </w:t>
      </w:r>
      <w:r w:rsidR="00AB322C">
        <w:t>onsite support programs such as social work and dementia support</w:t>
      </w:r>
      <w:r w:rsidR="005714D0">
        <w:t xml:space="preserve"> services</w:t>
      </w:r>
    </w:p>
    <w:p w14:paraId="425D72C9" w14:textId="51676711" w:rsidR="00BA2278" w:rsidRDefault="00BA2278" w:rsidP="00BA2278">
      <w:pPr>
        <w:pStyle w:val="ListBullet"/>
      </w:pPr>
      <w:r>
        <w:t>development of tools, including to track beds in residential aged care homes and assess risk of frailty in elderly community members</w:t>
      </w:r>
    </w:p>
    <w:p w14:paraId="5FF0E810" w14:textId="1A4E8595" w:rsidR="00BA2278" w:rsidRDefault="00E728C1" w:rsidP="00BA2278">
      <w:pPr>
        <w:pStyle w:val="ListBullet"/>
      </w:pPr>
      <w:r>
        <w:t xml:space="preserve">the </w:t>
      </w:r>
      <w:r w:rsidR="00AB322C">
        <w:t xml:space="preserve">co-design of community services for identified needs, </w:t>
      </w:r>
      <w:r w:rsidR="00BA2278">
        <w:t>such as</w:t>
      </w:r>
      <w:r w:rsidR="00AB322C">
        <w:t xml:space="preserve"> youth and mental health services</w:t>
      </w:r>
      <w:r w:rsidR="005714D0">
        <w:t xml:space="preserve"> and</w:t>
      </w:r>
      <w:r w:rsidR="00AB322C">
        <w:t xml:space="preserve"> </w:t>
      </w:r>
      <w:r w:rsidR="006F3C70">
        <w:t>improving access to services for multicultural members of the community</w:t>
      </w:r>
    </w:p>
    <w:p w14:paraId="4D65B6B1" w14:textId="2EB2BECD" w:rsidR="006F3C70" w:rsidRPr="00EE74EC" w:rsidRDefault="006F3C70" w:rsidP="00BA2278">
      <w:pPr>
        <w:pStyle w:val="ListBullet"/>
      </w:pPr>
      <w:r>
        <w:t xml:space="preserve">preventative health education programs, including for primary school children </w:t>
      </w:r>
      <w:r w:rsidR="005714D0">
        <w:t>in low socio-economic communities.</w:t>
      </w:r>
    </w:p>
    <w:p w14:paraId="2FF35F52" w14:textId="1089B13B" w:rsidR="00B76981" w:rsidRDefault="00FF5219" w:rsidP="00B76981">
      <w:pPr>
        <w:pStyle w:val="Heading3"/>
      </w:pPr>
      <w:r>
        <w:lastRenderedPageBreak/>
        <w:t>P12 –</w:t>
      </w:r>
      <w:r w:rsidR="00320208">
        <w:t xml:space="preserve"> P</w:t>
      </w:r>
      <w:r w:rsidR="00B76981">
        <w:t xml:space="preserve">otentially </w:t>
      </w:r>
      <w:r w:rsidR="00BE494A">
        <w:t>P</w:t>
      </w:r>
      <w:r w:rsidR="00B76981">
        <w:t xml:space="preserve">reventable </w:t>
      </w:r>
      <w:r w:rsidR="00BE494A">
        <w:t>H</w:t>
      </w:r>
      <w:r w:rsidR="00B76981">
        <w:t>ospitalisations</w:t>
      </w:r>
    </w:p>
    <w:p w14:paraId="0F6A6708" w14:textId="7783C89C" w:rsidR="00D2779D" w:rsidRDefault="00B76981" w:rsidP="00B76981">
      <w:r>
        <w:t>Potentially preventable hospitalisation (PPH) data is used in PHN performance reporting</w:t>
      </w:r>
      <w:r w:rsidR="00A666F6">
        <w:t xml:space="preserve"> </w:t>
      </w:r>
      <w:r>
        <w:t xml:space="preserve">to consider how effective health care is in local communities and whether higher rates are indicative of difficulty in accessing required and timely care. It is important to note that there can be other reasons for higher PPH rates, such as </w:t>
      </w:r>
      <w:r w:rsidR="0033686D">
        <w:t>higher disease</w:t>
      </w:r>
      <w:r w:rsidR="007155E9">
        <w:t xml:space="preserve"> rates, lifestyle and other risk factors</w:t>
      </w:r>
      <w:r w:rsidR="005511FE">
        <w:t>,</w:t>
      </w:r>
      <w:r w:rsidR="007155E9">
        <w:t xml:space="preserve"> as well as whether </w:t>
      </w:r>
      <w:r w:rsidR="005511FE">
        <w:t xml:space="preserve">existing </w:t>
      </w:r>
      <w:r w:rsidR="007155E9">
        <w:t xml:space="preserve">hospital services are </w:t>
      </w:r>
      <w:r w:rsidR="005511FE">
        <w:t>sufficient.</w:t>
      </w:r>
      <w:r w:rsidR="00927421">
        <w:rPr>
          <w:rStyle w:val="FootnoteReference"/>
        </w:rPr>
        <w:footnoteReference w:id="16"/>
      </w:r>
      <w:r w:rsidR="003105E3">
        <w:t xml:space="preserve"> PPH </w:t>
      </w:r>
      <w:r w:rsidR="000758E7">
        <w:t xml:space="preserve">rates can provide insight into </w:t>
      </w:r>
      <w:r w:rsidR="00151FEA">
        <w:t xml:space="preserve">the </w:t>
      </w:r>
      <w:r w:rsidR="000758E7">
        <w:t xml:space="preserve">usage of health services and </w:t>
      </w:r>
      <w:r w:rsidR="009D1920">
        <w:t>health inequalities</w:t>
      </w:r>
      <w:r w:rsidR="00032462">
        <w:t xml:space="preserve">, </w:t>
      </w:r>
      <w:r w:rsidR="000F6810">
        <w:t>allowing PHNs to investigate and assess</w:t>
      </w:r>
      <w:r w:rsidR="007B1437">
        <w:t xml:space="preserve"> the health needs in their regions</w:t>
      </w:r>
      <w:r w:rsidR="00927421">
        <w:t>.</w:t>
      </w:r>
      <w:r w:rsidR="00740F86">
        <w:t xml:space="preserve"> </w:t>
      </w:r>
    </w:p>
    <w:p w14:paraId="6B618072" w14:textId="31980F16" w:rsidR="008F3BD0" w:rsidRDefault="007A4748" w:rsidP="00B76981">
      <w:r>
        <w:t>The overall rate of PPH is comprised of conditions in three sub-categories</w:t>
      </w:r>
      <w:r w:rsidR="000F5BFC">
        <w:t>:</w:t>
      </w:r>
    </w:p>
    <w:p w14:paraId="771DAA08" w14:textId="77777777" w:rsidR="00484691" w:rsidRDefault="000F5BFC" w:rsidP="000F5BFC">
      <w:pPr>
        <w:pStyle w:val="ListParagraph"/>
        <w:numPr>
          <w:ilvl w:val="0"/>
          <w:numId w:val="21"/>
        </w:numPr>
      </w:pPr>
      <w:r>
        <w:t xml:space="preserve">Acute conditions (e.g. </w:t>
      </w:r>
      <w:r w:rsidR="0001115E">
        <w:t xml:space="preserve">non-vaccine-preventable pneumonia, urinary tract infections, </w:t>
      </w:r>
      <w:r w:rsidR="00EE20E3">
        <w:t xml:space="preserve">perforated ulcer, cellulitis, dental conditions and </w:t>
      </w:r>
      <w:r w:rsidR="00484691">
        <w:t>epilepsy)</w:t>
      </w:r>
    </w:p>
    <w:p w14:paraId="516AC7A0" w14:textId="77777777" w:rsidR="00C40827" w:rsidRDefault="00484691" w:rsidP="000F5BFC">
      <w:pPr>
        <w:pStyle w:val="ListParagraph"/>
        <w:numPr>
          <w:ilvl w:val="0"/>
          <w:numId w:val="21"/>
        </w:numPr>
      </w:pPr>
      <w:r>
        <w:t xml:space="preserve">Chronic conditions (e.g. </w:t>
      </w:r>
      <w:r w:rsidR="00C40827">
        <w:t>asthma, congestive cardiac failure, diabetes, COPD, hypertension and rheumatic heart diseases)</w:t>
      </w:r>
    </w:p>
    <w:p w14:paraId="1F390AAE" w14:textId="1C89F385" w:rsidR="000F5BFC" w:rsidRDefault="00C40827" w:rsidP="00E71974">
      <w:pPr>
        <w:pStyle w:val="ListParagraph"/>
        <w:numPr>
          <w:ilvl w:val="0"/>
          <w:numId w:val="21"/>
        </w:numPr>
      </w:pPr>
      <w:r>
        <w:t xml:space="preserve">Vaccine-preventable (e.g. pneumonia and influenza, </w:t>
      </w:r>
      <w:r w:rsidR="00E71974">
        <w:t xml:space="preserve">varicella, measles, acute hepatitis B and mumps). </w:t>
      </w:r>
      <w:r w:rsidR="0001115E">
        <w:t xml:space="preserve"> </w:t>
      </w:r>
    </w:p>
    <w:p w14:paraId="70FB7415" w14:textId="508F371D" w:rsidR="00D2779D" w:rsidRDefault="00D2779D" w:rsidP="00B76981">
      <w:r>
        <w:t>In 202</w:t>
      </w:r>
      <w:r w:rsidR="004320B9">
        <w:t>3</w:t>
      </w:r>
      <w:r>
        <w:t>–2</w:t>
      </w:r>
      <w:r w:rsidR="004320B9">
        <w:t>4</w:t>
      </w:r>
      <w:r>
        <w:t xml:space="preserve"> there was an overall increase in the average rate of potentially preventable hospitalisations</w:t>
      </w:r>
      <w:r w:rsidR="0056042A">
        <w:t xml:space="preserve"> following multiple years of a decreasing rate.</w:t>
      </w:r>
      <w:r w:rsidR="002D7739">
        <w:t xml:space="preserve"> Rates continue to be higher in regional areas when compared to metropolitan areas, with the highest rates recorded in the Northern Territory. </w:t>
      </w:r>
    </w:p>
    <w:p w14:paraId="37D8E93B" w14:textId="708CDD10" w:rsidR="00750588" w:rsidRDefault="00A95BF0" w:rsidP="00E55CD8">
      <w:pPr>
        <w:pStyle w:val="FigureTitle"/>
        <w:keepNext/>
      </w:pPr>
      <w:r>
        <w:t xml:space="preserve">Figure </w:t>
      </w:r>
      <w:r w:rsidR="00865745">
        <w:t>2</w:t>
      </w:r>
      <w:r>
        <w:t xml:space="preserve">: </w:t>
      </w:r>
      <w:r w:rsidR="00977C90">
        <w:t xml:space="preserve">Average rate of </w:t>
      </w:r>
      <w:r>
        <w:t>potentially preventable hospitalisations, per 100,000 population, age-standardised, 201</w:t>
      </w:r>
      <w:r w:rsidR="004320B9">
        <w:t>9</w:t>
      </w:r>
      <w:r>
        <w:t>–</w:t>
      </w:r>
      <w:r w:rsidR="004320B9">
        <w:t>20</w:t>
      </w:r>
      <w:r>
        <w:t xml:space="preserve"> to 202</w:t>
      </w:r>
      <w:r w:rsidR="004320B9">
        <w:t>3</w:t>
      </w:r>
      <w:r>
        <w:t>–2</w:t>
      </w:r>
      <w:r w:rsidR="004320B9">
        <w:t>4</w:t>
      </w:r>
      <w:r w:rsidR="000F561F">
        <w:rPr>
          <w:rStyle w:val="FootnoteReference"/>
        </w:rPr>
        <w:footnoteReference w:id="17"/>
      </w:r>
    </w:p>
    <w:p w14:paraId="436A9B21" w14:textId="13012810" w:rsidR="004320B9" w:rsidRPr="004320B9" w:rsidRDefault="004320B9" w:rsidP="004320B9">
      <w:r w:rsidRPr="004320B9">
        <w:rPr>
          <w:noProof/>
        </w:rPr>
        <w:drawing>
          <wp:inline distT="0" distB="0" distL="0" distR="0" wp14:anchorId="2E6A9DFE" wp14:editId="3F8C42D7">
            <wp:extent cx="5200650" cy="2981325"/>
            <wp:effectExtent l="0" t="0" r="0" b="9525"/>
            <wp:docPr id="743233981" name="Picture 1" descr="Figure 2: A bar graph showing the average rate of potentially preventable hospitalisations, per 100,000 population, age-standardised, 2019–20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33981" name="Picture 1" descr="Figure 2: A bar graph showing the average rate of potentially preventable hospitalisations, per 100,000 population, age-standardised, 2019–20 to 2023–24"/>
                    <pic:cNvPicPr/>
                  </pic:nvPicPr>
                  <pic:blipFill>
                    <a:blip r:embed="rId26"/>
                    <a:stretch>
                      <a:fillRect/>
                    </a:stretch>
                  </pic:blipFill>
                  <pic:spPr>
                    <a:xfrm>
                      <a:off x="0" y="0"/>
                      <a:ext cx="5200650" cy="2981325"/>
                    </a:xfrm>
                    <a:prstGeom prst="rect">
                      <a:avLst/>
                    </a:prstGeom>
                  </pic:spPr>
                </pic:pic>
              </a:graphicData>
            </a:graphic>
          </wp:inline>
        </w:drawing>
      </w:r>
    </w:p>
    <w:p w14:paraId="1414B884" w14:textId="08D0E08B" w:rsidR="00B76981" w:rsidRDefault="002D7739" w:rsidP="00B76981">
      <w:r>
        <w:lastRenderedPageBreak/>
        <w:t>Increases in identified potentially preventable acute</w:t>
      </w:r>
      <w:r w:rsidR="0056042A">
        <w:t xml:space="preserve"> conditions (</w:t>
      </w:r>
      <w:r w:rsidR="004320B9">
        <w:t>1171.4</w:t>
      </w:r>
      <w:r w:rsidR="0056042A">
        <w:t xml:space="preserve"> per 100,000 population </w:t>
      </w:r>
      <w:r w:rsidR="00393652">
        <w:t xml:space="preserve">in 2021–22 </w:t>
      </w:r>
      <w:r w:rsidR="0056042A">
        <w:t xml:space="preserve">to </w:t>
      </w:r>
      <w:r w:rsidR="004320B9">
        <w:t>1322.5</w:t>
      </w:r>
      <w:r w:rsidR="0056042A">
        <w:t xml:space="preserve"> in 202</w:t>
      </w:r>
      <w:r w:rsidR="004320B9">
        <w:t>3</w:t>
      </w:r>
      <w:r w:rsidR="0056042A">
        <w:t>–2</w:t>
      </w:r>
      <w:r w:rsidR="004320B9">
        <w:t>4</w:t>
      </w:r>
      <w:r w:rsidR="0056042A">
        <w:t>), chronic conditions (</w:t>
      </w:r>
      <w:r w:rsidR="004320B9">
        <w:t>999.6</w:t>
      </w:r>
      <w:r w:rsidR="0056042A">
        <w:t xml:space="preserve"> per 100,000 population to </w:t>
      </w:r>
      <w:r w:rsidR="004320B9">
        <w:t>1072.1</w:t>
      </w:r>
      <w:r w:rsidR="0056042A">
        <w:t xml:space="preserve"> in 202</w:t>
      </w:r>
      <w:r w:rsidR="004320B9">
        <w:t>3</w:t>
      </w:r>
      <w:r w:rsidR="0056042A">
        <w:t>–2</w:t>
      </w:r>
      <w:r w:rsidR="004320B9">
        <w:t>4</w:t>
      </w:r>
      <w:r w:rsidR="0056042A">
        <w:t xml:space="preserve">) and </w:t>
      </w:r>
      <w:r w:rsidR="005215C3">
        <w:t>vaccine preventable conditions (</w:t>
      </w:r>
      <w:r w:rsidR="004320B9">
        <w:t>154.9</w:t>
      </w:r>
      <w:r w:rsidR="005215C3">
        <w:t xml:space="preserve"> per 100,000 population in 2021–22 to </w:t>
      </w:r>
      <w:r w:rsidR="004320B9">
        <w:t>252.4</w:t>
      </w:r>
      <w:r w:rsidR="005215C3">
        <w:t xml:space="preserve"> in 202</w:t>
      </w:r>
      <w:r w:rsidR="004320B9">
        <w:t>3</w:t>
      </w:r>
      <w:r w:rsidR="005215C3">
        <w:t>–2</w:t>
      </w:r>
      <w:r w:rsidR="004320B9">
        <w:t>4</w:t>
      </w:r>
      <w:r w:rsidR="0056042A">
        <w:t>)</w:t>
      </w:r>
      <w:r w:rsidR="001604B6">
        <w:t xml:space="preserve"> were recorded</w:t>
      </w:r>
      <w:r>
        <w:t xml:space="preserve">, </w:t>
      </w:r>
      <w:r w:rsidR="00292C5E">
        <w:t>suggesting</w:t>
      </w:r>
      <w:r>
        <w:t xml:space="preserve"> further scope for support in these areas across the primary health care network.</w:t>
      </w:r>
      <w:r w:rsidR="00861DC4">
        <w:rPr>
          <w:rStyle w:val="FootnoteReference"/>
        </w:rPr>
        <w:footnoteReference w:id="18"/>
      </w:r>
    </w:p>
    <w:p w14:paraId="2ED88EBA" w14:textId="22803326" w:rsidR="00C16B5C" w:rsidRDefault="00C16B5C">
      <w:pPr>
        <w:spacing w:before="0" w:after="0" w:line="240" w:lineRule="auto"/>
        <w:rPr>
          <w:rFonts w:cs="Arial"/>
          <w:b/>
          <w:bCs/>
          <w:iCs/>
          <w:szCs w:val="22"/>
        </w:rPr>
      </w:pPr>
    </w:p>
    <w:p w14:paraId="6A4EC86F" w14:textId="3C643191" w:rsidR="00A856B8" w:rsidRDefault="00A95BF0" w:rsidP="00E55CD8">
      <w:pPr>
        <w:pStyle w:val="FigureTitle"/>
        <w:keepNext/>
      </w:pPr>
      <w:r>
        <w:t xml:space="preserve">Figure </w:t>
      </w:r>
      <w:r w:rsidR="00865745">
        <w:t>3</w:t>
      </w:r>
      <w:r>
        <w:t xml:space="preserve">: </w:t>
      </w:r>
      <w:r w:rsidR="003264B4">
        <w:t>Average rate</w:t>
      </w:r>
      <w:r w:rsidR="00977C90">
        <w:t xml:space="preserve"> of </w:t>
      </w:r>
      <w:r>
        <w:t>potentially preventable hospitalisations by type, per 100,000 population, age-standardised, 201</w:t>
      </w:r>
      <w:r w:rsidR="00740F86">
        <w:t>9</w:t>
      </w:r>
      <w:r>
        <w:t>–</w:t>
      </w:r>
      <w:r w:rsidR="00740F86">
        <w:t>2</w:t>
      </w:r>
      <w:r w:rsidR="004320B9">
        <w:t>0</w:t>
      </w:r>
      <w:r>
        <w:t xml:space="preserve"> to 202</w:t>
      </w:r>
      <w:r w:rsidR="00740F86">
        <w:t>3</w:t>
      </w:r>
      <w:r>
        <w:t>–2</w:t>
      </w:r>
      <w:r w:rsidR="00740F86">
        <w:t>4</w:t>
      </w:r>
    </w:p>
    <w:p w14:paraId="1D3E1EA2" w14:textId="244C4952" w:rsidR="004320B9" w:rsidRPr="004320B9" w:rsidRDefault="004320B9" w:rsidP="004320B9">
      <w:r w:rsidRPr="004320B9">
        <w:rPr>
          <w:noProof/>
        </w:rPr>
        <w:drawing>
          <wp:inline distT="0" distB="0" distL="0" distR="0" wp14:anchorId="1DA5905B" wp14:editId="469A6432">
            <wp:extent cx="5210175" cy="2962275"/>
            <wp:effectExtent l="0" t="0" r="9525" b="9525"/>
            <wp:docPr id="823422521" name="Picture 1" descr="Figure 3: A bar graph showing the average rate of potentially preventable hospitalisations by type, per 100,000 population, age-standardised, 2019–20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22521" name="Picture 1" descr="Figure 3: A bar graph showing the average rate of potentially preventable hospitalisations by type, per 100,000 population, age-standardised, 2019–20 to 2023–24"/>
                    <pic:cNvPicPr/>
                  </pic:nvPicPr>
                  <pic:blipFill>
                    <a:blip r:embed="rId27"/>
                    <a:stretch>
                      <a:fillRect/>
                    </a:stretch>
                  </pic:blipFill>
                  <pic:spPr>
                    <a:xfrm>
                      <a:off x="0" y="0"/>
                      <a:ext cx="5210175" cy="2962275"/>
                    </a:xfrm>
                    <a:prstGeom prst="rect">
                      <a:avLst/>
                    </a:prstGeom>
                  </pic:spPr>
                </pic:pic>
              </a:graphicData>
            </a:graphic>
          </wp:inline>
        </w:drawing>
      </w:r>
    </w:p>
    <w:p w14:paraId="74A12084" w14:textId="77777777" w:rsidR="00B76981" w:rsidRDefault="00B76981" w:rsidP="00B76981">
      <w:pPr>
        <w:pStyle w:val="Paragraphtext"/>
        <w:rPr>
          <w:lang w:eastAsia="en-US"/>
        </w:rPr>
      </w:pPr>
    </w:p>
    <w:p w14:paraId="64696AB3" w14:textId="45265FBB" w:rsidR="00B76981" w:rsidRDefault="00FF5219" w:rsidP="00B76981">
      <w:pPr>
        <w:pStyle w:val="Heading3"/>
      </w:pPr>
      <w:r>
        <w:t>FN1 –</w:t>
      </w:r>
      <w:r w:rsidR="006707C6">
        <w:t xml:space="preserve"> </w:t>
      </w:r>
      <w:r w:rsidR="00B76981">
        <w:t>I</w:t>
      </w:r>
      <w:r w:rsidR="00D86E67">
        <w:t xml:space="preserve">ntegrated </w:t>
      </w:r>
      <w:r w:rsidR="00B76981">
        <w:t>T</w:t>
      </w:r>
      <w:r w:rsidR="00D86E67">
        <w:t xml:space="preserve">eam </w:t>
      </w:r>
      <w:r w:rsidR="00B76981">
        <w:t>C</w:t>
      </w:r>
      <w:r w:rsidR="00D86E67">
        <w:t>are</w:t>
      </w:r>
      <w:r w:rsidR="00B76981">
        <w:t xml:space="preserve"> </w:t>
      </w:r>
      <w:r w:rsidR="00320208">
        <w:t xml:space="preserve">– </w:t>
      </w:r>
      <w:r w:rsidR="00BE494A">
        <w:t>D</w:t>
      </w:r>
      <w:r w:rsidR="00320208">
        <w:t>elivery</w:t>
      </w:r>
    </w:p>
    <w:p w14:paraId="3B26DB71" w14:textId="14E17D1B" w:rsidR="005F6417" w:rsidRDefault="00562E71" w:rsidP="00E05044">
      <w:r>
        <w:t xml:space="preserve">The Integrated Team Care </w:t>
      </w:r>
      <w:r w:rsidR="003728D8">
        <w:t xml:space="preserve">(ITC) program </w:t>
      </w:r>
      <w:r w:rsidR="00382EE4">
        <w:t xml:space="preserve">is a national program funded under the Indigenous Australian’s Health Programme since 2016. The program </w:t>
      </w:r>
      <w:r w:rsidR="00E520FF">
        <w:t xml:space="preserve">supports </w:t>
      </w:r>
      <w:r w:rsidR="0057011D">
        <w:t xml:space="preserve">Aboriginal and Torres </w:t>
      </w:r>
      <w:r w:rsidR="00EE066F">
        <w:t>Strait Islander people with chronic conditions</w:t>
      </w:r>
      <w:r w:rsidR="008E6EBF">
        <w:t xml:space="preserve"> to access </w:t>
      </w:r>
      <w:r w:rsidR="00382EE4" w:rsidRPr="009048DA">
        <w:t>high-quality, culturally appropriate primary health care</w:t>
      </w:r>
      <w:r w:rsidR="00382EE4">
        <w:t xml:space="preserve">. </w:t>
      </w:r>
      <w:r w:rsidR="00382EE4" w:rsidRPr="009048DA">
        <w:t xml:space="preserve">The program supports access to an integrated, multi-disciplinary workforce provided by a team of Aboriginal and Torres Strait Islander Health Project Officers, Aboriginal and Torres Strait Islander Outreach Workers and Care Coordinators to improve the management of complex chronic disease for </w:t>
      </w:r>
      <w:r w:rsidR="00313BD4">
        <w:t>Aboriginal and Torres Strait Islander</w:t>
      </w:r>
      <w:r w:rsidR="00382EE4" w:rsidRPr="009048DA">
        <w:t xml:space="preserve"> people</w:t>
      </w:r>
      <w:r w:rsidR="00EE066F">
        <w:t>.</w:t>
      </w:r>
      <w:r w:rsidR="00292C5E">
        <w:rPr>
          <w:rStyle w:val="FootnoteReference"/>
        </w:rPr>
        <w:footnoteReference w:id="19"/>
      </w:r>
      <w:r w:rsidR="00EE066F">
        <w:t xml:space="preserve"> </w:t>
      </w:r>
      <w:r w:rsidR="00D4488B">
        <w:t>PHNs</w:t>
      </w:r>
      <w:r w:rsidR="00DB642C">
        <w:t xml:space="preserve">, as commissioning bodies for health </w:t>
      </w:r>
      <w:r w:rsidR="004A3D73">
        <w:t xml:space="preserve">services </w:t>
      </w:r>
      <w:r w:rsidR="00DB642C">
        <w:t xml:space="preserve">that provide </w:t>
      </w:r>
      <w:r w:rsidR="004675D1">
        <w:t xml:space="preserve">individual support to clients, </w:t>
      </w:r>
      <w:r w:rsidR="00C25667">
        <w:t>submit</w:t>
      </w:r>
      <w:r w:rsidR="00D4488B">
        <w:t xml:space="preserve"> data on the number of services </w:t>
      </w:r>
      <w:r w:rsidR="00C25667">
        <w:t>delivered</w:t>
      </w:r>
      <w:r w:rsidR="00D4488B">
        <w:t xml:space="preserve"> </w:t>
      </w:r>
      <w:r w:rsidR="00C25667">
        <w:t>during</w:t>
      </w:r>
      <w:r w:rsidR="005F22D7">
        <w:t xml:space="preserve"> the reporting period </w:t>
      </w:r>
      <w:r w:rsidR="00715CEB">
        <w:t xml:space="preserve">to </w:t>
      </w:r>
      <w:r w:rsidR="00593EDB">
        <w:t xml:space="preserve">demonstrate </w:t>
      </w:r>
      <w:r w:rsidR="004A3D73">
        <w:t>the support provided for their region</w:t>
      </w:r>
      <w:r w:rsidR="005F22D7">
        <w:t xml:space="preserve">. </w:t>
      </w:r>
    </w:p>
    <w:p w14:paraId="55BF076F" w14:textId="186FB079" w:rsidR="005F6417" w:rsidRDefault="005F22D7" w:rsidP="005F6417">
      <w:r>
        <w:t>In</w:t>
      </w:r>
      <w:r w:rsidR="002656B1">
        <w:t xml:space="preserve"> 2022–23</w:t>
      </w:r>
      <w:r w:rsidR="00370BFF">
        <w:t xml:space="preserve"> a total of </w:t>
      </w:r>
      <w:r w:rsidR="00E728C1">
        <w:t>657,273</w:t>
      </w:r>
      <w:r w:rsidR="002656B1">
        <w:t xml:space="preserve"> individual services</w:t>
      </w:r>
      <w:r w:rsidR="004C5931">
        <w:t xml:space="preserve"> were</w:t>
      </w:r>
      <w:r w:rsidR="002656B1">
        <w:t xml:space="preserve"> provided </w:t>
      </w:r>
      <w:r w:rsidR="00E05044">
        <w:t xml:space="preserve">to </w:t>
      </w:r>
      <w:r w:rsidR="00E862D4">
        <w:t>eligible people</w:t>
      </w:r>
      <w:r w:rsidR="00FF22F8">
        <w:t xml:space="preserve">, </w:t>
      </w:r>
      <w:r w:rsidR="00370BFF">
        <w:t>with an increase to 760,045 services</w:t>
      </w:r>
      <w:r w:rsidR="00FF22F8">
        <w:t xml:space="preserve"> for 2023–24. </w:t>
      </w:r>
      <w:r w:rsidR="005F6417">
        <w:t>While t</w:t>
      </w:r>
      <w:r w:rsidR="00370BFF">
        <w:t>he total services provided</w:t>
      </w:r>
      <w:r w:rsidR="005F6417">
        <w:t xml:space="preserve"> has declined when compared to the previous reporting period (898,580 for 2021–22) the rate of services </w:t>
      </w:r>
      <w:r w:rsidR="005F6417">
        <w:lastRenderedPageBreak/>
        <w:t xml:space="preserve">provided per eligible person has remained relatively stable at </w:t>
      </w:r>
      <w:r w:rsidR="00521637">
        <w:t>0.9</w:t>
      </w:r>
      <w:r w:rsidR="005F6417">
        <w:t xml:space="preserve"> services in 2023–24, an increase from </w:t>
      </w:r>
      <w:r w:rsidR="00521637">
        <w:t>0.8</w:t>
      </w:r>
      <w:r w:rsidR="005F6417">
        <w:t xml:space="preserve"> in 2022–23, and slightly lower than the </w:t>
      </w:r>
      <w:r w:rsidR="00521637">
        <w:t>1.2</w:t>
      </w:r>
      <w:r w:rsidR="005F6417">
        <w:t xml:space="preserve"> services provided in 2020–21.</w:t>
      </w:r>
      <w:r w:rsidR="00087EB1">
        <w:t xml:space="preserve"> </w:t>
      </w:r>
      <w:r w:rsidR="00A63D69">
        <w:t xml:space="preserve">Three PHN regions have </w:t>
      </w:r>
      <w:r w:rsidR="004D202D">
        <w:t>transferred</w:t>
      </w:r>
      <w:r w:rsidR="00A63D69">
        <w:t xml:space="preserve"> </w:t>
      </w:r>
      <w:r w:rsidR="004D202D">
        <w:t xml:space="preserve">funding and responsibility for </w:t>
      </w:r>
      <w:r w:rsidR="00A63D69">
        <w:t>the delivery of ITC services</w:t>
      </w:r>
      <w:r w:rsidR="004D202D">
        <w:t xml:space="preserve"> for their regions to the Institute for Urban Indigenous Health in 2022–23</w:t>
      </w:r>
      <w:r w:rsidR="00A63D69">
        <w:t>, therefore</w:t>
      </w:r>
      <w:r w:rsidR="00AC4BFD">
        <w:t xml:space="preserve"> any</w:t>
      </w:r>
      <w:r w:rsidR="00A63D69">
        <w:t xml:space="preserve"> </w:t>
      </w:r>
      <w:r w:rsidR="00087EB1">
        <w:t>c</w:t>
      </w:r>
      <w:r w:rsidR="00061DE2">
        <w:t xml:space="preserve">omparison with reporting periods </w:t>
      </w:r>
      <w:r w:rsidR="00431039">
        <w:t>prior to 2</w:t>
      </w:r>
      <w:r w:rsidR="00592C03">
        <w:t>0</w:t>
      </w:r>
      <w:r w:rsidR="00431039">
        <w:t xml:space="preserve">22–23 </w:t>
      </w:r>
      <w:r w:rsidR="00061DE2">
        <w:t xml:space="preserve">must </w:t>
      </w:r>
      <w:r w:rsidR="00087EB1">
        <w:t>account</w:t>
      </w:r>
      <w:r w:rsidR="00061DE2">
        <w:t xml:space="preserve"> for</w:t>
      </w:r>
      <w:r w:rsidR="00A63D69">
        <w:t xml:space="preserve"> the reduced number of PHNs reporting directly </w:t>
      </w:r>
      <w:r w:rsidR="005F6417">
        <w:t>on this indicator.</w:t>
      </w:r>
      <w:r w:rsidR="00087EB1">
        <w:rPr>
          <w:rStyle w:val="FootnoteReference"/>
        </w:rPr>
        <w:footnoteReference w:id="20"/>
      </w:r>
      <w:r w:rsidR="005F6417">
        <w:t xml:space="preserve"> </w:t>
      </w:r>
    </w:p>
    <w:p w14:paraId="377707D5" w14:textId="2B8795F4" w:rsidR="00061B16" w:rsidRDefault="00061B16">
      <w:pPr>
        <w:spacing w:before="0" w:after="0" w:line="240" w:lineRule="auto"/>
      </w:pPr>
    </w:p>
    <w:p w14:paraId="4233E8AD" w14:textId="45B6E6B9" w:rsidR="00061B16" w:rsidRDefault="00061B16" w:rsidP="00061B16">
      <w:pPr>
        <w:pStyle w:val="FigureTitle"/>
      </w:pPr>
      <w:r>
        <w:t xml:space="preserve">Figure </w:t>
      </w:r>
      <w:r w:rsidR="00865745">
        <w:t>4</w:t>
      </w:r>
      <w:r>
        <w:t xml:space="preserve">: ITC services delivered by PHN, by category, per </w:t>
      </w:r>
      <w:r w:rsidR="00313BD4">
        <w:t>Aboriginal and Torres Stra</w:t>
      </w:r>
      <w:r w:rsidR="00B13EF2">
        <w:t>i</w:t>
      </w:r>
      <w:r w:rsidR="00313BD4">
        <w:t>t Islander</w:t>
      </w:r>
      <w:r>
        <w:t xml:space="preserve"> population</w:t>
      </w:r>
      <w:r w:rsidR="00B13EF2">
        <w:t>, 2019–20 to 2023–24</w:t>
      </w:r>
    </w:p>
    <w:p w14:paraId="3E80F631" w14:textId="1C5B446C" w:rsidR="00C464C0" w:rsidRDefault="00C464C0" w:rsidP="00C464C0">
      <w:r w:rsidRPr="00C464C0">
        <w:rPr>
          <w:noProof/>
        </w:rPr>
        <w:drawing>
          <wp:inline distT="0" distB="0" distL="0" distR="0" wp14:anchorId="745CA1F2" wp14:editId="575E01C8">
            <wp:extent cx="4848225" cy="2943225"/>
            <wp:effectExtent l="0" t="0" r="9525" b="9525"/>
            <wp:docPr id="52499864" name="Picture 1" descr="Figure 4: A bar graph showing ITC services delivered by PHN, by category, per Aboriginal and Torres Strait Islander population, 2019–20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9864" name="Picture 1" descr="Figure 4: A bar graph showing ITC services delivered by PHN, by category, per Aboriginal and Torres Strait Islander population, 2019–20 to 2023–24"/>
                    <pic:cNvPicPr/>
                  </pic:nvPicPr>
                  <pic:blipFill>
                    <a:blip r:embed="rId28"/>
                    <a:stretch>
                      <a:fillRect/>
                    </a:stretch>
                  </pic:blipFill>
                  <pic:spPr>
                    <a:xfrm>
                      <a:off x="0" y="0"/>
                      <a:ext cx="4848225" cy="2943225"/>
                    </a:xfrm>
                    <a:prstGeom prst="rect">
                      <a:avLst/>
                    </a:prstGeom>
                  </pic:spPr>
                </pic:pic>
              </a:graphicData>
            </a:graphic>
          </wp:inline>
        </w:drawing>
      </w:r>
    </w:p>
    <w:p w14:paraId="27605777" w14:textId="77777777" w:rsidR="00C464C0" w:rsidRDefault="00C464C0" w:rsidP="00C464C0"/>
    <w:p w14:paraId="3CFC952B" w14:textId="0EA1C2E1" w:rsidR="00B76981" w:rsidRDefault="00FF5219" w:rsidP="00B76981">
      <w:pPr>
        <w:pStyle w:val="Heading3"/>
      </w:pPr>
      <w:r>
        <w:t>FN2 –</w:t>
      </w:r>
      <w:r w:rsidR="00320208">
        <w:t xml:space="preserve"> </w:t>
      </w:r>
      <w:r w:rsidR="00B76981">
        <w:t>I</w:t>
      </w:r>
      <w:r w:rsidR="00DE42E9">
        <w:t xml:space="preserve">ntegrated </w:t>
      </w:r>
      <w:r w:rsidR="00B76981">
        <w:t>T</w:t>
      </w:r>
      <w:r w:rsidR="00DE42E9">
        <w:t xml:space="preserve">eam </w:t>
      </w:r>
      <w:r w:rsidR="00B76981">
        <w:t>C</w:t>
      </w:r>
      <w:r w:rsidR="00DE42E9">
        <w:t>are</w:t>
      </w:r>
      <w:r w:rsidR="00B76981">
        <w:t xml:space="preserve"> services</w:t>
      </w:r>
      <w:r w:rsidR="00320208">
        <w:t xml:space="preserve"> – Organisations</w:t>
      </w:r>
    </w:p>
    <w:p w14:paraId="3C9B5993" w14:textId="2E93C07D" w:rsidR="00592C03" w:rsidRDefault="00382EE4" w:rsidP="00F94B2F">
      <w:r w:rsidRPr="00382EE4">
        <w:t xml:space="preserve">PHNs </w:t>
      </w:r>
      <w:r w:rsidR="00B43F54">
        <w:t>are required to</w:t>
      </w:r>
      <w:r w:rsidRPr="00382EE4">
        <w:t xml:space="preserve"> collaborate with the Aboriginal and Torres Strait Islander health sector and adopt flexible approaches to contracting health services to ensure regional needs and local health priorities are met. Innovative approaches, and equitable investment in the </w:t>
      </w:r>
      <w:proofErr w:type="gramStart"/>
      <w:r w:rsidRPr="00382EE4">
        <w:t>community controlled</w:t>
      </w:r>
      <w:proofErr w:type="gramEnd"/>
      <w:r w:rsidRPr="00382EE4">
        <w:t xml:space="preserve"> sector and in improving cultural safety and responsiveness in mainstream health services</w:t>
      </w:r>
      <w:r w:rsidR="000021F2">
        <w:t>,</w:t>
      </w:r>
      <w:r w:rsidRPr="00382EE4">
        <w:t xml:space="preserve"> ensures that chronic disease management and care for Aboriginal and Torres Strait Islander people is culturally safe and accessible no matter where a client chooses to access care in their region.</w:t>
      </w:r>
      <w:r w:rsidR="00CE407C">
        <w:rPr>
          <w:rStyle w:val="FootnoteReference"/>
        </w:rPr>
        <w:footnoteReference w:id="21"/>
      </w:r>
      <w:r w:rsidR="00CF3646">
        <w:t xml:space="preserve"> </w:t>
      </w:r>
    </w:p>
    <w:p w14:paraId="40F35A1A" w14:textId="3E35A17A" w:rsidR="00B76981" w:rsidRDefault="00CF3646" w:rsidP="00F94B2F">
      <w:r>
        <w:t xml:space="preserve">PHNs engage with relevant </w:t>
      </w:r>
      <w:r w:rsidR="0071164C">
        <w:t>providers</w:t>
      </w:r>
      <w:r>
        <w:t xml:space="preserve"> in their region to </w:t>
      </w:r>
      <w:r w:rsidR="00E63707">
        <w:t xml:space="preserve">ensure care requirements </w:t>
      </w:r>
      <w:proofErr w:type="gramStart"/>
      <w:r w:rsidR="00E63707">
        <w:t>are able to</w:t>
      </w:r>
      <w:proofErr w:type="gramEnd"/>
      <w:r w:rsidR="00E63707">
        <w:t xml:space="preserve"> be met</w:t>
      </w:r>
      <w:r w:rsidR="0071164C">
        <w:t xml:space="preserve"> and</w:t>
      </w:r>
      <w:r w:rsidR="00E63707">
        <w:t xml:space="preserve"> report on the </w:t>
      </w:r>
      <w:r w:rsidR="00F94B2F">
        <w:t xml:space="preserve">types of organisations delivering </w:t>
      </w:r>
      <w:r w:rsidR="00FC787E">
        <w:t>Integrated Team Care</w:t>
      </w:r>
      <w:r w:rsidR="00F94B2F">
        <w:t xml:space="preserve"> services in their region. </w:t>
      </w:r>
      <w:r w:rsidR="00053EE7">
        <w:t xml:space="preserve">For the two reporting periods all PHNs have provided </w:t>
      </w:r>
      <w:r w:rsidR="0071164C">
        <w:t xml:space="preserve">details of </w:t>
      </w:r>
      <w:r w:rsidR="000B74B6">
        <w:t xml:space="preserve">the providers </w:t>
      </w:r>
      <w:r w:rsidR="001F3779">
        <w:t xml:space="preserve">engaged in </w:t>
      </w:r>
      <w:r w:rsidR="002654AB">
        <w:t>delivering</w:t>
      </w:r>
      <w:r w:rsidR="00F55A5A">
        <w:t xml:space="preserve"> I</w:t>
      </w:r>
      <w:r w:rsidR="00FC787E">
        <w:t xml:space="preserve">ntegrated </w:t>
      </w:r>
      <w:r w:rsidR="00F55A5A">
        <w:t>T</w:t>
      </w:r>
      <w:r w:rsidR="00FC787E">
        <w:t xml:space="preserve">eam </w:t>
      </w:r>
      <w:r w:rsidR="00F55A5A">
        <w:t>C</w:t>
      </w:r>
      <w:r w:rsidR="00FC787E">
        <w:t>are</w:t>
      </w:r>
      <w:r w:rsidR="00F55A5A">
        <w:t xml:space="preserve"> services</w:t>
      </w:r>
      <w:r w:rsidR="00590EA4">
        <w:t>, including</w:t>
      </w:r>
      <w:r w:rsidR="002654AB">
        <w:t xml:space="preserve"> Aboriginal Medical Services, </w:t>
      </w:r>
      <w:r w:rsidR="002654AB" w:rsidRPr="00B43F54">
        <w:lastRenderedPageBreak/>
        <w:t>Aboriginal Community Controlled Health Services</w:t>
      </w:r>
      <w:r w:rsidR="002654AB">
        <w:t xml:space="preserve">, </w:t>
      </w:r>
      <w:r w:rsidR="00C70181">
        <w:t xml:space="preserve">PHNs and mainstream primary health care providers. While some PHNs have engaged with a single provider, others </w:t>
      </w:r>
      <w:r w:rsidR="00893A49">
        <w:t>are working with</w:t>
      </w:r>
      <w:r w:rsidR="00C70181">
        <w:t xml:space="preserve"> multiple providers. </w:t>
      </w:r>
    </w:p>
    <w:p w14:paraId="3EB819A9" w14:textId="77777777" w:rsidR="00CD3AA3" w:rsidRDefault="00CD3AA3" w:rsidP="00F94B2F"/>
    <w:p w14:paraId="5CD8969C" w14:textId="54B4CE52" w:rsidR="00412894" w:rsidRDefault="00FF5219" w:rsidP="00A253A6">
      <w:pPr>
        <w:pStyle w:val="Heading3"/>
      </w:pPr>
      <w:r>
        <w:t xml:space="preserve">O12 – </w:t>
      </w:r>
      <w:r w:rsidR="00DE42E9">
        <w:t>O</w:t>
      </w:r>
      <w:r w:rsidR="00DE42E9" w:rsidRPr="00427467">
        <w:t xml:space="preserve">utput and </w:t>
      </w:r>
      <w:r w:rsidR="00DE42E9">
        <w:t>O</w:t>
      </w:r>
      <w:r w:rsidR="00DE42E9" w:rsidRPr="00427467">
        <w:t xml:space="preserve">utcome </w:t>
      </w:r>
      <w:r w:rsidR="00DE42E9">
        <w:t>P</w:t>
      </w:r>
      <w:r w:rsidR="00DE42E9" w:rsidRPr="00427467">
        <w:t xml:space="preserve">erformance </w:t>
      </w:r>
      <w:r w:rsidR="00DE42E9">
        <w:t>I</w:t>
      </w:r>
      <w:r w:rsidR="00DE42E9" w:rsidRPr="00427467">
        <w:t>ndicators</w:t>
      </w:r>
      <w:r w:rsidR="00DE42E9">
        <w:t xml:space="preserve"> </w:t>
      </w:r>
    </w:p>
    <w:p w14:paraId="0867162B" w14:textId="08111C3C" w:rsidR="00DA7500" w:rsidRPr="00587B8A" w:rsidRDefault="00587B8A" w:rsidP="00254F4F">
      <w:pPr>
        <w:rPr>
          <w:lang w:eastAsia="en-AU"/>
        </w:rPr>
      </w:pPr>
      <w:r>
        <w:rPr>
          <w:lang w:eastAsia="en-AU"/>
        </w:rPr>
        <w:t xml:space="preserve">PHNs are encouraged to include </w:t>
      </w:r>
      <w:r w:rsidR="005968B1">
        <w:rPr>
          <w:lang w:eastAsia="en-AU"/>
        </w:rPr>
        <w:t>output and outcome performance indicators in their contracts with commissioned service providers</w:t>
      </w:r>
      <w:r w:rsidR="00B9557E">
        <w:rPr>
          <w:lang w:eastAsia="en-AU"/>
        </w:rPr>
        <w:t xml:space="preserve"> to </w:t>
      </w:r>
      <w:r w:rsidR="00613B6F">
        <w:rPr>
          <w:lang w:eastAsia="en-AU"/>
        </w:rPr>
        <w:t xml:space="preserve">support </w:t>
      </w:r>
      <w:r w:rsidR="003D0C54">
        <w:rPr>
          <w:lang w:eastAsia="en-AU"/>
        </w:rPr>
        <w:t xml:space="preserve">assessing the </w:t>
      </w:r>
      <w:r w:rsidR="00EB60DF">
        <w:rPr>
          <w:lang w:eastAsia="en-AU"/>
        </w:rPr>
        <w:t>effect</w:t>
      </w:r>
      <w:r w:rsidR="003D0C54">
        <w:rPr>
          <w:lang w:eastAsia="en-AU"/>
        </w:rPr>
        <w:t xml:space="preserve"> of these services on </w:t>
      </w:r>
      <w:r w:rsidR="003D0EB7">
        <w:rPr>
          <w:lang w:eastAsia="en-AU"/>
        </w:rPr>
        <w:t>program outcomes</w:t>
      </w:r>
      <w:r w:rsidR="00976B6F">
        <w:rPr>
          <w:lang w:eastAsia="en-AU"/>
        </w:rPr>
        <w:t xml:space="preserve"> over time</w:t>
      </w:r>
      <w:r w:rsidR="003D0EB7">
        <w:rPr>
          <w:lang w:eastAsia="en-AU"/>
        </w:rPr>
        <w:t xml:space="preserve">. </w:t>
      </w:r>
      <w:r w:rsidR="00DA7500" w:rsidRPr="00587B8A">
        <w:rPr>
          <w:lang w:eastAsia="en-AU"/>
        </w:rPr>
        <w:t xml:space="preserve">PHNs do not report on </w:t>
      </w:r>
      <w:r w:rsidR="00FE32B9" w:rsidRPr="00587B8A">
        <w:rPr>
          <w:lang w:eastAsia="en-AU"/>
        </w:rPr>
        <w:t>what performance indicators are included in contracts,</w:t>
      </w:r>
      <w:r w:rsidR="003D0EB7">
        <w:rPr>
          <w:lang w:eastAsia="en-AU"/>
        </w:rPr>
        <w:t xml:space="preserve"> with </w:t>
      </w:r>
      <w:r w:rsidR="00953D92">
        <w:rPr>
          <w:lang w:eastAsia="en-AU"/>
        </w:rPr>
        <w:t xml:space="preserve">individual contracts </w:t>
      </w:r>
      <w:r w:rsidR="00976B6F">
        <w:rPr>
          <w:lang w:eastAsia="en-AU"/>
        </w:rPr>
        <w:t xml:space="preserve">and indicators </w:t>
      </w:r>
      <w:r w:rsidR="00953D92">
        <w:rPr>
          <w:lang w:eastAsia="en-AU"/>
        </w:rPr>
        <w:t xml:space="preserve">relevant to the </w:t>
      </w:r>
      <w:r w:rsidR="006473F4">
        <w:rPr>
          <w:lang w:eastAsia="en-AU"/>
        </w:rPr>
        <w:t xml:space="preserve">commissioned services. PHNs </w:t>
      </w:r>
      <w:r w:rsidR="00FE32B9" w:rsidRPr="00587B8A">
        <w:rPr>
          <w:lang w:eastAsia="en-AU"/>
        </w:rPr>
        <w:t xml:space="preserve">instead report on the </w:t>
      </w:r>
      <w:r w:rsidR="00D81A7E" w:rsidRPr="00587B8A">
        <w:rPr>
          <w:lang w:eastAsia="en-AU"/>
        </w:rPr>
        <w:t xml:space="preserve">overall number of contracts that contain output and outcome </w:t>
      </w:r>
      <w:r w:rsidRPr="00587B8A">
        <w:rPr>
          <w:lang w:eastAsia="en-AU"/>
        </w:rPr>
        <w:t>performance indicators.</w:t>
      </w:r>
    </w:p>
    <w:p w14:paraId="5AFB3EC2" w14:textId="4731EF2C" w:rsidR="00254F4F" w:rsidRPr="00254F4F" w:rsidRDefault="00893A49" w:rsidP="00254F4F">
      <w:pPr>
        <w:rPr>
          <w:lang w:eastAsia="en-AU"/>
        </w:rPr>
      </w:pPr>
      <w:r>
        <w:rPr>
          <w:lang w:eastAsia="en-AU"/>
        </w:rPr>
        <w:t>Data is not available</w:t>
      </w:r>
      <w:r w:rsidR="006732B0">
        <w:rPr>
          <w:lang w:eastAsia="en-AU"/>
        </w:rPr>
        <w:t xml:space="preserve"> for the 2022–23 year</w:t>
      </w:r>
      <w:r>
        <w:rPr>
          <w:lang w:eastAsia="en-AU"/>
        </w:rPr>
        <w:t xml:space="preserve"> as PHNs </w:t>
      </w:r>
      <w:r w:rsidR="005524C0">
        <w:rPr>
          <w:lang w:eastAsia="en-AU"/>
        </w:rPr>
        <w:t>were not required to</w:t>
      </w:r>
      <w:r>
        <w:rPr>
          <w:lang w:eastAsia="en-AU"/>
        </w:rPr>
        <w:t xml:space="preserve"> report on this indicator</w:t>
      </w:r>
      <w:r w:rsidR="006025EC">
        <w:rPr>
          <w:lang w:eastAsia="en-AU"/>
        </w:rPr>
        <w:t xml:space="preserve"> for that period</w:t>
      </w:r>
      <w:r>
        <w:rPr>
          <w:lang w:eastAsia="en-AU"/>
        </w:rPr>
        <w:t>. F</w:t>
      </w:r>
      <w:r w:rsidR="006732B0">
        <w:rPr>
          <w:lang w:eastAsia="en-AU"/>
        </w:rPr>
        <w:t>or 2023–24</w:t>
      </w:r>
      <w:r>
        <w:rPr>
          <w:lang w:eastAsia="en-AU"/>
        </w:rPr>
        <w:t xml:space="preserve"> there has been a significant decrease in the number of PHNs being assessed as meeting this </w:t>
      </w:r>
      <w:r w:rsidR="00013CB8">
        <w:rPr>
          <w:lang w:eastAsia="en-AU"/>
        </w:rPr>
        <w:t>indicator</w:t>
      </w:r>
      <w:r>
        <w:rPr>
          <w:lang w:eastAsia="en-AU"/>
        </w:rPr>
        <w:t xml:space="preserve">, </w:t>
      </w:r>
      <w:r w:rsidR="00013CB8">
        <w:rPr>
          <w:lang w:eastAsia="en-AU"/>
        </w:rPr>
        <w:t xml:space="preserve">with only </w:t>
      </w:r>
      <w:r w:rsidR="005A3454">
        <w:rPr>
          <w:lang w:eastAsia="en-AU"/>
        </w:rPr>
        <w:t>18 PHNs</w:t>
      </w:r>
      <w:r w:rsidR="00013CB8">
        <w:rPr>
          <w:lang w:eastAsia="en-AU"/>
        </w:rPr>
        <w:t xml:space="preserve"> reporting an increase</w:t>
      </w:r>
      <w:r w:rsidR="00694F21">
        <w:rPr>
          <w:lang w:eastAsia="en-AU"/>
        </w:rPr>
        <w:t>, or maintenance of existing level,</w:t>
      </w:r>
      <w:r w:rsidR="00013CB8">
        <w:rPr>
          <w:lang w:eastAsia="en-AU"/>
        </w:rPr>
        <w:t xml:space="preserve"> in the number of contracts containing both output and outcome measures, compared to </w:t>
      </w:r>
      <w:r w:rsidR="005A3454">
        <w:rPr>
          <w:lang w:eastAsia="en-AU"/>
        </w:rPr>
        <w:t>25 PHNs</w:t>
      </w:r>
      <w:r w:rsidR="00013CB8">
        <w:rPr>
          <w:lang w:eastAsia="en-AU"/>
        </w:rPr>
        <w:t xml:space="preserve"> in 2021–22. There were six PHNs who did not meet this criteri</w:t>
      </w:r>
      <w:r w:rsidR="0075281A">
        <w:rPr>
          <w:lang w:eastAsia="en-AU"/>
        </w:rPr>
        <w:t>on</w:t>
      </w:r>
      <w:r w:rsidR="00013CB8">
        <w:rPr>
          <w:lang w:eastAsia="en-AU"/>
        </w:rPr>
        <w:t xml:space="preserve"> in 2021–22 when it was last reported, increasing to </w:t>
      </w:r>
      <w:r w:rsidR="005A3454">
        <w:rPr>
          <w:lang w:eastAsia="en-AU"/>
        </w:rPr>
        <w:t>13</w:t>
      </w:r>
      <w:r w:rsidR="00013CB8">
        <w:rPr>
          <w:lang w:eastAsia="en-AU"/>
        </w:rPr>
        <w:t xml:space="preserve"> for the 2023–24 reporting period, with three PHNs not meeting this criteri</w:t>
      </w:r>
      <w:r w:rsidR="0075281A">
        <w:rPr>
          <w:lang w:eastAsia="en-AU"/>
        </w:rPr>
        <w:t>on</w:t>
      </w:r>
      <w:r w:rsidR="00013CB8">
        <w:rPr>
          <w:lang w:eastAsia="en-AU"/>
        </w:rPr>
        <w:t xml:space="preserve"> for both periods.</w:t>
      </w:r>
      <w:r w:rsidR="006732B0">
        <w:rPr>
          <w:lang w:eastAsia="en-AU"/>
        </w:rPr>
        <w:t xml:space="preserve"> </w:t>
      </w:r>
      <w:r w:rsidR="00694F21">
        <w:rPr>
          <w:lang w:eastAsia="en-AU"/>
        </w:rPr>
        <w:t>While some decreases were minor for 2023–24 others ha</w:t>
      </w:r>
      <w:r w:rsidR="00292C5E">
        <w:rPr>
          <w:lang w:eastAsia="en-AU"/>
        </w:rPr>
        <w:t>ve shown</w:t>
      </w:r>
      <w:r w:rsidR="00694F21">
        <w:rPr>
          <w:lang w:eastAsia="en-AU"/>
        </w:rPr>
        <w:t xml:space="preserve"> a significant decline in this indicator. </w:t>
      </w:r>
      <w:bookmarkStart w:id="13" w:name="_Hlk204677211"/>
      <w:r w:rsidR="00694F21">
        <w:rPr>
          <w:lang w:eastAsia="en-AU"/>
        </w:rPr>
        <w:t>It is unclear whether that is the result of PHNs not collecting data for this indicator or if the number of contracts with output and outcome performance indicators has reduced</w:t>
      </w:r>
      <w:bookmarkEnd w:id="13"/>
      <w:r w:rsidR="00694F21">
        <w:rPr>
          <w:lang w:eastAsia="en-AU"/>
        </w:rPr>
        <w:t xml:space="preserve">. </w:t>
      </w:r>
    </w:p>
    <w:p w14:paraId="1293DE85" w14:textId="77777777" w:rsidR="00412894" w:rsidRDefault="00412894" w:rsidP="00254F4F"/>
    <w:p w14:paraId="17878459" w14:textId="3DFB37CC" w:rsidR="00242F8B" w:rsidRDefault="00242F8B" w:rsidP="00D5165B">
      <w:pPr>
        <w:pStyle w:val="Heading3"/>
      </w:pPr>
      <w:r>
        <w:t>Conclusion</w:t>
      </w:r>
    </w:p>
    <w:p w14:paraId="57A1A8A7" w14:textId="244AF45B" w:rsidR="00242F8B" w:rsidRDefault="00242F8B" w:rsidP="00242F8B">
      <w:r>
        <w:t xml:space="preserve">Overall, PHNs have demonstrated an understanding of the health care needs of their communities. All PHNs have needs assessments and activity </w:t>
      </w:r>
      <w:r w:rsidR="00AC2262">
        <w:t xml:space="preserve">work </w:t>
      </w:r>
      <w:r>
        <w:t xml:space="preserve">plans for their regions to provide details of how they will meet identified needs, including through plans for the improvement and innovation of services. Consideration of potentially preventable hospitalisations can provide insight for PHNs for areas of focus, with recent increases in preventable acute conditions, chronic conditions and vaccine preventable conditions indicating further scope for improvement in service delivery. Integrated Team Care </w:t>
      </w:r>
      <w:r w:rsidR="00292C5E">
        <w:t>performance indicators</w:t>
      </w:r>
      <w:r>
        <w:t xml:space="preserve"> for Aboriginal and Torres Strait Islander people continue to be met, with a variety of organisations providing services. Acknowledging changes in reporting requirements, the decline in the reported rate of contracts for commissioned providers containing output and outcome performance indicators requires attention by PHNs for future reporting. </w:t>
      </w:r>
    </w:p>
    <w:p w14:paraId="3B8C4054" w14:textId="2E2ED84D" w:rsidR="00AB4C63" w:rsidRDefault="00AB4C63">
      <w:pPr>
        <w:spacing w:before="0" w:after="0" w:line="240" w:lineRule="auto"/>
      </w:pPr>
      <w:r>
        <w:br w:type="page"/>
      </w:r>
    </w:p>
    <w:p w14:paraId="059E359D" w14:textId="77777777" w:rsidR="00B76981" w:rsidRDefault="00B76981" w:rsidP="00402795">
      <w:pPr>
        <w:pStyle w:val="Heading2"/>
        <w:rPr>
          <w:lang w:val="en-GB"/>
        </w:rPr>
      </w:pPr>
      <w:bookmarkStart w:id="14" w:name="_Toc212100674"/>
      <w:r w:rsidRPr="00CB06C7">
        <w:rPr>
          <w:lang w:val="en-GB"/>
        </w:rPr>
        <w:lastRenderedPageBreak/>
        <w:t>Quality Care</w:t>
      </w:r>
      <w:bookmarkEnd w:id="14"/>
    </w:p>
    <w:p w14:paraId="374D51A0" w14:textId="31353A2E" w:rsidR="00401488" w:rsidRDefault="009A56AD" w:rsidP="00117E17">
      <w:pPr>
        <w:rPr>
          <w:lang w:val="en-GB"/>
        </w:rPr>
      </w:pPr>
      <w:r>
        <w:rPr>
          <w:rFonts w:ascii="Helvetica" w:hAnsi="Helvetica" w:cs="Helvetica"/>
        </w:rPr>
        <w:t>PHNs provide support</w:t>
      </w:r>
      <w:r w:rsidRPr="00104272">
        <w:rPr>
          <w:lang w:val="en-GB"/>
        </w:rPr>
        <w:t xml:space="preserve"> to general practices and other health care providers</w:t>
      </w:r>
      <w:r w:rsidR="00B0052F">
        <w:rPr>
          <w:lang w:val="en-GB"/>
        </w:rPr>
        <w:t xml:space="preserve"> in their regions </w:t>
      </w:r>
      <w:r>
        <w:rPr>
          <w:lang w:val="en-GB"/>
        </w:rPr>
        <w:t>to improve the quality</w:t>
      </w:r>
      <w:r w:rsidR="00B0052F">
        <w:rPr>
          <w:lang w:val="en-GB"/>
        </w:rPr>
        <w:t>, safety</w:t>
      </w:r>
      <w:r>
        <w:rPr>
          <w:lang w:val="en-GB"/>
        </w:rPr>
        <w:t xml:space="preserve"> </w:t>
      </w:r>
      <w:r w:rsidR="00524277">
        <w:rPr>
          <w:lang w:val="en-GB"/>
        </w:rPr>
        <w:t xml:space="preserve">and appropriateness </w:t>
      </w:r>
      <w:r w:rsidR="00B0052F">
        <w:rPr>
          <w:lang w:val="en-GB"/>
        </w:rPr>
        <w:t>of care provided to meet the needs of the community</w:t>
      </w:r>
      <w:r>
        <w:rPr>
          <w:lang w:val="en-GB"/>
        </w:rPr>
        <w:t xml:space="preserve">. </w:t>
      </w:r>
      <w:r w:rsidR="00B0052F">
        <w:rPr>
          <w:lang w:val="en-GB"/>
        </w:rPr>
        <w:t>This</w:t>
      </w:r>
      <w:r w:rsidR="009B2CC1">
        <w:rPr>
          <w:lang w:val="en-GB"/>
        </w:rPr>
        <w:t xml:space="preserve"> outcome theme provides performance indicators </w:t>
      </w:r>
      <w:r w:rsidR="00251603">
        <w:rPr>
          <w:lang w:val="en-GB"/>
        </w:rPr>
        <w:t>that report on</w:t>
      </w:r>
      <w:r w:rsidR="009B2CC1">
        <w:rPr>
          <w:lang w:val="en-GB"/>
        </w:rPr>
        <w:t xml:space="preserve"> </w:t>
      </w:r>
      <w:r w:rsidR="00C17FFB">
        <w:rPr>
          <w:lang w:val="en-GB"/>
        </w:rPr>
        <w:t>the</w:t>
      </w:r>
      <w:r w:rsidR="00117E17">
        <w:rPr>
          <w:lang w:val="en-GB"/>
        </w:rPr>
        <w:t xml:space="preserve"> activities undertaken by PHNs</w:t>
      </w:r>
      <w:r w:rsidR="00B0052F">
        <w:rPr>
          <w:lang w:val="en-GB"/>
        </w:rPr>
        <w:t>,</w:t>
      </w:r>
      <w:r w:rsidR="00117E17">
        <w:rPr>
          <w:lang w:val="en-GB"/>
        </w:rPr>
        <w:t xml:space="preserve"> including</w:t>
      </w:r>
      <w:r w:rsidR="00AE76F6">
        <w:rPr>
          <w:lang w:val="en-GB"/>
        </w:rPr>
        <w:t xml:space="preserve"> for </w:t>
      </w:r>
      <w:r w:rsidR="001A2BFC">
        <w:rPr>
          <w:lang w:val="en-GB"/>
        </w:rPr>
        <w:t>Aboriginal and Torres Strait Islander</w:t>
      </w:r>
      <w:r>
        <w:rPr>
          <w:lang w:val="en-GB"/>
        </w:rPr>
        <w:t xml:space="preserve"> people, </w:t>
      </w:r>
      <w:r w:rsidR="009C23EE">
        <w:rPr>
          <w:lang w:val="en-GB"/>
        </w:rPr>
        <w:t>and increas</w:t>
      </w:r>
      <w:r w:rsidR="00B0052F">
        <w:rPr>
          <w:lang w:val="en-GB"/>
        </w:rPr>
        <w:t>ing</w:t>
      </w:r>
      <w:r w:rsidR="00C37321">
        <w:rPr>
          <w:lang w:val="en-GB"/>
        </w:rPr>
        <w:t xml:space="preserve"> the</w:t>
      </w:r>
      <w:r w:rsidR="009C23EE">
        <w:rPr>
          <w:lang w:val="en-GB"/>
        </w:rPr>
        <w:t xml:space="preserve"> use of digital health services by health care providers</w:t>
      </w:r>
      <w:r w:rsidR="00AE76F6">
        <w:rPr>
          <w:lang w:val="en-GB"/>
        </w:rPr>
        <w:t xml:space="preserve">. </w:t>
      </w:r>
    </w:p>
    <w:p w14:paraId="38FE4FD5" w14:textId="76525C57" w:rsidR="009A56AD" w:rsidRDefault="009A56AD" w:rsidP="009A56AD">
      <w:pPr>
        <w:pStyle w:val="Heading3"/>
        <w:rPr>
          <w:lang w:val="en-GB"/>
        </w:rPr>
      </w:pPr>
      <w:r>
        <w:rPr>
          <w:lang w:val="en-GB"/>
        </w:rPr>
        <w:t xml:space="preserve">P3 – </w:t>
      </w:r>
      <w:r w:rsidR="00DE42E9">
        <w:rPr>
          <w:lang w:val="en-GB"/>
        </w:rPr>
        <w:t>General</w:t>
      </w:r>
      <w:r>
        <w:rPr>
          <w:lang w:val="en-GB"/>
        </w:rPr>
        <w:t xml:space="preserve"> </w:t>
      </w:r>
      <w:r w:rsidR="00BE494A">
        <w:rPr>
          <w:lang w:val="en-GB"/>
        </w:rPr>
        <w:t>P</w:t>
      </w:r>
      <w:r>
        <w:rPr>
          <w:lang w:val="en-GB"/>
        </w:rPr>
        <w:t xml:space="preserve">ractice </w:t>
      </w:r>
      <w:r w:rsidR="00BE494A">
        <w:rPr>
          <w:lang w:val="en-GB"/>
        </w:rPr>
        <w:t>A</w:t>
      </w:r>
      <w:r>
        <w:rPr>
          <w:lang w:val="en-GB"/>
        </w:rPr>
        <w:t>ccreditation</w:t>
      </w:r>
    </w:p>
    <w:p w14:paraId="659C2A60" w14:textId="77777777" w:rsidR="000A168C" w:rsidRDefault="009F3823" w:rsidP="009A56AD">
      <w:pPr>
        <w:rPr>
          <w:lang w:val="en-GB"/>
        </w:rPr>
      </w:pPr>
      <w:r>
        <w:rPr>
          <w:lang w:val="en-GB"/>
        </w:rPr>
        <w:t xml:space="preserve">Accreditation of general practices contributes to patient assurance of receiving safe and high-quality health care. </w:t>
      </w:r>
      <w:r w:rsidR="00726812">
        <w:rPr>
          <w:lang w:val="en-GB"/>
        </w:rPr>
        <w:t xml:space="preserve">The National General Practice Accreditation Scheme </w:t>
      </w:r>
      <w:r w:rsidR="00433649">
        <w:rPr>
          <w:lang w:val="en-GB"/>
        </w:rPr>
        <w:t xml:space="preserve">provides standards that must be met to obtain and maintain accreditation. PHNs </w:t>
      </w:r>
      <w:r w:rsidR="00F9397F">
        <w:rPr>
          <w:lang w:val="en-GB"/>
        </w:rPr>
        <w:t>support practices in meeting accreditation standards, leading to better patient outcomes.</w:t>
      </w:r>
    </w:p>
    <w:p w14:paraId="2E24C60C" w14:textId="4A64B40F" w:rsidR="00FF733B" w:rsidRDefault="005A76DC" w:rsidP="267822ED">
      <w:r w:rsidRPr="267822ED">
        <w:t>Nationally</w:t>
      </w:r>
      <w:r w:rsidR="00D31270" w:rsidRPr="267822ED">
        <w:t>,</w:t>
      </w:r>
      <w:r w:rsidRPr="267822ED">
        <w:t xml:space="preserve"> general practice accreditation rates </w:t>
      </w:r>
      <w:r w:rsidR="00D31270" w:rsidRPr="267822ED">
        <w:t>are around 84</w:t>
      </w:r>
      <w:r w:rsidR="0B88477D" w:rsidRPr="267822ED">
        <w:t xml:space="preserve"> per cent</w:t>
      </w:r>
      <w:r w:rsidR="007650BA" w:rsidRPr="267822ED">
        <w:t xml:space="preserve"> </w:t>
      </w:r>
      <w:r w:rsidR="00A92C9C" w:rsidRPr="267822ED">
        <w:t>although these vary considerably by PHN area</w:t>
      </w:r>
      <w:r w:rsidR="006A6782" w:rsidRPr="267822ED">
        <w:t xml:space="preserve">. </w:t>
      </w:r>
      <w:r w:rsidR="001F6BA1" w:rsidRPr="267822ED">
        <w:t xml:space="preserve">Two notable barriers to accreditation are </w:t>
      </w:r>
      <w:r w:rsidR="00EF5956">
        <w:t>the cost and effort required</w:t>
      </w:r>
      <w:r w:rsidR="003D6524" w:rsidRPr="267822ED">
        <w:rPr>
          <w:rStyle w:val="FootnoteReference"/>
        </w:rPr>
        <w:footnoteReference w:id="22"/>
      </w:r>
      <w:r w:rsidR="00126218">
        <w:t xml:space="preserve"> with </w:t>
      </w:r>
      <w:r w:rsidR="003D6524" w:rsidRPr="267822ED">
        <w:t xml:space="preserve">smaller practices and those without a dedicated practice manager facing particular difficulties. </w:t>
      </w:r>
      <w:r w:rsidR="007650BA" w:rsidRPr="267822ED">
        <w:t xml:space="preserve"> </w:t>
      </w:r>
      <w:r>
        <w:t xml:space="preserve"> </w:t>
      </w:r>
      <w:r w:rsidR="00F9397F">
        <w:t xml:space="preserve"> </w:t>
      </w:r>
    </w:p>
    <w:p w14:paraId="35A84AC1" w14:textId="1046C0F1" w:rsidR="00FF733B" w:rsidRDefault="00F9397F" w:rsidP="009A56AD">
      <w:pPr>
        <w:rPr>
          <w:lang w:val="en-GB"/>
        </w:rPr>
      </w:pPr>
      <w:r>
        <w:rPr>
          <w:lang w:val="en-GB"/>
        </w:rPr>
        <w:t xml:space="preserve">The rate of accreditation for the 2022–23 and 2023–24 reporting periods </w:t>
      </w:r>
      <w:r w:rsidR="00631B70">
        <w:rPr>
          <w:lang w:val="en-GB"/>
        </w:rPr>
        <w:t>varied across PHNs, ranging from 6</w:t>
      </w:r>
      <w:r w:rsidR="00AC4BFD">
        <w:rPr>
          <w:lang w:val="en-GB"/>
        </w:rPr>
        <w:t>0</w:t>
      </w:r>
      <w:r w:rsidR="00631B70">
        <w:rPr>
          <w:lang w:val="en-GB"/>
        </w:rPr>
        <w:t xml:space="preserve"> to </w:t>
      </w:r>
      <w:r w:rsidR="00396D4C">
        <w:rPr>
          <w:lang w:val="en-GB"/>
        </w:rPr>
        <w:t>96.2</w:t>
      </w:r>
      <w:r w:rsidR="00631B70">
        <w:rPr>
          <w:lang w:val="en-GB"/>
        </w:rPr>
        <w:t xml:space="preserve"> per cent in 2022–23 and 6</w:t>
      </w:r>
      <w:r w:rsidR="00AC4BFD">
        <w:rPr>
          <w:lang w:val="en-GB"/>
        </w:rPr>
        <w:t>0</w:t>
      </w:r>
      <w:r w:rsidR="00631B70">
        <w:rPr>
          <w:lang w:val="en-GB"/>
        </w:rPr>
        <w:t>.</w:t>
      </w:r>
      <w:r w:rsidR="00AC4BFD">
        <w:rPr>
          <w:lang w:val="en-GB"/>
        </w:rPr>
        <w:t>8</w:t>
      </w:r>
      <w:r w:rsidR="00631B70">
        <w:rPr>
          <w:lang w:val="en-GB"/>
        </w:rPr>
        <w:t xml:space="preserve"> to </w:t>
      </w:r>
      <w:r w:rsidR="00396D4C">
        <w:rPr>
          <w:lang w:val="en-GB"/>
        </w:rPr>
        <w:t>97</w:t>
      </w:r>
      <w:r w:rsidR="00631B70">
        <w:rPr>
          <w:lang w:val="en-GB"/>
        </w:rPr>
        <w:t xml:space="preserve"> per cent in 2023–24. While some PHN regions have </w:t>
      </w:r>
      <w:r w:rsidR="00AC4BFD">
        <w:rPr>
          <w:lang w:val="en-GB"/>
        </w:rPr>
        <w:t xml:space="preserve">reported </w:t>
      </w:r>
      <w:r w:rsidR="002D699F">
        <w:rPr>
          <w:lang w:val="en-GB"/>
        </w:rPr>
        <w:t xml:space="preserve">increases, </w:t>
      </w:r>
      <w:r w:rsidR="00396D4C">
        <w:rPr>
          <w:lang w:val="en-GB"/>
        </w:rPr>
        <w:t xml:space="preserve">others have experienced </w:t>
      </w:r>
      <w:r w:rsidR="002D699F">
        <w:rPr>
          <w:lang w:val="en-GB"/>
        </w:rPr>
        <w:t xml:space="preserve">decreases. </w:t>
      </w:r>
      <w:r w:rsidR="00CC5614">
        <w:rPr>
          <w:lang w:val="en-GB"/>
        </w:rPr>
        <w:t xml:space="preserve">Rates of accreditation assessed by metropolitan and regional classification, as well as by socio-economic disadvantage, are largely </w:t>
      </w:r>
      <w:r w:rsidR="007660EC">
        <w:rPr>
          <w:lang w:val="en-GB"/>
        </w:rPr>
        <w:t>similar in terms of high and low rates</w:t>
      </w:r>
      <w:r w:rsidR="00CC5614">
        <w:rPr>
          <w:lang w:val="en-GB"/>
        </w:rPr>
        <w:t xml:space="preserve">. </w:t>
      </w:r>
    </w:p>
    <w:p w14:paraId="4B29A666" w14:textId="52806893" w:rsidR="00FE531A" w:rsidRDefault="00FE531A">
      <w:pPr>
        <w:spacing w:before="0" w:after="0" w:line="240" w:lineRule="auto"/>
        <w:rPr>
          <w:lang w:val="en-GB"/>
        </w:rPr>
      </w:pPr>
    </w:p>
    <w:p w14:paraId="3BD0A130" w14:textId="65D9C58D" w:rsidR="003277DF" w:rsidRDefault="00FE531A" w:rsidP="00FE531A">
      <w:pPr>
        <w:pStyle w:val="FigureTitle"/>
        <w:rPr>
          <w:lang w:val="en-GB"/>
        </w:rPr>
      </w:pPr>
      <w:r>
        <w:rPr>
          <w:lang w:val="en-GB"/>
        </w:rPr>
        <w:t xml:space="preserve">Table </w:t>
      </w:r>
      <w:r w:rsidR="00865745">
        <w:rPr>
          <w:lang w:val="en-GB"/>
        </w:rPr>
        <w:t>2</w:t>
      </w:r>
      <w:r>
        <w:rPr>
          <w:lang w:val="en-GB"/>
        </w:rPr>
        <w:t>:</w:t>
      </w:r>
      <w:r w:rsidR="00AF3A1B">
        <w:rPr>
          <w:lang w:val="en-GB"/>
        </w:rPr>
        <w:t xml:space="preserve"> </w:t>
      </w:r>
      <w:r w:rsidR="00381E5E">
        <w:rPr>
          <w:lang w:val="en-GB"/>
        </w:rPr>
        <w:t>General practice accreditation rate, by PHN</w:t>
      </w:r>
    </w:p>
    <w:tbl>
      <w:tblPr>
        <w:tblStyle w:val="DepartmentofHealthtable"/>
        <w:tblW w:w="9353" w:type="dxa"/>
        <w:tblLook w:val="04A0" w:firstRow="1" w:lastRow="0" w:firstColumn="1" w:lastColumn="0" w:noHBand="0" w:noVBand="1"/>
        <w:tblCaption w:val="Table 2: General practice accreditation rate, by PHN"/>
        <w:tblDescription w:val="Table shows GP accreditation rates by PHN region sorted by state and territory for each of the five years 2019-20 to 2023-24."/>
      </w:tblPr>
      <w:tblGrid>
        <w:gridCol w:w="4253"/>
        <w:gridCol w:w="1020"/>
        <w:gridCol w:w="1020"/>
        <w:gridCol w:w="1020"/>
        <w:gridCol w:w="1020"/>
        <w:gridCol w:w="1020"/>
      </w:tblGrid>
      <w:tr w:rsidR="00E97DAB" w:rsidRPr="00935776" w14:paraId="7C7D0DDC" w14:textId="77777777" w:rsidTr="007D7F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3AB7F2CD" w14:textId="42B58B4B" w:rsidR="00935776" w:rsidRPr="00935776" w:rsidRDefault="00935776" w:rsidP="001C4212">
            <w:pPr>
              <w:pStyle w:val="TableHeaderWhite"/>
              <w:rPr>
                <w:sz w:val="18"/>
                <w:szCs w:val="18"/>
              </w:rPr>
            </w:pPr>
            <w:r w:rsidRPr="00935776">
              <w:rPr>
                <w:sz w:val="18"/>
                <w:szCs w:val="18"/>
              </w:rPr>
              <w:t>PHN</w:t>
            </w:r>
          </w:p>
        </w:tc>
        <w:tc>
          <w:tcPr>
            <w:tcW w:w="1020" w:type="dxa"/>
          </w:tcPr>
          <w:p w14:paraId="2A7AA424" w14:textId="423AA1B2" w:rsidR="00935776" w:rsidRPr="00935776" w:rsidRDefault="00935776" w:rsidP="00935776">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2019–20</w:t>
            </w:r>
          </w:p>
        </w:tc>
        <w:tc>
          <w:tcPr>
            <w:tcW w:w="1020" w:type="dxa"/>
          </w:tcPr>
          <w:p w14:paraId="63664385" w14:textId="7FDDC4D2" w:rsidR="00935776" w:rsidRPr="00935776" w:rsidRDefault="00935776" w:rsidP="00935776">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2020–21</w:t>
            </w:r>
          </w:p>
        </w:tc>
        <w:tc>
          <w:tcPr>
            <w:tcW w:w="1020" w:type="dxa"/>
          </w:tcPr>
          <w:p w14:paraId="222AF553" w14:textId="0315F58F" w:rsidR="00935776" w:rsidRPr="00935776" w:rsidRDefault="00935776" w:rsidP="00935776">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2021–22</w:t>
            </w:r>
          </w:p>
        </w:tc>
        <w:tc>
          <w:tcPr>
            <w:tcW w:w="1020" w:type="dxa"/>
          </w:tcPr>
          <w:p w14:paraId="3DEA67A2" w14:textId="51075A95" w:rsidR="00935776" w:rsidRPr="00935776" w:rsidRDefault="00935776" w:rsidP="00935776">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2022–23</w:t>
            </w:r>
          </w:p>
        </w:tc>
        <w:tc>
          <w:tcPr>
            <w:tcW w:w="1020" w:type="dxa"/>
          </w:tcPr>
          <w:p w14:paraId="64967E6D" w14:textId="77777777" w:rsidR="00935776" w:rsidRPr="00935776" w:rsidRDefault="00935776" w:rsidP="00935776">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2023–24</w:t>
            </w:r>
          </w:p>
        </w:tc>
      </w:tr>
      <w:tr w:rsidR="008577AC" w:rsidRPr="00935776" w14:paraId="4B1D45BF" w14:textId="77777777" w:rsidTr="00D6145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shd w:val="clear" w:color="auto" w:fill="E6E6E6" w:themeFill="background2"/>
          </w:tcPr>
          <w:p w14:paraId="4003C031" w14:textId="4A8B67B8" w:rsidR="008577AC" w:rsidRPr="00935776" w:rsidRDefault="008577AC" w:rsidP="00935776">
            <w:pPr>
              <w:pStyle w:val="Tabletextleft"/>
              <w:rPr>
                <w:sz w:val="17"/>
                <w:szCs w:val="17"/>
                <w:lang w:eastAsia="en-AU"/>
              </w:rPr>
            </w:pPr>
            <w:r w:rsidRPr="00935776">
              <w:rPr>
                <w:b/>
                <w:bCs/>
                <w:sz w:val="17"/>
                <w:szCs w:val="17"/>
                <w:lang w:eastAsia="en-AU"/>
              </w:rPr>
              <w:t>New South Wales</w:t>
            </w:r>
          </w:p>
        </w:tc>
        <w:tc>
          <w:tcPr>
            <w:tcW w:w="1020" w:type="dxa"/>
            <w:shd w:val="clear" w:color="auto" w:fill="E6E6E6" w:themeFill="background2"/>
            <w:vAlign w:val="center"/>
          </w:tcPr>
          <w:p w14:paraId="6AF0F53C" w14:textId="77777777" w:rsidR="008577AC" w:rsidRPr="00935776" w:rsidRDefault="008577AC"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c>
          <w:tcPr>
            <w:tcW w:w="1020" w:type="dxa"/>
            <w:shd w:val="clear" w:color="auto" w:fill="E6E6E6" w:themeFill="background2"/>
            <w:vAlign w:val="center"/>
          </w:tcPr>
          <w:p w14:paraId="38FCEC0B" w14:textId="77777777" w:rsidR="008577AC" w:rsidRPr="00935776" w:rsidRDefault="008577AC"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c>
          <w:tcPr>
            <w:tcW w:w="1020" w:type="dxa"/>
            <w:shd w:val="clear" w:color="auto" w:fill="E6E6E6" w:themeFill="background2"/>
            <w:vAlign w:val="center"/>
          </w:tcPr>
          <w:p w14:paraId="59F8358A" w14:textId="77777777" w:rsidR="008577AC" w:rsidRPr="00935776" w:rsidRDefault="008577AC"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c>
          <w:tcPr>
            <w:tcW w:w="1020" w:type="dxa"/>
            <w:shd w:val="clear" w:color="auto" w:fill="E6E6E6" w:themeFill="background2"/>
            <w:vAlign w:val="center"/>
          </w:tcPr>
          <w:p w14:paraId="222ADD48" w14:textId="77777777" w:rsidR="008577AC" w:rsidRPr="00935776" w:rsidRDefault="008577AC"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c>
          <w:tcPr>
            <w:tcW w:w="1020" w:type="dxa"/>
            <w:shd w:val="clear" w:color="auto" w:fill="E6E6E6" w:themeFill="background2"/>
            <w:vAlign w:val="center"/>
          </w:tcPr>
          <w:p w14:paraId="6177C714" w14:textId="77777777" w:rsidR="008577AC" w:rsidRPr="00935776" w:rsidRDefault="008577AC"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r>
      <w:tr w:rsidR="00935776" w:rsidRPr="00935776" w14:paraId="5FEB016D" w14:textId="77777777" w:rsidTr="00DB0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6489B132" w14:textId="708FCA9F" w:rsidR="00935776" w:rsidRPr="00935776" w:rsidRDefault="00935776" w:rsidP="00935776">
            <w:pPr>
              <w:pStyle w:val="Tabletextleft"/>
              <w:rPr>
                <w:rFonts w:cs="Arial"/>
                <w:sz w:val="17"/>
                <w:szCs w:val="17"/>
              </w:rPr>
            </w:pPr>
            <w:r w:rsidRPr="00935776">
              <w:rPr>
                <w:sz w:val="17"/>
                <w:szCs w:val="17"/>
                <w:lang w:eastAsia="en-AU"/>
              </w:rPr>
              <w:t>Central and Eastern Sydney</w:t>
            </w:r>
          </w:p>
        </w:tc>
        <w:tc>
          <w:tcPr>
            <w:tcW w:w="1020" w:type="dxa"/>
            <w:vAlign w:val="center"/>
          </w:tcPr>
          <w:p w14:paraId="63166493" w14:textId="671D71BE"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61.8%</w:t>
            </w:r>
          </w:p>
        </w:tc>
        <w:tc>
          <w:tcPr>
            <w:tcW w:w="1020" w:type="dxa"/>
            <w:vAlign w:val="center"/>
          </w:tcPr>
          <w:p w14:paraId="5BFCCCBC" w14:textId="0AB4CCE7"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63.8%</w:t>
            </w:r>
          </w:p>
        </w:tc>
        <w:tc>
          <w:tcPr>
            <w:tcW w:w="1020" w:type="dxa"/>
            <w:vAlign w:val="center"/>
          </w:tcPr>
          <w:p w14:paraId="0744616F" w14:textId="17DDD7DF"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64.1%</w:t>
            </w:r>
          </w:p>
        </w:tc>
        <w:tc>
          <w:tcPr>
            <w:tcW w:w="1020" w:type="dxa"/>
            <w:vAlign w:val="center"/>
          </w:tcPr>
          <w:p w14:paraId="115FCA2C" w14:textId="01D5BC52"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66.7%</w:t>
            </w:r>
          </w:p>
        </w:tc>
        <w:tc>
          <w:tcPr>
            <w:tcW w:w="1020" w:type="dxa"/>
            <w:vAlign w:val="center"/>
          </w:tcPr>
          <w:p w14:paraId="22DBA8E4" w14:textId="512FD5D9"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67.6%</w:t>
            </w:r>
          </w:p>
        </w:tc>
      </w:tr>
      <w:tr w:rsidR="00935776" w:rsidRPr="00935776" w14:paraId="11F441F5"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55A2A131" w14:textId="575D1DFC" w:rsidR="00935776" w:rsidRPr="00935776" w:rsidRDefault="00935776" w:rsidP="00935776">
            <w:pPr>
              <w:pStyle w:val="Tabletextleft"/>
              <w:rPr>
                <w:rFonts w:cs="Arial"/>
                <w:sz w:val="17"/>
                <w:szCs w:val="17"/>
              </w:rPr>
            </w:pPr>
            <w:r w:rsidRPr="00935776">
              <w:rPr>
                <w:sz w:val="17"/>
                <w:szCs w:val="17"/>
                <w:lang w:eastAsia="en-AU"/>
              </w:rPr>
              <w:t>Hunter New England and Central Coast</w:t>
            </w:r>
          </w:p>
        </w:tc>
        <w:tc>
          <w:tcPr>
            <w:tcW w:w="1020" w:type="dxa"/>
            <w:vAlign w:val="center"/>
          </w:tcPr>
          <w:p w14:paraId="1550F489" w14:textId="6FA1651B"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73.4%</w:t>
            </w:r>
          </w:p>
        </w:tc>
        <w:tc>
          <w:tcPr>
            <w:tcW w:w="1020" w:type="dxa"/>
            <w:vAlign w:val="center"/>
          </w:tcPr>
          <w:p w14:paraId="2381C186" w14:textId="55257CD4"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86.1%</w:t>
            </w:r>
          </w:p>
        </w:tc>
        <w:tc>
          <w:tcPr>
            <w:tcW w:w="1020" w:type="dxa"/>
            <w:vAlign w:val="center"/>
          </w:tcPr>
          <w:p w14:paraId="6181B454" w14:textId="34AF4ED8"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68.6%</w:t>
            </w:r>
          </w:p>
        </w:tc>
        <w:tc>
          <w:tcPr>
            <w:tcW w:w="1020" w:type="dxa"/>
            <w:vAlign w:val="center"/>
          </w:tcPr>
          <w:p w14:paraId="5B0EB289" w14:textId="7FA638A1"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91.4%</w:t>
            </w:r>
          </w:p>
        </w:tc>
        <w:tc>
          <w:tcPr>
            <w:tcW w:w="1020" w:type="dxa"/>
            <w:vAlign w:val="center"/>
          </w:tcPr>
          <w:p w14:paraId="5DE41486" w14:textId="332BBE19"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90.5%</w:t>
            </w:r>
          </w:p>
        </w:tc>
      </w:tr>
      <w:tr w:rsidR="00935776" w:rsidRPr="00935776" w14:paraId="69925E4A" w14:textId="77777777" w:rsidTr="00DB0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62930F58" w14:textId="2A543FDD" w:rsidR="00935776" w:rsidRPr="00935776" w:rsidRDefault="00935776" w:rsidP="00935776">
            <w:pPr>
              <w:pStyle w:val="Tabletextleft"/>
              <w:rPr>
                <w:rFonts w:cs="Arial"/>
                <w:sz w:val="17"/>
                <w:szCs w:val="17"/>
              </w:rPr>
            </w:pPr>
            <w:r w:rsidRPr="00935776">
              <w:rPr>
                <w:sz w:val="17"/>
                <w:szCs w:val="17"/>
                <w:lang w:eastAsia="en-AU"/>
              </w:rPr>
              <w:t>Murrumbidgee</w:t>
            </w:r>
          </w:p>
        </w:tc>
        <w:tc>
          <w:tcPr>
            <w:tcW w:w="1020" w:type="dxa"/>
            <w:vAlign w:val="center"/>
          </w:tcPr>
          <w:p w14:paraId="706D9344" w14:textId="1DB0A9E8"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88.6%</w:t>
            </w:r>
          </w:p>
        </w:tc>
        <w:tc>
          <w:tcPr>
            <w:tcW w:w="1020" w:type="dxa"/>
            <w:vAlign w:val="center"/>
          </w:tcPr>
          <w:p w14:paraId="7F483E5B" w14:textId="1A32B2BA"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93.3%</w:t>
            </w:r>
          </w:p>
        </w:tc>
        <w:tc>
          <w:tcPr>
            <w:tcW w:w="1020" w:type="dxa"/>
            <w:vAlign w:val="center"/>
          </w:tcPr>
          <w:p w14:paraId="59EE537C" w14:textId="44707D39"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95.4%</w:t>
            </w:r>
          </w:p>
        </w:tc>
        <w:tc>
          <w:tcPr>
            <w:tcW w:w="1020" w:type="dxa"/>
            <w:vAlign w:val="center"/>
          </w:tcPr>
          <w:p w14:paraId="3EC09DC7" w14:textId="26D76417"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90.1%</w:t>
            </w:r>
          </w:p>
        </w:tc>
        <w:tc>
          <w:tcPr>
            <w:tcW w:w="1020" w:type="dxa"/>
            <w:vAlign w:val="center"/>
          </w:tcPr>
          <w:p w14:paraId="7E71A9F7" w14:textId="30289DE0"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95.7%</w:t>
            </w:r>
          </w:p>
        </w:tc>
      </w:tr>
      <w:tr w:rsidR="00935776" w:rsidRPr="00935776" w14:paraId="0C88FCA1"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2F383CF0" w14:textId="7D22C9AA" w:rsidR="00935776" w:rsidRPr="00935776" w:rsidRDefault="00935776" w:rsidP="00935776">
            <w:pPr>
              <w:pStyle w:val="Tabletextleft"/>
              <w:rPr>
                <w:rFonts w:cs="Arial"/>
                <w:sz w:val="17"/>
                <w:szCs w:val="17"/>
              </w:rPr>
            </w:pPr>
            <w:r w:rsidRPr="00935776">
              <w:rPr>
                <w:sz w:val="17"/>
                <w:szCs w:val="17"/>
                <w:lang w:eastAsia="en-AU"/>
              </w:rPr>
              <w:t>Nepean Blue Mountains</w:t>
            </w:r>
          </w:p>
        </w:tc>
        <w:tc>
          <w:tcPr>
            <w:tcW w:w="1020" w:type="dxa"/>
            <w:vAlign w:val="center"/>
          </w:tcPr>
          <w:p w14:paraId="38B39A6A" w14:textId="1D72EEBE"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69.6%</w:t>
            </w:r>
          </w:p>
        </w:tc>
        <w:tc>
          <w:tcPr>
            <w:tcW w:w="1020" w:type="dxa"/>
            <w:vAlign w:val="center"/>
          </w:tcPr>
          <w:p w14:paraId="6D4CD9EA" w14:textId="25FF37A7"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71.8%</w:t>
            </w:r>
          </w:p>
        </w:tc>
        <w:tc>
          <w:tcPr>
            <w:tcW w:w="1020" w:type="dxa"/>
            <w:vAlign w:val="center"/>
          </w:tcPr>
          <w:p w14:paraId="1C9EB3C7" w14:textId="2A80DBDC"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70.6%</w:t>
            </w:r>
          </w:p>
        </w:tc>
        <w:tc>
          <w:tcPr>
            <w:tcW w:w="1020" w:type="dxa"/>
            <w:vAlign w:val="center"/>
          </w:tcPr>
          <w:p w14:paraId="1B8686ED" w14:textId="30278A9E"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72.9%</w:t>
            </w:r>
          </w:p>
        </w:tc>
        <w:tc>
          <w:tcPr>
            <w:tcW w:w="1020" w:type="dxa"/>
            <w:vAlign w:val="center"/>
          </w:tcPr>
          <w:p w14:paraId="12F2ED5E" w14:textId="213D5738"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75.8%</w:t>
            </w:r>
          </w:p>
        </w:tc>
      </w:tr>
      <w:tr w:rsidR="00935776" w:rsidRPr="00935776" w14:paraId="0F47A071" w14:textId="77777777" w:rsidTr="00DB0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7E5058EB" w14:textId="3A9F6A6E" w:rsidR="00935776" w:rsidRPr="00935776" w:rsidRDefault="00935776" w:rsidP="00935776">
            <w:pPr>
              <w:pStyle w:val="Tabletextleft"/>
              <w:rPr>
                <w:rFonts w:cs="Arial"/>
                <w:sz w:val="17"/>
                <w:szCs w:val="17"/>
              </w:rPr>
            </w:pPr>
            <w:r w:rsidRPr="00935776">
              <w:rPr>
                <w:sz w:val="17"/>
                <w:szCs w:val="17"/>
                <w:lang w:eastAsia="en-AU"/>
              </w:rPr>
              <w:t>North Coast</w:t>
            </w:r>
          </w:p>
        </w:tc>
        <w:tc>
          <w:tcPr>
            <w:tcW w:w="1020" w:type="dxa"/>
            <w:vAlign w:val="center"/>
          </w:tcPr>
          <w:p w14:paraId="398A9C23" w14:textId="5D3DB11C"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89.4%</w:t>
            </w:r>
          </w:p>
        </w:tc>
        <w:tc>
          <w:tcPr>
            <w:tcW w:w="1020" w:type="dxa"/>
            <w:vAlign w:val="center"/>
          </w:tcPr>
          <w:p w14:paraId="116EA505" w14:textId="4B06D058"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89.3%</w:t>
            </w:r>
          </w:p>
        </w:tc>
        <w:tc>
          <w:tcPr>
            <w:tcW w:w="1020" w:type="dxa"/>
            <w:vAlign w:val="center"/>
          </w:tcPr>
          <w:p w14:paraId="7A3BA64D" w14:textId="2C7F4CD5"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84.3%</w:t>
            </w:r>
          </w:p>
        </w:tc>
        <w:tc>
          <w:tcPr>
            <w:tcW w:w="1020" w:type="dxa"/>
            <w:vAlign w:val="center"/>
          </w:tcPr>
          <w:p w14:paraId="6B70248E" w14:textId="77FD9514"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88.8%</w:t>
            </w:r>
          </w:p>
        </w:tc>
        <w:tc>
          <w:tcPr>
            <w:tcW w:w="1020" w:type="dxa"/>
            <w:vAlign w:val="center"/>
          </w:tcPr>
          <w:p w14:paraId="48375F16" w14:textId="4947C5B4"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81.6%</w:t>
            </w:r>
          </w:p>
        </w:tc>
      </w:tr>
      <w:tr w:rsidR="00935776" w:rsidRPr="00935776" w14:paraId="05849E45"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49E2D389" w14:textId="10C2D88D" w:rsidR="00935776" w:rsidRPr="00935776" w:rsidRDefault="00935776" w:rsidP="00935776">
            <w:pPr>
              <w:pStyle w:val="Tabletextleft"/>
              <w:rPr>
                <w:rFonts w:cs="Arial"/>
                <w:sz w:val="17"/>
                <w:szCs w:val="17"/>
              </w:rPr>
            </w:pPr>
            <w:r w:rsidRPr="00935776">
              <w:rPr>
                <w:sz w:val="17"/>
                <w:szCs w:val="17"/>
                <w:lang w:eastAsia="en-AU"/>
              </w:rPr>
              <w:t>Northern Sydney</w:t>
            </w:r>
          </w:p>
        </w:tc>
        <w:tc>
          <w:tcPr>
            <w:tcW w:w="1020" w:type="dxa"/>
            <w:vAlign w:val="center"/>
          </w:tcPr>
          <w:p w14:paraId="075F2C19" w14:textId="22C060F5"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73.5%</w:t>
            </w:r>
          </w:p>
        </w:tc>
        <w:tc>
          <w:tcPr>
            <w:tcW w:w="1020" w:type="dxa"/>
            <w:vAlign w:val="center"/>
          </w:tcPr>
          <w:p w14:paraId="6C5DD925" w14:textId="5F738F2B"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70.6%</w:t>
            </w:r>
          </w:p>
        </w:tc>
        <w:tc>
          <w:tcPr>
            <w:tcW w:w="1020" w:type="dxa"/>
            <w:vAlign w:val="center"/>
          </w:tcPr>
          <w:p w14:paraId="754737CC" w14:textId="2AB34CEA"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72.9%</w:t>
            </w:r>
          </w:p>
        </w:tc>
        <w:tc>
          <w:tcPr>
            <w:tcW w:w="1020" w:type="dxa"/>
            <w:vAlign w:val="center"/>
          </w:tcPr>
          <w:p w14:paraId="1DDA095C" w14:textId="564D1D9F"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73.9%</w:t>
            </w:r>
          </w:p>
        </w:tc>
        <w:tc>
          <w:tcPr>
            <w:tcW w:w="1020" w:type="dxa"/>
            <w:vAlign w:val="center"/>
          </w:tcPr>
          <w:p w14:paraId="50A5D90D" w14:textId="6178535E"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75.9%</w:t>
            </w:r>
          </w:p>
        </w:tc>
      </w:tr>
      <w:tr w:rsidR="00935776" w:rsidRPr="00935776" w14:paraId="54F82106" w14:textId="77777777" w:rsidTr="00DB0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4BB868AD" w14:textId="1DFA63DB" w:rsidR="00935776" w:rsidRPr="00935776" w:rsidRDefault="00935776" w:rsidP="00935776">
            <w:pPr>
              <w:pStyle w:val="Tabletextleft"/>
              <w:rPr>
                <w:rFonts w:cs="Arial"/>
                <w:sz w:val="17"/>
                <w:szCs w:val="17"/>
              </w:rPr>
            </w:pPr>
            <w:proofErr w:type="gramStart"/>
            <w:r w:rsidRPr="00935776">
              <w:rPr>
                <w:sz w:val="17"/>
                <w:szCs w:val="17"/>
                <w:lang w:eastAsia="en-AU"/>
              </w:rPr>
              <w:t>South Eastern</w:t>
            </w:r>
            <w:proofErr w:type="gramEnd"/>
            <w:r w:rsidRPr="00935776">
              <w:rPr>
                <w:sz w:val="17"/>
                <w:szCs w:val="17"/>
                <w:lang w:eastAsia="en-AU"/>
              </w:rPr>
              <w:t xml:space="preserve"> NSW</w:t>
            </w:r>
          </w:p>
        </w:tc>
        <w:tc>
          <w:tcPr>
            <w:tcW w:w="1020" w:type="dxa"/>
            <w:vAlign w:val="center"/>
          </w:tcPr>
          <w:p w14:paraId="425CD433" w14:textId="49544C0E"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80.3%</w:t>
            </w:r>
          </w:p>
        </w:tc>
        <w:tc>
          <w:tcPr>
            <w:tcW w:w="1020" w:type="dxa"/>
            <w:vAlign w:val="center"/>
          </w:tcPr>
          <w:p w14:paraId="7354FA8E" w14:textId="6F483E3C"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79.9%</w:t>
            </w:r>
          </w:p>
        </w:tc>
        <w:tc>
          <w:tcPr>
            <w:tcW w:w="1020" w:type="dxa"/>
            <w:vAlign w:val="center"/>
          </w:tcPr>
          <w:p w14:paraId="21047FEC" w14:textId="3B9A7610"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77.9%</w:t>
            </w:r>
          </w:p>
        </w:tc>
        <w:tc>
          <w:tcPr>
            <w:tcW w:w="1020" w:type="dxa"/>
            <w:vAlign w:val="center"/>
          </w:tcPr>
          <w:p w14:paraId="7C9483BE" w14:textId="67763241"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82.4%</w:t>
            </w:r>
          </w:p>
        </w:tc>
        <w:tc>
          <w:tcPr>
            <w:tcW w:w="1020" w:type="dxa"/>
            <w:vAlign w:val="center"/>
          </w:tcPr>
          <w:p w14:paraId="688F1A7D" w14:textId="60233A34"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90.5%</w:t>
            </w:r>
          </w:p>
        </w:tc>
      </w:tr>
      <w:tr w:rsidR="00935776" w:rsidRPr="00935776" w14:paraId="39DE60E2"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4E17C76F" w14:textId="29D578BD" w:rsidR="00935776" w:rsidRPr="00935776" w:rsidRDefault="00935776" w:rsidP="00935776">
            <w:pPr>
              <w:pStyle w:val="Tabletextleft"/>
              <w:rPr>
                <w:rFonts w:cs="Arial"/>
                <w:sz w:val="17"/>
                <w:szCs w:val="17"/>
              </w:rPr>
            </w:pPr>
            <w:proofErr w:type="gramStart"/>
            <w:r w:rsidRPr="00935776">
              <w:rPr>
                <w:sz w:val="17"/>
                <w:szCs w:val="17"/>
                <w:lang w:eastAsia="en-AU"/>
              </w:rPr>
              <w:t>South Western</w:t>
            </w:r>
            <w:proofErr w:type="gramEnd"/>
            <w:r w:rsidRPr="00935776">
              <w:rPr>
                <w:sz w:val="17"/>
                <w:szCs w:val="17"/>
                <w:lang w:eastAsia="en-AU"/>
              </w:rPr>
              <w:t xml:space="preserve"> Sydney</w:t>
            </w:r>
          </w:p>
        </w:tc>
        <w:tc>
          <w:tcPr>
            <w:tcW w:w="1020" w:type="dxa"/>
            <w:vAlign w:val="center"/>
          </w:tcPr>
          <w:p w14:paraId="4A8A8EA0" w14:textId="41F67FA4"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56.4%</w:t>
            </w:r>
          </w:p>
        </w:tc>
        <w:tc>
          <w:tcPr>
            <w:tcW w:w="1020" w:type="dxa"/>
            <w:vAlign w:val="center"/>
          </w:tcPr>
          <w:p w14:paraId="5D594D5E" w14:textId="418866ED"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59.1%</w:t>
            </w:r>
          </w:p>
        </w:tc>
        <w:tc>
          <w:tcPr>
            <w:tcW w:w="1020" w:type="dxa"/>
            <w:vAlign w:val="center"/>
          </w:tcPr>
          <w:p w14:paraId="1DCBE83F" w14:textId="2FB02179"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63.4%</w:t>
            </w:r>
          </w:p>
        </w:tc>
        <w:tc>
          <w:tcPr>
            <w:tcW w:w="1020" w:type="dxa"/>
            <w:vAlign w:val="center"/>
          </w:tcPr>
          <w:p w14:paraId="014AC884" w14:textId="3C72CB1E"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68.2%</w:t>
            </w:r>
          </w:p>
        </w:tc>
        <w:tc>
          <w:tcPr>
            <w:tcW w:w="1020" w:type="dxa"/>
            <w:vAlign w:val="center"/>
          </w:tcPr>
          <w:p w14:paraId="2CFB259A" w14:textId="427CBCCD"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71.6%</w:t>
            </w:r>
          </w:p>
        </w:tc>
      </w:tr>
      <w:tr w:rsidR="00935776" w:rsidRPr="00935776" w14:paraId="2959004F" w14:textId="77777777" w:rsidTr="00DB0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23379E93" w14:textId="7D85BCA1" w:rsidR="00935776" w:rsidRPr="00935776" w:rsidRDefault="00935776" w:rsidP="00935776">
            <w:pPr>
              <w:pStyle w:val="Tabletextleft"/>
              <w:rPr>
                <w:rFonts w:cs="Arial"/>
                <w:sz w:val="17"/>
                <w:szCs w:val="17"/>
              </w:rPr>
            </w:pPr>
            <w:r w:rsidRPr="00935776">
              <w:rPr>
                <w:sz w:val="17"/>
                <w:szCs w:val="17"/>
                <w:lang w:eastAsia="en-AU"/>
              </w:rPr>
              <w:t>Western NSW</w:t>
            </w:r>
          </w:p>
        </w:tc>
        <w:tc>
          <w:tcPr>
            <w:tcW w:w="1020" w:type="dxa"/>
            <w:vAlign w:val="center"/>
          </w:tcPr>
          <w:p w14:paraId="305C133C" w14:textId="288B8627"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81.4%</w:t>
            </w:r>
          </w:p>
        </w:tc>
        <w:tc>
          <w:tcPr>
            <w:tcW w:w="1020" w:type="dxa"/>
            <w:vAlign w:val="center"/>
          </w:tcPr>
          <w:p w14:paraId="21408E81" w14:textId="28E177ED"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93.8%</w:t>
            </w:r>
          </w:p>
        </w:tc>
        <w:tc>
          <w:tcPr>
            <w:tcW w:w="1020" w:type="dxa"/>
            <w:vAlign w:val="center"/>
          </w:tcPr>
          <w:p w14:paraId="4776A890" w14:textId="1300FABF"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92.7%</w:t>
            </w:r>
          </w:p>
        </w:tc>
        <w:tc>
          <w:tcPr>
            <w:tcW w:w="1020" w:type="dxa"/>
            <w:vAlign w:val="center"/>
          </w:tcPr>
          <w:p w14:paraId="27CB2EBE" w14:textId="1AE72022"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84.1%</w:t>
            </w:r>
          </w:p>
        </w:tc>
        <w:tc>
          <w:tcPr>
            <w:tcW w:w="1020" w:type="dxa"/>
            <w:vAlign w:val="center"/>
          </w:tcPr>
          <w:p w14:paraId="38CCF17C" w14:textId="4663CB21"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86.4%</w:t>
            </w:r>
          </w:p>
        </w:tc>
      </w:tr>
      <w:tr w:rsidR="00935776" w:rsidRPr="00935776" w14:paraId="6C43EACA"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566D9D81" w14:textId="0EA261C1" w:rsidR="00935776" w:rsidRPr="00935776" w:rsidRDefault="00935776" w:rsidP="00935776">
            <w:pPr>
              <w:pStyle w:val="Tabletextleft"/>
              <w:rPr>
                <w:rFonts w:cs="Arial"/>
                <w:sz w:val="17"/>
                <w:szCs w:val="17"/>
              </w:rPr>
            </w:pPr>
            <w:r w:rsidRPr="00935776">
              <w:rPr>
                <w:sz w:val="17"/>
                <w:szCs w:val="17"/>
                <w:lang w:eastAsia="en-AU"/>
              </w:rPr>
              <w:t>Western Sydney</w:t>
            </w:r>
          </w:p>
        </w:tc>
        <w:tc>
          <w:tcPr>
            <w:tcW w:w="1020" w:type="dxa"/>
            <w:vAlign w:val="center"/>
          </w:tcPr>
          <w:p w14:paraId="4D171E7E" w14:textId="0BA65C44"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77.2%</w:t>
            </w:r>
          </w:p>
        </w:tc>
        <w:tc>
          <w:tcPr>
            <w:tcW w:w="1020" w:type="dxa"/>
            <w:vAlign w:val="center"/>
          </w:tcPr>
          <w:p w14:paraId="70328197" w14:textId="6CC2932A"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79.3%</w:t>
            </w:r>
          </w:p>
        </w:tc>
        <w:tc>
          <w:tcPr>
            <w:tcW w:w="1020" w:type="dxa"/>
            <w:vAlign w:val="center"/>
          </w:tcPr>
          <w:p w14:paraId="2168245A" w14:textId="27A0386C"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73.9%</w:t>
            </w:r>
          </w:p>
        </w:tc>
        <w:tc>
          <w:tcPr>
            <w:tcW w:w="1020" w:type="dxa"/>
            <w:vAlign w:val="center"/>
          </w:tcPr>
          <w:p w14:paraId="464050A7" w14:textId="2FC870D9"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75.7%</w:t>
            </w:r>
          </w:p>
        </w:tc>
        <w:tc>
          <w:tcPr>
            <w:tcW w:w="1020" w:type="dxa"/>
            <w:vAlign w:val="center"/>
          </w:tcPr>
          <w:p w14:paraId="2C62FB00" w14:textId="7D7495D7"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85.6%</w:t>
            </w:r>
          </w:p>
        </w:tc>
      </w:tr>
      <w:tr w:rsidR="00D61457" w:rsidRPr="00935776" w14:paraId="77D17A82" w14:textId="77777777" w:rsidTr="00D614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shd w:val="clear" w:color="auto" w:fill="E6E6E6" w:themeFill="background2"/>
          </w:tcPr>
          <w:p w14:paraId="77B9ECBD" w14:textId="33AD57B1" w:rsidR="00D61457" w:rsidRPr="00935776" w:rsidRDefault="00D61457" w:rsidP="00A50069">
            <w:pPr>
              <w:pStyle w:val="Tabletextleft"/>
              <w:keepNext/>
              <w:rPr>
                <w:sz w:val="17"/>
                <w:szCs w:val="17"/>
                <w:lang w:eastAsia="en-AU"/>
              </w:rPr>
            </w:pPr>
            <w:r w:rsidRPr="00935776">
              <w:rPr>
                <w:b/>
                <w:bCs/>
                <w:sz w:val="17"/>
                <w:szCs w:val="17"/>
                <w:lang w:eastAsia="en-AU"/>
              </w:rPr>
              <w:lastRenderedPageBreak/>
              <w:t>Victoria</w:t>
            </w:r>
          </w:p>
        </w:tc>
        <w:tc>
          <w:tcPr>
            <w:tcW w:w="1020" w:type="dxa"/>
            <w:shd w:val="clear" w:color="auto" w:fill="E6E6E6" w:themeFill="background2"/>
            <w:vAlign w:val="center"/>
          </w:tcPr>
          <w:p w14:paraId="32BC050C"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721A76E5"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7C5031B7"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2B902381"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53AEE69A"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r>
      <w:tr w:rsidR="00935776" w:rsidRPr="00935776" w14:paraId="1E231627"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049345A4" w14:textId="068CE6EF" w:rsidR="00935776" w:rsidRPr="00935776" w:rsidRDefault="00935776" w:rsidP="00935776">
            <w:pPr>
              <w:pStyle w:val="Tabletextleft"/>
              <w:rPr>
                <w:rFonts w:cs="Arial"/>
                <w:sz w:val="17"/>
                <w:szCs w:val="17"/>
              </w:rPr>
            </w:pPr>
            <w:r w:rsidRPr="00935776">
              <w:rPr>
                <w:sz w:val="17"/>
                <w:szCs w:val="17"/>
                <w:lang w:eastAsia="en-AU"/>
              </w:rPr>
              <w:t>Eastern Melbourne</w:t>
            </w:r>
          </w:p>
        </w:tc>
        <w:tc>
          <w:tcPr>
            <w:tcW w:w="1020" w:type="dxa"/>
            <w:vAlign w:val="center"/>
          </w:tcPr>
          <w:p w14:paraId="273544A3" w14:textId="2B359BD8"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87%</w:t>
            </w:r>
          </w:p>
        </w:tc>
        <w:tc>
          <w:tcPr>
            <w:tcW w:w="1020" w:type="dxa"/>
            <w:vAlign w:val="center"/>
          </w:tcPr>
          <w:p w14:paraId="5EE50D20" w14:textId="7F94AAD0"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87.6%</w:t>
            </w:r>
          </w:p>
        </w:tc>
        <w:tc>
          <w:tcPr>
            <w:tcW w:w="1020" w:type="dxa"/>
            <w:vAlign w:val="center"/>
          </w:tcPr>
          <w:p w14:paraId="509077D6" w14:textId="48A14234"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83.9%</w:t>
            </w:r>
          </w:p>
        </w:tc>
        <w:tc>
          <w:tcPr>
            <w:tcW w:w="1020" w:type="dxa"/>
            <w:vAlign w:val="center"/>
          </w:tcPr>
          <w:p w14:paraId="20E35A9B" w14:textId="379E0D06"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84.9%</w:t>
            </w:r>
          </w:p>
        </w:tc>
        <w:tc>
          <w:tcPr>
            <w:tcW w:w="1020" w:type="dxa"/>
            <w:vAlign w:val="center"/>
          </w:tcPr>
          <w:p w14:paraId="4D179E5C" w14:textId="7CA545AC"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85.4%</w:t>
            </w:r>
          </w:p>
        </w:tc>
      </w:tr>
      <w:tr w:rsidR="00935776" w:rsidRPr="00935776" w14:paraId="599986DD" w14:textId="77777777" w:rsidTr="00DB0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43158AC5" w14:textId="66840CAE" w:rsidR="00935776" w:rsidRPr="00935776" w:rsidRDefault="00935776" w:rsidP="00935776">
            <w:pPr>
              <w:pStyle w:val="Tabletextleft"/>
              <w:rPr>
                <w:rFonts w:cs="Arial"/>
                <w:sz w:val="17"/>
                <w:szCs w:val="17"/>
              </w:rPr>
            </w:pPr>
            <w:r w:rsidRPr="00935776">
              <w:rPr>
                <w:sz w:val="17"/>
                <w:szCs w:val="17"/>
                <w:lang w:eastAsia="en-AU"/>
              </w:rPr>
              <w:t>Gippsland</w:t>
            </w:r>
          </w:p>
        </w:tc>
        <w:tc>
          <w:tcPr>
            <w:tcW w:w="1020" w:type="dxa"/>
            <w:vAlign w:val="center"/>
          </w:tcPr>
          <w:p w14:paraId="5710666E" w14:textId="7214B9E9"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86.9%</w:t>
            </w:r>
          </w:p>
        </w:tc>
        <w:tc>
          <w:tcPr>
            <w:tcW w:w="1020" w:type="dxa"/>
            <w:vAlign w:val="center"/>
          </w:tcPr>
          <w:p w14:paraId="615E4B68" w14:textId="0569F7CF"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94.3%</w:t>
            </w:r>
          </w:p>
        </w:tc>
        <w:tc>
          <w:tcPr>
            <w:tcW w:w="1020" w:type="dxa"/>
            <w:vAlign w:val="center"/>
          </w:tcPr>
          <w:p w14:paraId="58820995" w14:textId="6D759CDB"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93.1%</w:t>
            </w:r>
          </w:p>
        </w:tc>
        <w:tc>
          <w:tcPr>
            <w:tcW w:w="1020" w:type="dxa"/>
            <w:vAlign w:val="center"/>
          </w:tcPr>
          <w:p w14:paraId="2C796EAD" w14:textId="45667100"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89.6%</w:t>
            </w:r>
          </w:p>
        </w:tc>
        <w:tc>
          <w:tcPr>
            <w:tcW w:w="1020" w:type="dxa"/>
            <w:vAlign w:val="center"/>
          </w:tcPr>
          <w:p w14:paraId="4997A4C9" w14:textId="6B6EDF54"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91.8%</w:t>
            </w:r>
          </w:p>
        </w:tc>
      </w:tr>
      <w:tr w:rsidR="00935776" w:rsidRPr="00935776" w14:paraId="259C64BC"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71D7AFF0" w14:textId="72E74F57" w:rsidR="00935776" w:rsidRPr="00935776" w:rsidRDefault="00935776" w:rsidP="00935776">
            <w:pPr>
              <w:pStyle w:val="Tabletextleft"/>
              <w:rPr>
                <w:rFonts w:cs="Arial"/>
                <w:sz w:val="17"/>
                <w:szCs w:val="17"/>
              </w:rPr>
            </w:pPr>
            <w:r w:rsidRPr="00935776">
              <w:rPr>
                <w:sz w:val="17"/>
                <w:szCs w:val="17"/>
                <w:lang w:eastAsia="en-AU"/>
              </w:rPr>
              <w:t>Murray</w:t>
            </w:r>
          </w:p>
        </w:tc>
        <w:tc>
          <w:tcPr>
            <w:tcW w:w="1020" w:type="dxa"/>
            <w:vAlign w:val="center"/>
          </w:tcPr>
          <w:p w14:paraId="63965F00" w14:textId="202D0181"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88.1%</w:t>
            </w:r>
          </w:p>
        </w:tc>
        <w:tc>
          <w:tcPr>
            <w:tcW w:w="1020" w:type="dxa"/>
            <w:vAlign w:val="center"/>
          </w:tcPr>
          <w:p w14:paraId="334F3071" w14:textId="4D54789F"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88.7%</w:t>
            </w:r>
          </w:p>
        </w:tc>
        <w:tc>
          <w:tcPr>
            <w:tcW w:w="1020" w:type="dxa"/>
            <w:vAlign w:val="center"/>
          </w:tcPr>
          <w:p w14:paraId="68482487" w14:textId="540F60D6"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92.7%</w:t>
            </w:r>
          </w:p>
        </w:tc>
        <w:tc>
          <w:tcPr>
            <w:tcW w:w="1020" w:type="dxa"/>
            <w:vAlign w:val="center"/>
          </w:tcPr>
          <w:p w14:paraId="7A857A5A" w14:textId="0609F454"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94.2%</w:t>
            </w:r>
          </w:p>
        </w:tc>
        <w:tc>
          <w:tcPr>
            <w:tcW w:w="1020" w:type="dxa"/>
            <w:vAlign w:val="center"/>
          </w:tcPr>
          <w:p w14:paraId="6DB3CBC0" w14:textId="177A7F7F"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96.4%</w:t>
            </w:r>
          </w:p>
        </w:tc>
      </w:tr>
      <w:tr w:rsidR="00935776" w:rsidRPr="00935776" w14:paraId="283D9570" w14:textId="77777777" w:rsidTr="00DB0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7BD14DFF" w14:textId="2EDBBE88" w:rsidR="00935776" w:rsidRPr="00935776" w:rsidRDefault="00935776" w:rsidP="00935776">
            <w:pPr>
              <w:pStyle w:val="Tabletextleft"/>
              <w:rPr>
                <w:rFonts w:cs="Arial"/>
                <w:sz w:val="17"/>
                <w:szCs w:val="17"/>
              </w:rPr>
            </w:pPr>
            <w:proofErr w:type="gramStart"/>
            <w:r w:rsidRPr="00935776">
              <w:rPr>
                <w:sz w:val="17"/>
                <w:szCs w:val="17"/>
                <w:lang w:eastAsia="en-AU"/>
              </w:rPr>
              <w:t>North Western</w:t>
            </w:r>
            <w:proofErr w:type="gramEnd"/>
            <w:r w:rsidRPr="00935776">
              <w:rPr>
                <w:sz w:val="17"/>
                <w:szCs w:val="17"/>
                <w:lang w:eastAsia="en-AU"/>
              </w:rPr>
              <w:t xml:space="preserve"> Melbourne</w:t>
            </w:r>
          </w:p>
        </w:tc>
        <w:tc>
          <w:tcPr>
            <w:tcW w:w="1020" w:type="dxa"/>
            <w:vAlign w:val="center"/>
          </w:tcPr>
          <w:p w14:paraId="70DF0C22" w14:textId="799F6E07"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71.6%</w:t>
            </w:r>
          </w:p>
        </w:tc>
        <w:tc>
          <w:tcPr>
            <w:tcW w:w="1020" w:type="dxa"/>
            <w:vAlign w:val="center"/>
          </w:tcPr>
          <w:p w14:paraId="6F7E5DCF" w14:textId="3CA43CFC"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73.2%</w:t>
            </w:r>
          </w:p>
        </w:tc>
        <w:tc>
          <w:tcPr>
            <w:tcW w:w="1020" w:type="dxa"/>
            <w:vAlign w:val="center"/>
          </w:tcPr>
          <w:p w14:paraId="6093BE8E" w14:textId="6D02E581"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73.7%</w:t>
            </w:r>
          </w:p>
        </w:tc>
        <w:tc>
          <w:tcPr>
            <w:tcW w:w="1020" w:type="dxa"/>
            <w:vAlign w:val="center"/>
          </w:tcPr>
          <w:p w14:paraId="27AA1757" w14:textId="46EF0080"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78.8%</w:t>
            </w:r>
          </w:p>
        </w:tc>
        <w:tc>
          <w:tcPr>
            <w:tcW w:w="1020" w:type="dxa"/>
            <w:vAlign w:val="center"/>
          </w:tcPr>
          <w:p w14:paraId="434E2711" w14:textId="5179E6DB"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76.9%</w:t>
            </w:r>
          </w:p>
        </w:tc>
      </w:tr>
      <w:tr w:rsidR="00935776" w:rsidRPr="00935776" w14:paraId="52C55F5C"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232A4BF6" w14:textId="3F29400C" w:rsidR="00935776" w:rsidRPr="00935776" w:rsidRDefault="00935776" w:rsidP="00935776">
            <w:pPr>
              <w:pStyle w:val="Tabletextleft"/>
              <w:rPr>
                <w:rFonts w:cs="Arial"/>
                <w:sz w:val="17"/>
                <w:szCs w:val="17"/>
              </w:rPr>
            </w:pPr>
            <w:proofErr w:type="gramStart"/>
            <w:r w:rsidRPr="00935776">
              <w:rPr>
                <w:sz w:val="17"/>
                <w:szCs w:val="17"/>
                <w:lang w:eastAsia="en-AU"/>
              </w:rPr>
              <w:t>South Eastern</w:t>
            </w:r>
            <w:proofErr w:type="gramEnd"/>
            <w:r w:rsidRPr="00935776">
              <w:rPr>
                <w:sz w:val="17"/>
                <w:szCs w:val="17"/>
                <w:lang w:eastAsia="en-AU"/>
              </w:rPr>
              <w:t xml:space="preserve"> Melbourne</w:t>
            </w:r>
          </w:p>
        </w:tc>
        <w:tc>
          <w:tcPr>
            <w:tcW w:w="1020" w:type="dxa"/>
            <w:vAlign w:val="center"/>
          </w:tcPr>
          <w:p w14:paraId="28B0E127" w14:textId="744CFD46"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73.8%</w:t>
            </w:r>
          </w:p>
        </w:tc>
        <w:tc>
          <w:tcPr>
            <w:tcW w:w="1020" w:type="dxa"/>
            <w:vAlign w:val="center"/>
          </w:tcPr>
          <w:p w14:paraId="24BA6545" w14:textId="03C4657E"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73.2%</w:t>
            </w:r>
          </w:p>
        </w:tc>
        <w:tc>
          <w:tcPr>
            <w:tcW w:w="1020" w:type="dxa"/>
            <w:vAlign w:val="center"/>
          </w:tcPr>
          <w:p w14:paraId="1DCBC237" w14:textId="232B780E"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74.5%</w:t>
            </w:r>
          </w:p>
        </w:tc>
        <w:tc>
          <w:tcPr>
            <w:tcW w:w="1020" w:type="dxa"/>
            <w:vAlign w:val="center"/>
          </w:tcPr>
          <w:p w14:paraId="2CE669A9" w14:textId="59F2FB00"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75.6%</w:t>
            </w:r>
          </w:p>
        </w:tc>
        <w:tc>
          <w:tcPr>
            <w:tcW w:w="1020" w:type="dxa"/>
            <w:vAlign w:val="center"/>
          </w:tcPr>
          <w:p w14:paraId="1E703C48" w14:textId="4C9A307B"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71.1%</w:t>
            </w:r>
          </w:p>
        </w:tc>
      </w:tr>
      <w:tr w:rsidR="00935776" w:rsidRPr="00935776" w14:paraId="390D5D80" w14:textId="77777777" w:rsidTr="00DB0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5A8740F7" w14:textId="2C8AE1A1" w:rsidR="00935776" w:rsidRPr="00935776" w:rsidRDefault="00935776" w:rsidP="00935776">
            <w:pPr>
              <w:pStyle w:val="Tabletextleft"/>
              <w:rPr>
                <w:rFonts w:cs="Arial"/>
                <w:sz w:val="17"/>
                <w:szCs w:val="17"/>
              </w:rPr>
            </w:pPr>
            <w:r w:rsidRPr="00935776">
              <w:rPr>
                <w:sz w:val="17"/>
                <w:szCs w:val="17"/>
                <w:lang w:eastAsia="en-AU"/>
              </w:rPr>
              <w:t>Western Victoria</w:t>
            </w:r>
          </w:p>
        </w:tc>
        <w:tc>
          <w:tcPr>
            <w:tcW w:w="1020" w:type="dxa"/>
            <w:vAlign w:val="center"/>
          </w:tcPr>
          <w:p w14:paraId="11D43D58" w14:textId="489D54A6"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85.9%</w:t>
            </w:r>
          </w:p>
        </w:tc>
        <w:tc>
          <w:tcPr>
            <w:tcW w:w="1020" w:type="dxa"/>
            <w:vAlign w:val="center"/>
          </w:tcPr>
          <w:p w14:paraId="164204E1" w14:textId="2076535D"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83.8%</w:t>
            </w:r>
          </w:p>
        </w:tc>
        <w:tc>
          <w:tcPr>
            <w:tcW w:w="1020" w:type="dxa"/>
            <w:vAlign w:val="center"/>
          </w:tcPr>
          <w:p w14:paraId="7DC1F025" w14:textId="55A98408"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85.7%</w:t>
            </w:r>
          </w:p>
        </w:tc>
        <w:tc>
          <w:tcPr>
            <w:tcW w:w="1020" w:type="dxa"/>
            <w:vAlign w:val="center"/>
          </w:tcPr>
          <w:p w14:paraId="1426B56D" w14:textId="59941A4C"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84.2%</w:t>
            </w:r>
          </w:p>
        </w:tc>
        <w:tc>
          <w:tcPr>
            <w:tcW w:w="1020" w:type="dxa"/>
            <w:vAlign w:val="center"/>
          </w:tcPr>
          <w:p w14:paraId="2C0AE559" w14:textId="5242BF1E"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93.8%</w:t>
            </w:r>
          </w:p>
        </w:tc>
      </w:tr>
      <w:tr w:rsidR="00D61457" w:rsidRPr="00935776" w14:paraId="431B8CB8" w14:textId="77777777" w:rsidTr="00D6145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shd w:val="clear" w:color="auto" w:fill="E6E6E6" w:themeFill="background2"/>
          </w:tcPr>
          <w:p w14:paraId="3533E2DA" w14:textId="1B762A85" w:rsidR="00D61457" w:rsidRPr="00935776" w:rsidRDefault="00D61457" w:rsidP="00935776">
            <w:pPr>
              <w:pStyle w:val="Tabletextleft"/>
              <w:rPr>
                <w:sz w:val="17"/>
                <w:szCs w:val="17"/>
                <w:lang w:eastAsia="en-AU"/>
              </w:rPr>
            </w:pPr>
            <w:r w:rsidRPr="00935776">
              <w:rPr>
                <w:b/>
                <w:bCs/>
                <w:sz w:val="17"/>
                <w:szCs w:val="17"/>
                <w:lang w:eastAsia="en-AU"/>
              </w:rPr>
              <w:t>Queensland</w:t>
            </w:r>
          </w:p>
        </w:tc>
        <w:tc>
          <w:tcPr>
            <w:tcW w:w="1020" w:type="dxa"/>
            <w:shd w:val="clear" w:color="auto" w:fill="E6E6E6" w:themeFill="background2"/>
            <w:vAlign w:val="center"/>
          </w:tcPr>
          <w:p w14:paraId="229292AC" w14:textId="77777777" w:rsidR="00D61457" w:rsidRPr="00935776" w:rsidRDefault="00D61457"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c>
          <w:tcPr>
            <w:tcW w:w="1020" w:type="dxa"/>
            <w:shd w:val="clear" w:color="auto" w:fill="E6E6E6" w:themeFill="background2"/>
            <w:vAlign w:val="center"/>
          </w:tcPr>
          <w:p w14:paraId="6C11A347" w14:textId="77777777" w:rsidR="00D61457" w:rsidRPr="00935776" w:rsidRDefault="00D61457"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c>
          <w:tcPr>
            <w:tcW w:w="1020" w:type="dxa"/>
            <w:shd w:val="clear" w:color="auto" w:fill="E6E6E6" w:themeFill="background2"/>
            <w:vAlign w:val="center"/>
          </w:tcPr>
          <w:p w14:paraId="7BB1CFFA" w14:textId="77777777" w:rsidR="00D61457" w:rsidRPr="00935776" w:rsidRDefault="00D61457"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c>
          <w:tcPr>
            <w:tcW w:w="1020" w:type="dxa"/>
            <w:shd w:val="clear" w:color="auto" w:fill="E6E6E6" w:themeFill="background2"/>
            <w:vAlign w:val="center"/>
          </w:tcPr>
          <w:p w14:paraId="6F84AD51" w14:textId="77777777" w:rsidR="00D61457" w:rsidRPr="00935776" w:rsidRDefault="00D61457"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c>
          <w:tcPr>
            <w:tcW w:w="1020" w:type="dxa"/>
            <w:shd w:val="clear" w:color="auto" w:fill="E6E6E6" w:themeFill="background2"/>
            <w:vAlign w:val="center"/>
          </w:tcPr>
          <w:p w14:paraId="4FF9F43C" w14:textId="77777777" w:rsidR="00D61457" w:rsidRPr="00935776" w:rsidRDefault="00D61457"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r>
      <w:tr w:rsidR="00935776" w:rsidRPr="00935776" w14:paraId="2AD91211" w14:textId="77777777" w:rsidTr="00DB0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49927490" w14:textId="66FEAC16" w:rsidR="00935776" w:rsidRPr="00935776" w:rsidRDefault="00935776" w:rsidP="00935776">
            <w:pPr>
              <w:pStyle w:val="Tabletextleft"/>
              <w:rPr>
                <w:rFonts w:cs="Arial"/>
                <w:sz w:val="17"/>
                <w:szCs w:val="17"/>
              </w:rPr>
            </w:pPr>
            <w:r w:rsidRPr="00935776">
              <w:rPr>
                <w:sz w:val="17"/>
                <w:szCs w:val="17"/>
                <w:lang w:eastAsia="en-AU"/>
              </w:rPr>
              <w:t>Brisbane North</w:t>
            </w:r>
          </w:p>
        </w:tc>
        <w:tc>
          <w:tcPr>
            <w:tcW w:w="1020" w:type="dxa"/>
            <w:vAlign w:val="center"/>
          </w:tcPr>
          <w:p w14:paraId="128EA569" w14:textId="56C545A3"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80.1%</w:t>
            </w:r>
          </w:p>
        </w:tc>
        <w:tc>
          <w:tcPr>
            <w:tcW w:w="1020" w:type="dxa"/>
            <w:vAlign w:val="center"/>
          </w:tcPr>
          <w:p w14:paraId="056C729B" w14:textId="7668E049"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75.1%</w:t>
            </w:r>
          </w:p>
        </w:tc>
        <w:tc>
          <w:tcPr>
            <w:tcW w:w="1020" w:type="dxa"/>
            <w:vAlign w:val="center"/>
          </w:tcPr>
          <w:p w14:paraId="2C756666" w14:textId="633B03AA"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81.5%</w:t>
            </w:r>
          </w:p>
        </w:tc>
        <w:tc>
          <w:tcPr>
            <w:tcW w:w="1020" w:type="dxa"/>
            <w:vAlign w:val="center"/>
          </w:tcPr>
          <w:p w14:paraId="2EE61279" w14:textId="42A8745A"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82%</w:t>
            </w:r>
          </w:p>
        </w:tc>
        <w:tc>
          <w:tcPr>
            <w:tcW w:w="1020" w:type="dxa"/>
            <w:vAlign w:val="center"/>
          </w:tcPr>
          <w:p w14:paraId="4B5F875F" w14:textId="65AAB2F8"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88.4%</w:t>
            </w:r>
          </w:p>
        </w:tc>
      </w:tr>
      <w:tr w:rsidR="00935776" w:rsidRPr="00935776" w14:paraId="3902FFEB"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2592A338" w14:textId="531CB696" w:rsidR="00935776" w:rsidRPr="00935776" w:rsidRDefault="00935776" w:rsidP="00935776">
            <w:pPr>
              <w:pStyle w:val="Tabletextleft"/>
              <w:rPr>
                <w:rFonts w:cs="Arial"/>
                <w:sz w:val="17"/>
                <w:szCs w:val="17"/>
              </w:rPr>
            </w:pPr>
            <w:r w:rsidRPr="00935776">
              <w:rPr>
                <w:sz w:val="17"/>
                <w:szCs w:val="17"/>
                <w:lang w:eastAsia="en-AU"/>
              </w:rPr>
              <w:t>Brisbane South</w:t>
            </w:r>
          </w:p>
        </w:tc>
        <w:tc>
          <w:tcPr>
            <w:tcW w:w="1020" w:type="dxa"/>
            <w:vAlign w:val="center"/>
          </w:tcPr>
          <w:p w14:paraId="058C630E" w14:textId="690D562E"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86.8%</w:t>
            </w:r>
          </w:p>
        </w:tc>
        <w:tc>
          <w:tcPr>
            <w:tcW w:w="1020" w:type="dxa"/>
            <w:vAlign w:val="center"/>
          </w:tcPr>
          <w:p w14:paraId="75C0BD0A" w14:textId="307157FE"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85.1%</w:t>
            </w:r>
          </w:p>
        </w:tc>
        <w:tc>
          <w:tcPr>
            <w:tcW w:w="1020" w:type="dxa"/>
            <w:vAlign w:val="center"/>
          </w:tcPr>
          <w:p w14:paraId="7E21283B" w14:textId="6A088C03"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88.4%</w:t>
            </w:r>
          </w:p>
        </w:tc>
        <w:tc>
          <w:tcPr>
            <w:tcW w:w="1020" w:type="dxa"/>
            <w:vAlign w:val="center"/>
          </w:tcPr>
          <w:p w14:paraId="59116C86" w14:textId="1F159936"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90.4%</w:t>
            </w:r>
          </w:p>
        </w:tc>
        <w:tc>
          <w:tcPr>
            <w:tcW w:w="1020" w:type="dxa"/>
            <w:vAlign w:val="center"/>
          </w:tcPr>
          <w:p w14:paraId="0C7D2BB9" w14:textId="60A0C276"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91.5%</w:t>
            </w:r>
          </w:p>
        </w:tc>
      </w:tr>
      <w:tr w:rsidR="00935776" w:rsidRPr="00935776" w14:paraId="233B97DF" w14:textId="77777777" w:rsidTr="00DB0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4DAE16D5" w14:textId="0F95763B" w:rsidR="00935776" w:rsidRPr="00935776" w:rsidRDefault="00935776" w:rsidP="00935776">
            <w:pPr>
              <w:pStyle w:val="Tabletextleft"/>
              <w:rPr>
                <w:rFonts w:cs="Arial"/>
                <w:sz w:val="17"/>
                <w:szCs w:val="17"/>
              </w:rPr>
            </w:pPr>
            <w:r w:rsidRPr="00935776">
              <w:rPr>
                <w:sz w:val="17"/>
                <w:szCs w:val="17"/>
                <w:lang w:eastAsia="en-AU"/>
              </w:rPr>
              <w:t>Central Queensland, Wide Bay, Sunshine Coast</w:t>
            </w:r>
          </w:p>
        </w:tc>
        <w:tc>
          <w:tcPr>
            <w:tcW w:w="1020" w:type="dxa"/>
            <w:vAlign w:val="center"/>
          </w:tcPr>
          <w:p w14:paraId="2AAED73A" w14:textId="3FB005FE"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85.7%</w:t>
            </w:r>
          </w:p>
        </w:tc>
        <w:tc>
          <w:tcPr>
            <w:tcW w:w="1020" w:type="dxa"/>
            <w:vAlign w:val="center"/>
          </w:tcPr>
          <w:p w14:paraId="10838A7D" w14:textId="07496E57"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92.7%</w:t>
            </w:r>
          </w:p>
        </w:tc>
        <w:tc>
          <w:tcPr>
            <w:tcW w:w="1020" w:type="dxa"/>
            <w:vAlign w:val="center"/>
          </w:tcPr>
          <w:p w14:paraId="21649CA7" w14:textId="64F04793"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87.2%</w:t>
            </w:r>
          </w:p>
        </w:tc>
        <w:tc>
          <w:tcPr>
            <w:tcW w:w="1020" w:type="dxa"/>
            <w:vAlign w:val="center"/>
          </w:tcPr>
          <w:p w14:paraId="2BDA71D6" w14:textId="1AA35F0C"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88.9%</w:t>
            </w:r>
          </w:p>
        </w:tc>
        <w:tc>
          <w:tcPr>
            <w:tcW w:w="1020" w:type="dxa"/>
            <w:vAlign w:val="center"/>
          </w:tcPr>
          <w:p w14:paraId="764DD6EF" w14:textId="12511810"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87.9%</w:t>
            </w:r>
          </w:p>
        </w:tc>
      </w:tr>
      <w:tr w:rsidR="00935776" w:rsidRPr="00935776" w14:paraId="3CFF88B6"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55C766EE" w14:textId="73E571D3" w:rsidR="00935776" w:rsidRPr="00935776" w:rsidRDefault="00935776" w:rsidP="00935776">
            <w:pPr>
              <w:pStyle w:val="Tabletextleft"/>
              <w:rPr>
                <w:rFonts w:cs="Arial"/>
                <w:sz w:val="17"/>
                <w:szCs w:val="17"/>
              </w:rPr>
            </w:pPr>
            <w:r w:rsidRPr="00935776">
              <w:rPr>
                <w:sz w:val="17"/>
                <w:szCs w:val="17"/>
                <w:lang w:eastAsia="en-AU"/>
              </w:rPr>
              <w:t>Darling Downs and West Moreton</w:t>
            </w:r>
          </w:p>
        </w:tc>
        <w:tc>
          <w:tcPr>
            <w:tcW w:w="1020" w:type="dxa"/>
            <w:vAlign w:val="center"/>
          </w:tcPr>
          <w:p w14:paraId="5DC4A2C8" w14:textId="53847417"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93%</w:t>
            </w:r>
          </w:p>
        </w:tc>
        <w:tc>
          <w:tcPr>
            <w:tcW w:w="1020" w:type="dxa"/>
            <w:vAlign w:val="center"/>
          </w:tcPr>
          <w:p w14:paraId="5BA5C931" w14:textId="271AA286"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88.4%</w:t>
            </w:r>
          </w:p>
        </w:tc>
        <w:tc>
          <w:tcPr>
            <w:tcW w:w="1020" w:type="dxa"/>
            <w:vAlign w:val="center"/>
          </w:tcPr>
          <w:p w14:paraId="02244448" w14:textId="70F6AF3C"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89.4%</w:t>
            </w:r>
          </w:p>
        </w:tc>
        <w:tc>
          <w:tcPr>
            <w:tcW w:w="1020" w:type="dxa"/>
            <w:vAlign w:val="center"/>
          </w:tcPr>
          <w:p w14:paraId="445C2BB6" w14:textId="08820C34"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90.1%</w:t>
            </w:r>
          </w:p>
        </w:tc>
        <w:tc>
          <w:tcPr>
            <w:tcW w:w="1020" w:type="dxa"/>
            <w:vAlign w:val="center"/>
          </w:tcPr>
          <w:p w14:paraId="1F05CFBF" w14:textId="4C14E691"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90.4%</w:t>
            </w:r>
          </w:p>
        </w:tc>
      </w:tr>
      <w:tr w:rsidR="00935776" w:rsidRPr="00935776" w14:paraId="4B6C4EE5" w14:textId="77777777" w:rsidTr="00DB0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33A1A705" w14:textId="444C94ED" w:rsidR="00935776" w:rsidRPr="00935776" w:rsidRDefault="00935776" w:rsidP="00935776">
            <w:pPr>
              <w:pStyle w:val="Tabletextleft"/>
              <w:rPr>
                <w:rFonts w:cs="Arial"/>
                <w:sz w:val="17"/>
                <w:szCs w:val="17"/>
              </w:rPr>
            </w:pPr>
            <w:r w:rsidRPr="00935776">
              <w:rPr>
                <w:sz w:val="17"/>
                <w:szCs w:val="17"/>
                <w:lang w:eastAsia="en-AU"/>
              </w:rPr>
              <w:t>Gold Coast</w:t>
            </w:r>
          </w:p>
        </w:tc>
        <w:tc>
          <w:tcPr>
            <w:tcW w:w="1020" w:type="dxa"/>
            <w:vAlign w:val="center"/>
          </w:tcPr>
          <w:p w14:paraId="5B913777" w14:textId="39510ECE"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85.4%</w:t>
            </w:r>
          </w:p>
        </w:tc>
        <w:tc>
          <w:tcPr>
            <w:tcW w:w="1020" w:type="dxa"/>
            <w:vAlign w:val="center"/>
          </w:tcPr>
          <w:p w14:paraId="6D09C976" w14:textId="43D9BAE2"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86.1%</w:t>
            </w:r>
          </w:p>
        </w:tc>
        <w:tc>
          <w:tcPr>
            <w:tcW w:w="1020" w:type="dxa"/>
            <w:vAlign w:val="center"/>
          </w:tcPr>
          <w:p w14:paraId="2B82B006" w14:textId="42AD9306"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86.4%</w:t>
            </w:r>
          </w:p>
        </w:tc>
        <w:tc>
          <w:tcPr>
            <w:tcW w:w="1020" w:type="dxa"/>
            <w:vAlign w:val="center"/>
          </w:tcPr>
          <w:p w14:paraId="4FA7AF45" w14:textId="001AED41"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86.8%</w:t>
            </w:r>
          </w:p>
        </w:tc>
        <w:tc>
          <w:tcPr>
            <w:tcW w:w="1020" w:type="dxa"/>
            <w:vAlign w:val="center"/>
          </w:tcPr>
          <w:p w14:paraId="6EFBC2C7" w14:textId="58DE30D3"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90.5%</w:t>
            </w:r>
          </w:p>
        </w:tc>
      </w:tr>
      <w:tr w:rsidR="00935776" w:rsidRPr="00935776" w14:paraId="4D452344"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68F80284" w14:textId="48FA29E1" w:rsidR="00935776" w:rsidRPr="00935776" w:rsidRDefault="00935776" w:rsidP="00935776">
            <w:pPr>
              <w:pStyle w:val="Tabletextleft"/>
              <w:rPr>
                <w:rFonts w:cs="Arial"/>
                <w:sz w:val="17"/>
                <w:szCs w:val="17"/>
              </w:rPr>
            </w:pPr>
            <w:r w:rsidRPr="00935776">
              <w:rPr>
                <w:sz w:val="17"/>
                <w:szCs w:val="17"/>
                <w:lang w:eastAsia="en-AU"/>
              </w:rPr>
              <w:t>Northern Queensland</w:t>
            </w:r>
          </w:p>
        </w:tc>
        <w:tc>
          <w:tcPr>
            <w:tcW w:w="1020" w:type="dxa"/>
            <w:vAlign w:val="center"/>
          </w:tcPr>
          <w:p w14:paraId="0D856EC1" w14:textId="75B1CBE6"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87.2%</w:t>
            </w:r>
          </w:p>
        </w:tc>
        <w:tc>
          <w:tcPr>
            <w:tcW w:w="1020" w:type="dxa"/>
            <w:vAlign w:val="center"/>
          </w:tcPr>
          <w:p w14:paraId="52F68BB3" w14:textId="12E33F87"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88.8%</w:t>
            </w:r>
          </w:p>
        </w:tc>
        <w:tc>
          <w:tcPr>
            <w:tcW w:w="1020" w:type="dxa"/>
            <w:vAlign w:val="center"/>
          </w:tcPr>
          <w:p w14:paraId="575A2499" w14:textId="5F88584F"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109.8%</w:t>
            </w:r>
            <w:r w:rsidR="006B3D78">
              <w:rPr>
                <w:rStyle w:val="FootnoteReference"/>
                <w:sz w:val="17"/>
                <w:szCs w:val="17"/>
                <w:lang w:eastAsia="en-AU"/>
              </w:rPr>
              <w:footnoteReference w:id="23"/>
            </w:r>
          </w:p>
        </w:tc>
        <w:tc>
          <w:tcPr>
            <w:tcW w:w="1020" w:type="dxa"/>
            <w:vAlign w:val="center"/>
          </w:tcPr>
          <w:p w14:paraId="383AE1DE" w14:textId="240C793B"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94.9%</w:t>
            </w:r>
          </w:p>
        </w:tc>
        <w:tc>
          <w:tcPr>
            <w:tcW w:w="1020" w:type="dxa"/>
            <w:vAlign w:val="center"/>
          </w:tcPr>
          <w:p w14:paraId="45F7C4C9" w14:textId="5F03FAEC"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77.6%</w:t>
            </w:r>
          </w:p>
        </w:tc>
      </w:tr>
      <w:tr w:rsidR="00935776" w:rsidRPr="00935776" w14:paraId="1271F5FA" w14:textId="77777777" w:rsidTr="00DB0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323F20AA" w14:textId="40257827" w:rsidR="00935776" w:rsidRPr="00935776" w:rsidRDefault="00935776" w:rsidP="00935776">
            <w:pPr>
              <w:pStyle w:val="Tabletextleft"/>
              <w:rPr>
                <w:rFonts w:cs="Arial"/>
                <w:sz w:val="17"/>
                <w:szCs w:val="17"/>
              </w:rPr>
            </w:pPr>
            <w:r w:rsidRPr="00935776">
              <w:rPr>
                <w:sz w:val="17"/>
                <w:szCs w:val="17"/>
                <w:lang w:eastAsia="en-AU"/>
              </w:rPr>
              <w:t>Western Queensland</w:t>
            </w:r>
          </w:p>
        </w:tc>
        <w:tc>
          <w:tcPr>
            <w:tcW w:w="1020" w:type="dxa"/>
            <w:vAlign w:val="center"/>
          </w:tcPr>
          <w:p w14:paraId="3AD4F792" w14:textId="1B667691"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63%</w:t>
            </w:r>
          </w:p>
        </w:tc>
        <w:tc>
          <w:tcPr>
            <w:tcW w:w="1020" w:type="dxa"/>
            <w:vAlign w:val="center"/>
          </w:tcPr>
          <w:p w14:paraId="172A7668" w14:textId="3308E633"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65.2%</w:t>
            </w:r>
          </w:p>
        </w:tc>
        <w:tc>
          <w:tcPr>
            <w:tcW w:w="1020" w:type="dxa"/>
            <w:vAlign w:val="center"/>
          </w:tcPr>
          <w:p w14:paraId="530D2981" w14:textId="249B50AA"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65.2%</w:t>
            </w:r>
          </w:p>
        </w:tc>
        <w:tc>
          <w:tcPr>
            <w:tcW w:w="1020" w:type="dxa"/>
            <w:vAlign w:val="center"/>
          </w:tcPr>
          <w:p w14:paraId="3AFE1CC5" w14:textId="44DF54D8"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60%</w:t>
            </w:r>
          </w:p>
        </w:tc>
        <w:tc>
          <w:tcPr>
            <w:tcW w:w="1020" w:type="dxa"/>
            <w:vAlign w:val="center"/>
          </w:tcPr>
          <w:p w14:paraId="41A2826A" w14:textId="36BE1BA2"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60.8%</w:t>
            </w:r>
          </w:p>
        </w:tc>
      </w:tr>
      <w:tr w:rsidR="00D61457" w:rsidRPr="00935776" w14:paraId="4DB965E1" w14:textId="77777777" w:rsidTr="00D6145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shd w:val="clear" w:color="auto" w:fill="E6E6E6" w:themeFill="background2"/>
          </w:tcPr>
          <w:p w14:paraId="1CD460FD" w14:textId="05DF842C" w:rsidR="00D61457" w:rsidRPr="00935776" w:rsidRDefault="00D61457" w:rsidP="00935776">
            <w:pPr>
              <w:pStyle w:val="Tabletextleft"/>
              <w:rPr>
                <w:sz w:val="17"/>
                <w:szCs w:val="17"/>
                <w:lang w:eastAsia="en-AU"/>
              </w:rPr>
            </w:pPr>
            <w:r w:rsidRPr="00935776">
              <w:rPr>
                <w:b/>
                <w:bCs/>
                <w:sz w:val="17"/>
                <w:szCs w:val="17"/>
                <w:lang w:eastAsia="en-AU"/>
              </w:rPr>
              <w:t>South Australia</w:t>
            </w:r>
          </w:p>
        </w:tc>
        <w:tc>
          <w:tcPr>
            <w:tcW w:w="1020" w:type="dxa"/>
            <w:shd w:val="clear" w:color="auto" w:fill="E6E6E6" w:themeFill="background2"/>
            <w:vAlign w:val="center"/>
          </w:tcPr>
          <w:p w14:paraId="1A998BA0" w14:textId="77777777" w:rsidR="00D61457" w:rsidRPr="00935776" w:rsidRDefault="00D61457"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c>
          <w:tcPr>
            <w:tcW w:w="1020" w:type="dxa"/>
            <w:shd w:val="clear" w:color="auto" w:fill="E6E6E6" w:themeFill="background2"/>
            <w:vAlign w:val="center"/>
          </w:tcPr>
          <w:p w14:paraId="0F8E3811" w14:textId="77777777" w:rsidR="00D61457" w:rsidRPr="00935776" w:rsidRDefault="00D61457"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c>
          <w:tcPr>
            <w:tcW w:w="1020" w:type="dxa"/>
            <w:shd w:val="clear" w:color="auto" w:fill="E6E6E6" w:themeFill="background2"/>
            <w:vAlign w:val="center"/>
          </w:tcPr>
          <w:p w14:paraId="5E09ADD4" w14:textId="77777777" w:rsidR="00D61457" w:rsidRPr="00935776" w:rsidRDefault="00D61457"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c>
          <w:tcPr>
            <w:tcW w:w="1020" w:type="dxa"/>
            <w:shd w:val="clear" w:color="auto" w:fill="E6E6E6" w:themeFill="background2"/>
            <w:vAlign w:val="center"/>
          </w:tcPr>
          <w:p w14:paraId="345E8D0F" w14:textId="77777777" w:rsidR="00D61457" w:rsidRPr="00935776" w:rsidRDefault="00D61457"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c>
          <w:tcPr>
            <w:tcW w:w="1020" w:type="dxa"/>
            <w:shd w:val="clear" w:color="auto" w:fill="E6E6E6" w:themeFill="background2"/>
            <w:vAlign w:val="center"/>
          </w:tcPr>
          <w:p w14:paraId="2A5659A2" w14:textId="77777777" w:rsidR="00D61457" w:rsidRPr="00935776" w:rsidRDefault="00D61457" w:rsidP="00DB079B">
            <w:pPr>
              <w:pStyle w:val="Tabletextleft"/>
              <w:jc w:val="center"/>
              <w:cnfStyle w:val="000000100000" w:firstRow="0" w:lastRow="0" w:firstColumn="0" w:lastColumn="0" w:oddVBand="0" w:evenVBand="0" w:oddHBand="1" w:evenHBand="0" w:firstRowFirstColumn="0" w:firstRowLastColumn="0" w:lastRowFirstColumn="0" w:lastRowLastColumn="0"/>
              <w:rPr>
                <w:sz w:val="17"/>
                <w:szCs w:val="17"/>
                <w:lang w:eastAsia="en-AU"/>
              </w:rPr>
            </w:pPr>
          </w:p>
        </w:tc>
      </w:tr>
      <w:tr w:rsidR="00935776" w:rsidRPr="00935776" w14:paraId="1F9D50C9" w14:textId="77777777" w:rsidTr="00DB0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7E807916" w14:textId="787F3AB8" w:rsidR="00935776" w:rsidRPr="00935776" w:rsidRDefault="00935776" w:rsidP="00935776">
            <w:pPr>
              <w:pStyle w:val="Tabletextleft"/>
              <w:rPr>
                <w:rFonts w:cs="Arial"/>
                <w:sz w:val="17"/>
                <w:szCs w:val="17"/>
              </w:rPr>
            </w:pPr>
            <w:r w:rsidRPr="00935776">
              <w:rPr>
                <w:sz w:val="17"/>
                <w:szCs w:val="17"/>
                <w:lang w:eastAsia="en-AU"/>
              </w:rPr>
              <w:t>Adelaide</w:t>
            </w:r>
          </w:p>
        </w:tc>
        <w:tc>
          <w:tcPr>
            <w:tcW w:w="1020" w:type="dxa"/>
            <w:vAlign w:val="center"/>
          </w:tcPr>
          <w:p w14:paraId="21B24D69" w14:textId="27EB3DD4"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83.8%</w:t>
            </w:r>
          </w:p>
        </w:tc>
        <w:tc>
          <w:tcPr>
            <w:tcW w:w="1020" w:type="dxa"/>
            <w:vAlign w:val="center"/>
          </w:tcPr>
          <w:p w14:paraId="505077E8" w14:textId="46C6B6D7"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85%</w:t>
            </w:r>
          </w:p>
        </w:tc>
        <w:tc>
          <w:tcPr>
            <w:tcW w:w="1020" w:type="dxa"/>
            <w:vAlign w:val="center"/>
          </w:tcPr>
          <w:p w14:paraId="3A14D30D" w14:textId="757259DA"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85.5%</w:t>
            </w:r>
          </w:p>
        </w:tc>
        <w:tc>
          <w:tcPr>
            <w:tcW w:w="1020" w:type="dxa"/>
            <w:vAlign w:val="center"/>
          </w:tcPr>
          <w:p w14:paraId="4BF17669" w14:textId="73E5F0EB"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84.6%</w:t>
            </w:r>
          </w:p>
        </w:tc>
        <w:tc>
          <w:tcPr>
            <w:tcW w:w="1020" w:type="dxa"/>
            <w:vAlign w:val="center"/>
          </w:tcPr>
          <w:p w14:paraId="09586813" w14:textId="3636DEE8" w:rsidR="00935776" w:rsidRPr="00935776" w:rsidRDefault="00935776"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935776">
              <w:rPr>
                <w:sz w:val="17"/>
                <w:szCs w:val="17"/>
                <w:lang w:eastAsia="en-AU"/>
              </w:rPr>
              <w:t>85.1%</w:t>
            </w:r>
          </w:p>
        </w:tc>
      </w:tr>
      <w:tr w:rsidR="00935776" w:rsidRPr="00935776" w14:paraId="65AD55E7"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2F5EC3A1" w14:textId="43FC9AC8" w:rsidR="00935776" w:rsidRPr="00935776" w:rsidRDefault="00935776" w:rsidP="00935776">
            <w:pPr>
              <w:pStyle w:val="Tabletextleft"/>
              <w:rPr>
                <w:rFonts w:cs="Arial"/>
                <w:sz w:val="17"/>
                <w:szCs w:val="17"/>
              </w:rPr>
            </w:pPr>
            <w:r w:rsidRPr="00935776">
              <w:rPr>
                <w:sz w:val="17"/>
                <w:szCs w:val="17"/>
                <w:lang w:eastAsia="en-AU"/>
              </w:rPr>
              <w:t>Country SA</w:t>
            </w:r>
          </w:p>
        </w:tc>
        <w:tc>
          <w:tcPr>
            <w:tcW w:w="1020" w:type="dxa"/>
            <w:vAlign w:val="center"/>
          </w:tcPr>
          <w:p w14:paraId="6183C869" w14:textId="06AFB55A"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97.3%</w:t>
            </w:r>
          </w:p>
        </w:tc>
        <w:tc>
          <w:tcPr>
            <w:tcW w:w="1020" w:type="dxa"/>
            <w:vAlign w:val="center"/>
          </w:tcPr>
          <w:p w14:paraId="17AC4494" w14:textId="39956920"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97.8%</w:t>
            </w:r>
          </w:p>
        </w:tc>
        <w:tc>
          <w:tcPr>
            <w:tcW w:w="1020" w:type="dxa"/>
            <w:vAlign w:val="center"/>
          </w:tcPr>
          <w:p w14:paraId="46CFB2D7" w14:textId="3EEE0711"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95.6%</w:t>
            </w:r>
          </w:p>
        </w:tc>
        <w:tc>
          <w:tcPr>
            <w:tcW w:w="1020" w:type="dxa"/>
            <w:vAlign w:val="center"/>
          </w:tcPr>
          <w:p w14:paraId="290CAA1D" w14:textId="57584F98"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96.2%</w:t>
            </w:r>
          </w:p>
        </w:tc>
        <w:tc>
          <w:tcPr>
            <w:tcW w:w="1020" w:type="dxa"/>
            <w:vAlign w:val="center"/>
          </w:tcPr>
          <w:p w14:paraId="65E6E35D" w14:textId="50611DD0"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97%</w:t>
            </w:r>
          </w:p>
        </w:tc>
      </w:tr>
      <w:tr w:rsidR="00D61457" w:rsidRPr="00935776" w14:paraId="5240C6A0" w14:textId="77777777" w:rsidTr="00D614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shd w:val="clear" w:color="auto" w:fill="E6E6E6" w:themeFill="background2"/>
          </w:tcPr>
          <w:p w14:paraId="490CED26" w14:textId="61357308" w:rsidR="00D61457" w:rsidRPr="00935776" w:rsidRDefault="00D61457" w:rsidP="00935776">
            <w:pPr>
              <w:pStyle w:val="Tabletextleft"/>
              <w:rPr>
                <w:sz w:val="17"/>
                <w:szCs w:val="17"/>
                <w:lang w:eastAsia="en-AU"/>
              </w:rPr>
            </w:pPr>
            <w:r w:rsidRPr="00935776">
              <w:rPr>
                <w:b/>
                <w:bCs/>
                <w:sz w:val="17"/>
                <w:szCs w:val="17"/>
                <w:lang w:eastAsia="en-AU"/>
              </w:rPr>
              <w:t>Western Australia</w:t>
            </w:r>
          </w:p>
        </w:tc>
        <w:tc>
          <w:tcPr>
            <w:tcW w:w="1020" w:type="dxa"/>
            <w:shd w:val="clear" w:color="auto" w:fill="E6E6E6" w:themeFill="background2"/>
            <w:vAlign w:val="center"/>
          </w:tcPr>
          <w:p w14:paraId="0FF2B967"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6DBF5BCA"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61313723"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381D2324"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50D9E55B"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r>
      <w:tr w:rsidR="00935776" w:rsidRPr="00935776" w14:paraId="46815975"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5D7BB0B1" w14:textId="4CCAC0E6" w:rsidR="00935776" w:rsidRPr="00935776" w:rsidRDefault="00935776" w:rsidP="00935776">
            <w:pPr>
              <w:pStyle w:val="Tabletextleft"/>
              <w:rPr>
                <w:rFonts w:cs="Arial"/>
                <w:sz w:val="17"/>
                <w:szCs w:val="17"/>
              </w:rPr>
            </w:pPr>
            <w:r w:rsidRPr="00935776">
              <w:rPr>
                <w:sz w:val="17"/>
                <w:szCs w:val="17"/>
                <w:lang w:eastAsia="en-AU"/>
              </w:rPr>
              <w:t>Country WA</w:t>
            </w:r>
          </w:p>
        </w:tc>
        <w:tc>
          <w:tcPr>
            <w:tcW w:w="1020" w:type="dxa"/>
            <w:vAlign w:val="center"/>
          </w:tcPr>
          <w:p w14:paraId="6D3657A1" w14:textId="0564A928" w:rsidR="00935776" w:rsidRPr="00935776" w:rsidRDefault="00396D4C"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Pr>
                <w:sz w:val="17"/>
                <w:szCs w:val="17"/>
                <w:lang w:eastAsia="en-AU"/>
              </w:rPr>
              <w:t>70.2%</w:t>
            </w:r>
          </w:p>
        </w:tc>
        <w:tc>
          <w:tcPr>
            <w:tcW w:w="1020" w:type="dxa"/>
            <w:vAlign w:val="center"/>
          </w:tcPr>
          <w:p w14:paraId="58CCB9D1" w14:textId="01BA2193" w:rsidR="00935776" w:rsidRPr="00935776" w:rsidRDefault="00396D4C"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Pr>
                <w:sz w:val="17"/>
                <w:szCs w:val="17"/>
                <w:lang w:eastAsia="en-AU"/>
              </w:rPr>
              <w:t>71.1%</w:t>
            </w:r>
          </w:p>
        </w:tc>
        <w:tc>
          <w:tcPr>
            <w:tcW w:w="1020" w:type="dxa"/>
            <w:vAlign w:val="center"/>
          </w:tcPr>
          <w:p w14:paraId="41016A5B" w14:textId="5CA6C729" w:rsidR="00935776" w:rsidRPr="00935776" w:rsidRDefault="00396D4C"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Pr>
                <w:sz w:val="17"/>
                <w:szCs w:val="17"/>
                <w:lang w:eastAsia="en-AU"/>
              </w:rPr>
              <w:t>82.4%</w:t>
            </w:r>
          </w:p>
        </w:tc>
        <w:tc>
          <w:tcPr>
            <w:tcW w:w="1020" w:type="dxa"/>
            <w:vAlign w:val="center"/>
          </w:tcPr>
          <w:p w14:paraId="6E5A0052" w14:textId="05336A09" w:rsidR="00935776" w:rsidRPr="00935776" w:rsidRDefault="00396D4C"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Pr>
                <w:sz w:val="17"/>
                <w:szCs w:val="17"/>
                <w:lang w:eastAsia="en-AU"/>
              </w:rPr>
              <w:t>82.4%</w:t>
            </w:r>
          </w:p>
        </w:tc>
        <w:tc>
          <w:tcPr>
            <w:tcW w:w="1020" w:type="dxa"/>
            <w:vAlign w:val="center"/>
          </w:tcPr>
          <w:p w14:paraId="0DCB2CC6" w14:textId="2077823C" w:rsidR="00935776" w:rsidRPr="00935776" w:rsidRDefault="00396D4C"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Pr>
                <w:sz w:val="17"/>
                <w:szCs w:val="17"/>
                <w:lang w:eastAsia="en-AU"/>
              </w:rPr>
              <w:t>84.2%</w:t>
            </w:r>
          </w:p>
        </w:tc>
      </w:tr>
      <w:tr w:rsidR="00935776" w:rsidRPr="00935776" w14:paraId="71208E12" w14:textId="77777777" w:rsidTr="00DB07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50CDEC2D" w14:textId="19571405" w:rsidR="00935776" w:rsidRPr="00935776" w:rsidRDefault="00935776" w:rsidP="00935776">
            <w:pPr>
              <w:pStyle w:val="Tabletextleft"/>
              <w:rPr>
                <w:rFonts w:cs="Arial"/>
                <w:sz w:val="17"/>
                <w:szCs w:val="17"/>
              </w:rPr>
            </w:pPr>
            <w:r w:rsidRPr="00935776">
              <w:rPr>
                <w:sz w:val="17"/>
                <w:szCs w:val="17"/>
                <w:lang w:eastAsia="en-AU"/>
              </w:rPr>
              <w:t>Perth North</w:t>
            </w:r>
          </w:p>
        </w:tc>
        <w:tc>
          <w:tcPr>
            <w:tcW w:w="1020" w:type="dxa"/>
            <w:vAlign w:val="center"/>
          </w:tcPr>
          <w:p w14:paraId="06EA56E3" w14:textId="23CBFCA8" w:rsidR="00935776" w:rsidRPr="00935776" w:rsidRDefault="00396D4C"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Pr>
                <w:sz w:val="17"/>
                <w:szCs w:val="17"/>
                <w:lang w:eastAsia="en-AU"/>
              </w:rPr>
              <w:t>73.7%</w:t>
            </w:r>
          </w:p>
        </w:tc>
        <w:tc>
          <w:tcPr>
            <w:tcW w:w="1020" w:type="dxa"/>
            <w:vAlign w:val="center"/>
          </w:tcPr>
          <w:p w14:paraId="67140274" w14:textId="63A89019" w:rsidR="00935776" w:rsidRPr="00935776" w:rsidRDefault="00396D4C"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Pr>
                <w:sz w:val="17"/>
                <w:szCs w:val="17"/>
                <w:lang w:eastAsia="en-AU"/>
              </w:rPr>
              <w:t>75.3%</w:t>
            </w:r>
          </w:p>
        </w:tc>
        <w:tc>
          <w:tcPr>
            <w:tcW w:w="1020" w:type="dxa"/>
            <w:vAlign w:val="center"/>
          </w:tcPr>
          <w:p w14:paraId="05AEFAA1" w14:textId="54ACEB78" w:rsidR="00935776" w:rsidRPr="00935776" w:rsidRDefault="00396D4C"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Pr>
                <w:sz w:val="17"/>
                <w:szCs w:val="17"/>
                <w:lang w:eastAsia="en-AU"/>
              </w:rPr>
              <w:t>83.5%</w:t>
            </w:r>
          </w:p>
        </w:tc>
        <w:tc>
          <w:tcPr>
            <w:tcW w:w="1020" w:type="dxa"/>
            <w:vAlign w:val="center"/>
          </w:tcPr>
          <w:p w14:paraId="24D1A7D7" w14:textId="08D23303" w:rsidR="00935776" w:rsidRPr="00935776" w:rsidRDefault="00396D4C"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Pr>
                <w:sz w:val="17"/>
                <w:szCs w:val="17"/>
                <w:lang w:eastAsia="en-AU"/>
              </w:rPr>
              <w:t>83.2%</w:t>
            </w:r>
          </w:p>
        </w:tc>
        <w:tc>
          <w:tcPr>
            <w:tcW w:w="1020" w:type="dxa"/>
            <w:vAlign w:val="center"/>
          </w:tcPr>
          <w:p w14:paraId="1A20A32C" w14:textId="02FBBA75" w:rsidR="00935776" w:rsidRPr="00935776" w:rsidRDefault="00396D4C" w:rsidP="00DB079B">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Pr>
                <w:sz w:val="17"/>
                <w:szCs w:val="17"/>
                <w:lang w:eastAsia="en-AU"/>
              </w:rPr>
              <w:t>90.6%</w:t>
            </w:r>
          </w:p>
        </w:tc>
      </w:tr>
      <w:tr w:rsidR="00935776" w:rsidRPr="00935776" w14:paraId="34B5278B"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07E92852" w14:textId="3CA7BCD6" w:rsidR="00935776" w:rsidRPr="00935776" w:rsidRDefault="00935776" w:rsidP="00935776">
            <w:pPr>
              <w:pStyle w:val="Tabletextleft"/>
              <w:rPr>
                <w:rFonts w:cs="Arial"/>
                <w:sz w:val="17"/>
                <w:szCs w:val="17"/>
              </w:rPr>
            </w:pPr>
            <w:r w:rsidRPr="00935776">
              <w:rPr>
                <w:sz w:val="17"/>
                <w:szCs w:val="17"/>
                <w:lang w:eastAsia="en-AU"/>
              </w:rPr>
              <w:t>Perth South</w:t>
            </w:r>
          </w:p>
        </w:tc>
        <w:tc>
          <w:tcPr>
            <w:tcW w:w="1020" w:type="dxa"/>
            <w:vAlign w:val="center"/>
          </w:tcPr>
          <w:p w14:paraId="16BC8E69" w14:textId="0E2CCF1B" w:rsidR="00935776" w:rsidRPr="00935776" w:rsidRDefault="00396D4C"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Pr>
                <w:sz w:val="17"/>
                <w:szCs w:val="17"/>
                <w:lang w:eastAsia="en-AU"/>
              </w:rPr>
              <w:t>75.6%</w:t>
            </w:r>
          </w:p>
        </w:tc>
        <w:tc>
          <w:tcPr>
            <w:tcW w:w="1020" w:type="dxa"/>
            <w:vAlign w:val="center"/>
          </w:tcPr>
          <w:p w14:paraId="5AB00399" w14:textId="681205EA" w:rsidR="00935776" w:rsidRPr="00935776" w:rsidRDefault="00396D4C"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Pr>
                <w:sz w:val="17"/>
                <w:szCs w:val="17"/>
                <w:lang w:eastAsia="en-AU"/>
              </w:rPr>
              <w:t>80.2%</w:t>
            </w:r>
          </w:p>
        </w:tc>
        <w:tc>
          <w:tcPr>
            <w:tcW w:w="1020" w:type="dxa"/>
            <w:vAlign w:val="center"/>
          </w:tcPr>
          <w:p w14:paraId="2D86D9ED" w14:textId="1679E150" w:rsidR="00935776" w:rsidRPr="00935776" w:rsidRDefault="00396D4C"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Pr>
                <w:sz w:val="17"/>
                <w:szCs w:val="17"/>
                <w:lang w:eastAsia="en-AU"/>
              </w:rPr>
              <w:t>88%</w:t>
            </w:r>
          </w:p>
        </w:tc>
        <w:tc>
          <w:tcPr>
            <w:tcW w:w="1020" w:type="dxa"/>
            <w:vAlign w:val="center"/>
          </w:tcPr>
          <w:p w14:paraId="29632EAB" w14:textId="5CC584D7" w:rsidR="00935776" w:rsidRPr="00935776" w:rsidRDefault="00396D4C"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Pr>
                <w:sz w:val="17"/>
                <w:szCs w:val="17"/>
                <w:lang w:eastAsia="en-AU"/>
              </w:rPr>
              <w:t>88.5%</w:t>
            </w:r>
          </w:p>
        </w:tc>
        <w:tc>
          <w:tcPr>
            <w:tcW w:w="1020" w:type="dxa"/>
            <w:vAlign w:val="center"/>
          </w:tcPr>
          <w:p w14:paraId="5D021A3B" w14:textId="20861096" w:rsidR="00935776" w:rsidRPr="00935776" w:rsidRDefault="00396D4C"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Pr>
                <w:sz w:val="17"/>
                <w:szCs w:val="17"/>
                <w:lang w:eastAsia="en-AU"/>
              </w:rPr>
              <w:t>94.1%</w:t>
            </w:r>
          </w:p>
        </w:tc>
      </w:tr>
      <w:tr w:rsidR="00D61457" w:rsidRPr="00935776" w14:paraId="0B35A598" w14:textId="77777777" w:rsidTr="00D614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shd w:val="clear" w:color="auto" w:fill="E6E6E6" w:themeFill="background2"/>
          </w:tcPr>
          <w:p w14:paraId="1A1D53FA" w14:textId="3CEAA410" w:rsidR="00D61457" w:rsidRPr="00935776" w:rsidRDefault="00D61457" w:rsidP="00935776">
            <w:pPr>
              <w:pStyle w:val="Tabletextleft"/>
              <w:rPr>
                <w:sz w:val="17"/>
                <w:szCs w:val="17"/>
                <w:lang w:eastAsia="en-AU"/>
              </w:rPr>
            </w:pPr>
            <w:r w:rsidRPr="00935776">
              <w:rPr>
                <w:b/>
                <w:bCs/>
                <w:sz w:val="17"/>
                <w:szCs w:val="17"/>
                <w:lang w:eastAsia="en-AU"/>
              </w:rPr>
              <w:t>Tasmania</w:t>
            </w:r>
          </w:p>
        </w:tc>
        <w:tc>
          <w:tcPr>
            <w:tcW w:w="1020" w:type="dxa"/>
            <w:shd w:val="clear" w:color="auto" w:fill="E6E6E6" w:themeFill="background2"/>
            <w:vAlign w:val="center"/>
          </w:tcPr>
          <w:p w14:paraId="722B4B39"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01F1CCC3"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3448FC7A"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6F0AB188"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08499DC1"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r>
      <w:tr w:rsidR="00935776" w:rsidRPr="00935776" w14:paraId="4AD1EBA0"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222C2CC4" w14:textId="0A04405A" w:rsidR="00935776" w:rsidRPr="00935776" w:rsidRDefault="00935776" w:rsidP="00935776">
            <w:pPr>
              <w:pStyle w:val="Tabletextleft"/>
              <w:rPr>
                <w:rFonts w:cs="Arial"/>
                <w:sz w:val="17"/>
                <w:szCs w:val="17"/>
              </w:rPr>
            </w:pPr>
            <w:r w:rsidRPr="00935776">
              <w:rPr>
                <w:sz w:val="17"/>
                <w:szCs w:val="17"/>
                <w:lang w:eastAsia="en-AU"/>
              </w:rPr>
              <w:t>Tasmania</w:t>
            </w:r>
          </w:p>
        </w:tc>
        <w:tc>
          <w:tcPr>
            <w:tcW w:w="1020" w:type="dxa"/>
            <w:vAlign w:val="center"/>
          </w:tcPr>
          <w:p w14:paraId="13BE2DEE" w14:textId="5AEFC959"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93.8%</w:t>
            </w:r>
          </w:p>
        </w:tc>
        <w:tc>
          <w:tcPr>
            <w:tcW w:w="1020" w:type="dxa"/>
            <w:vAlign w:val="center"/>
          </w:tcPr>
          <w:p w14:paraId="01F4B076" w14:textId="5DB00911"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95.1%</w:t>
            </w:r>
          </w:p>
        </w:tc>
        <w:tc>
          <w:tcPr>
            <w:tcW w:w="1020" w:type="dxa"/>
            <w:vAlign w:val="center"/>
          </w:tcPr>
          <w:p w14:paraId="2322420C" w14:textId="60768BCF"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95.7%</w:t>
            </w:r>
          </w:p>
        </w:tc>
        <w:tc>
          <w:tcPr>
            <w:tcW w:w="1020" w:type="dxa"/>
            <w:vAlign w:val="center"/>
          </w:tcPr>
          <w:p w14:paraId="744C97C5" w14:textId="3F51DCA6"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94.1%</w:t>
            </w:r>
          </w:p>
        </w:tc>
        <w:tc>
          <w:tcPr>
            <w:tcW w:w="1020" w:type="dxa"/>
            <w:vAlign w:val="center"/>
          </w:tcPr>
          <w:p w14:paraId="39674BC1" w14:textId="5657B6B7"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93.4%</w:t>
            </w:r>
          </w:p>
        </w:tc>
      </w:tr>
      <w:tr w:rsidR="00D61457" w:rsidRPr="00935776" w14:paraId="28AB6CCF" w14:textId="77777777" w:rsidTr="009330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shd w:val="clear" w:color="auto" w:fill="E6E6E6" w:themeFill="background2"/>
          </w:tcPr>
          <w:p w14:paraId="02B0FFC3" w14:textId="5ACB9BF7" w:rsidR="00D61457" w:rsidRPr="00935776" w:rsidRDefault="00933087" w:rsidP="00935776">
            <w:pPr>
              <w:pStyle w:val="Tabletextleft"/>
              <w:rPr>
                <w:sz w:val="17"/>
                <w:szCs w:val="17"/>
                <w:lang w:eastAsia="en-AU"/>
              </w:rPr>
            </w:pPr>
            <w:r w:rsidRPr="00935776">
              <w:rPr>
                <w:b/>
                <w:bCs/>
                <w:sz w:val="17"/>
                <w:szCs w:val="17"/>
                <w:lang w:eastAsia="en-AU"/>
              </w:rPr>
              <w:t>Northern Territory</w:t>
            </w:r>
          </w:p>
        </w:tc>
        <w:tc>
          <w:tcPr>
            <w:tcW w:w="1020" w:type="dxa"/>
            <w:shd w:val="clear" w:color="auto" w:fill="E6E6E6" w:themeFill="background2"/>
            <w:vAlign w:val="center"/>
          </w:tcPr>
          <w:p w14:paraId="5B509BAD"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3E7132C3"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17B53770"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1E1C79F0"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457EB325"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r>
      <w:tr w:rsidR="00935776" w:rsidRPr="00935776" w14:paraId="2A088CA1"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49F278BA" w14:textId="602571AB" w:rsidR="00935776" w:rsidRPr="00935776" w:rsidRDefault="00935776" w:rsidP="00935776">
            <w:pPr>
              <w:pStyle w:val="Tabletextleft"/>
              <w:rPr>
                <w:rFonts w:cs="Arial"/>
                <w:sz w:val="17"/>
                <w:szCs w:val="17"/>
              </w:rPr>
            </w:pPr>
            <w:r w:rsidRPr="00935776">
              <w:rPr>
                <w:sz w:val="17"/>
                <w:szCs w:val="17"/>
                <w:lang w:eastAsia="en-AU"/>
              </w:rPr>
              <w:t>Northern Territory</w:t>
            </w:r>
          </w:p>
        </w:tc>
        <w:tc>
          <w:tcPr>
            <w:tcW w:w="1020" w:type="dxa"/>
            <w:vAlign w:val="center"/>
          </w:tcPr>
          <w:p w14:paraId="760E4844" w14:textId="3C0C40DC"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80.4%</w:t>
            </w:r>
          </w:p>
        </w:tc>
        <w:tc>
          <w:tcPr>
            <w:tcW w:w="1020" w:type="dxa"/>
            <w:vAlign w:val="center"/>
          </w:tcPr>
          <w:p w14:paraId="1CF74A99" w14:textId="27FD2D4D"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80%</w:t>
            </w:r>
          </w:p>
        </w:tc>
        <w:tc>
          <w:tcPr>
            <w:tcW w:w="1020" w:type="dxa"/>
            <w:vAlign w:val="center"/>
          </w:tcPr>
          <w:p w14:paraId="55F586A7" w14:textId="3EDE7E1C"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81.4%</w:t>
            </w:r>
          </w:p>
        </w:tc>
        <w:tc>
          <w:tcPr>
            <w:tcW w:w="1020" w:type="dxa"/>
            <w:vAlign w:val="center"/>
          </w:tcPr>
          <w:p w14:paraId="473BA1EA" w14:textId="428AB50E"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82.9%</w:t>
            </w:r>
          </w:p>
        </w:tc>
        <w:tc>
          <w:tcPr>
            <w:tcW w:w="1020" w:type="dxa"/>
            <w:vAlign w:val="center"/>
          </w:tcPr>
          <w:p w14:paraId="55BF6167" w14:textId="7E096E22"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88.1%</w:t>
            </w:r>
          </w:p>
        </w:tc>
      </w:tr>
      <w:tr w:rsidR="00D61457" w:rsidRPr="00935776" w14:paraId="13F11CE5" w14:textId="77777777" w:rsidTr="00D614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shd w:val="clear" w:color="auto" w:fill="E6E6E6" w:themeFill="background2"/>
          </w:tcPr>
          <w:p w14:paraId="4FD801C6" w14:textId="13E52BF2" w:rsidR="00D61457" w:rsidRPr="00935776" w:rsidRDefault="00D61457" w:rsidP="00935776">
            <w:pPr>
              <w:pStyle w:val="Tabletextleft"/>
              <w:rPr>
                <w:sz w:val="17"/>
                <w:szCs w:val="17"/>
                <w:lang w:eastAsia="en-AU"/>
              </w:rPr>
            </w:pPr>
            <w:r w:rsidRPr="00935776">
              <w:rPr>
                <w:b/>
                <w:bCs/>
                <w:sz w:val="17"/>
                <w:szCs w:val="17"/>
                <w:lang w:eastAsia="en-AU"/>
              </w:rPr>
              <w:t>Australian Capital Territory</w:t>
            </w:r>
          </w:p>
        </w:tc>
        <w:tc>
          <w:tcPr>
            <w:tcW w:w="1020" w:type="dxa"/>
            <w:shd w:val="clear" w:color="auto" w:fill="E6E6E6" w:themeFill="background2"/>
            <w:vAlign w:val="center"/>
          </w:tcPr>
          <w:p w14:paraId="2CC8E65E"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323A6B08"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0628E54E"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69F19B2E"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c>
          <w:tcPr>
            <w:tcW w:w="1020" w:type="dxa"/>
            <w:shd w:val="clear" w:color="auto" w:fill="E6E6E6" w:themeFill="background2"/>
            <w:vAlign w:val="center"/>
          </w:tcPr>
          <w:p w14:paraId="74DB163D" w14:textId="77777777" w:rsidR="00D61457" w:rsidRPr="00935776" w:rsidRDefault="00D61457" w:rsidP="00DB079B">
            <w:pPr>
              <w:pStyle w:val="Tabletextleft"/>
              <w:jc w:val="center"/>
              <w:cnfStyle w:val="000000010000" w:firstRow="0" w:lastRow="0" w:firstColumn="0" w:lastColumn="0" w:oddVBand="0" w:evenVBand="0" w:oddHBand="0" w:evenHBand="1" w:firstRowFirstColumn="0" w:firstRowLastColumn="0" w:lastRowFirstColumn="0" w:lastRowLastColumn="0"/>
              <w:rPr>
                <w:sz w:val="17"/>
                <w:szCs w:val="17"/>
                <w:lang w:eastAsia="en-AU"/>
              </w:rPr>
            </w:pPr>
          </w:p>
        </w:tc>
      </w:tr>
      <w:tr w:rsidR="00935776" w:rsidRPr="00935776" w14:paraId="2EC6366C" w14:textId="77777777" w:rsidTr="00DB079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53" w:type="dxa"/>
          </w:tcPr>
          <w:p w14:paraId="0D45F949" w14:textId="17869713" w:rsidR="00935776" w:rsidRPr="00935776" w:rsidRDefault="00935776" w:rsidP="00935776">
            <w:pPr>
              <w:pStyle w:val="Tabletextleft"/>
              <w:rPr>
                <w:rFonts w:cs="Arial"/>
                <w:sz w:val="17"/>
                <w:szCs w:val="17"/>
              </w:rPr>
            </w:pPr>
            <w:r w:rsidRPr="00935776">
              <w:rPr>
                <w:sz w:val="17"/>
                <w:szCs w:val="17"/>
                <w:lang w:eastAsia="en-AU"/>
              </w:rPr>
              <w:t>Australian Capital Territory</w:t>
            </w:r>
          </w:p>
        </w:tc>
        <w:tc>
          <w:tcPr>
            <w:tcW w:w="1020" w:type="dxa"/>
            <w:vAlign w:val="center"/>
          </w:tcPr>
          <w:p w14:paraId="507930BF" w14:textId="3D21167B"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83.3%</w:t>
            </w:r>
          </w:p>
        </w:tc>
        <w:tc>
          <w:tcPr>
            <w:tcW w:w="1020" w:type="dxa"/>
            <w:vAlign w:val="center"/>
          </w:tcPr>
          <w:p w14:paraId="544FF750" w14:textId="7629C42C"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90.9%</w:t>
            </w:r>
          </w:p>
        </w:tc>
        <w:tc>
          <w:tcPr>
            <w:tcW w:w="1020" w:type="dxa"/>
            <w:vAlign w:val="center"/>
          </w:tcPr>
          <w:p w14:paraId="1ACF8F6E" w14:textId="36BFB4F2"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95%</w:t>
            </w:r>
          </w:p>
        </w:tc>
        <w:tc>
          <w:tcPr>
            <w:tcW w:w="1020" w:type="dxa"/>
            <w:vAlign w:val="center"/>
          </w:tcPr>
          <w:p w14:paraId="27BE40DC" w14:textId="5E50B160"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93.2%</w:t>
            </w:r>
          </w:p>
        </w:tc>
        <w:tc>
          <w:tcPr>
            <w:tcW w:w="1020" w:type="dxa"/>
            <w:vAlign w:val="center"/>
          </w:tcPr>
          <w:p w14:paraId="48CAFFDA" w14:textId="4AD2FE85" w:rsidR="00935776" w:rsidRPr="00935776" w:rsidRDefault="00935776" w:rsidP="00DB079B">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935776">
              <w:rPr>
                <w:sz w:val="17"/>
                <w:szCs w:val="17"/>
                <w:lang w:eastAsia="en-AU"/>
              </w:rPr>
              <w:t>92.5%</w:t>
            </w:r>
          </w:p>
        </w:tc>
      </w:tr>
    </w:tbl>
    <w:p w14:paraId="54A32453" w14:textId="77777777" w:rsidR="00935776" w:rsidRPr="00935776" w:rsidRDefault="00935776" w:rsidP="00935776">
      <w:pPr>
        <w:rPr>
          <w:lang w:val="en-GB"/>
        </w:rPr>
      </w:pPr>
    </w:p>
    <w:p w14:paraId="5911DA0E" w14:textId="2B490E4F" w:rsidR="00F9397F" w:rsidRDefault="00F9397F" w:rsidP="00F9397F">
      <w:pPr>
        <w:pStyle w:val="Heading3"/>
        <w:rPr>
          <w:lang w:val="en-GB"/>
        </w:rPr>
      </w:pPr>
      <w:r>
        <w:rPr>
          <w:lang w:val="en-GB"/>
        </w:rPr>
        <w:t xml:space="preserve">P4 – </w:t>
      </w:r>
      <w:r w:rsidR="00DE42E9">
        <w:rPr>
          <w:lang w:val="en-GB"/>
        </w:rPr>
        <w:t xml:space="preserve">General Practice and </w:t>
      </w:r>
      <w:r w:rsidR="00320208">
        <w:rPr>
          <w:lang w:val="en-GB"/>
        </w:rPr>
        <w:t xml:space="preserve">Health Care </w:t>
      </w:r>
      <w:r w:rsidR="00DE42E9">
        <w:rPr>
          <w:lang w:val="en-GB"/>
        </w:rPr>
        <w:t xml:space="preserve">Provider </w:t>
      </w:r>
      <w:r>
        <w:rPr>
          <w:lang w:val="en-GB"/>
        </w:rPr>
        <w:t>Support</w:t>
      </w:r>
    </w:p>
    <w:p w14:paraId="6710FB48" w14:textId="30862F26" w:rsidR="006707C6" w:rsidRDefault="00CB770C" w:rsidP="006707C6">
      <w:pPr>
        <w:rPr>
          <w:lang w:val="en-GB"/>
        </w:rPr>
      </w:pPr>
      <w:r>
        <w:rPr>
          <w:lang w:val="en-GB"/>
        </w:rPr>
        <w:t xml:space="preserve">PHNs provide support to general practices and other health care providers to </w:t>
      </w:r>
      <w:r w:rsidR="002E2A70">
        <w:rPr>
          <w:lang w:val="en-GB"/>
        </w:rPr>
        <w:t xml:space="preserve">appropriately and confidently </w:t>
      </w:r>
      <w:r>
        <w:rPr>
          <w:lang w:val="en-GB"/>
        </w:rPr>
        <w:t>meet the health needs of their region</w:t>
      </w:r>
      <w:r w:rsidR="002E2A70">
        <w:rPr>
          <w:lang w:val="en-GB"/>
        </w:rPr>
        <w:t xml:space="preserve"> and improve service delivery</w:t>
      </w:r>
      <w:r>
        <w:rPr>
          <w:lang w:val="en-GB"/>
        </w:rPr>
        <w:t xml:space="preserve">. </w:t>
      </w:r>
      <w:r w:rsidR="002E2A70">
        <w:rPr>
          <w:lang w:val="en-GB"/>
        </w:rPr>
        <w:t xml:space="preserve">The nature and level of support varies according to identified need and may include information sharing, </w:t>
      </w:r>
      <w:r w:rsidR="00327EA3">
        <w:rPr>
          <w:lang w:val="en-GB"/>
        </w:rPr>
        <w:t>training,</w:t>
      </w:r>
      <w:r w:rsidR="00B878B0">
        <w:rPr>
          <w:lang w:val="en-GB"/>
        </w:rPr>
        <w:t xml:space="preserve"> and</w:t>
      </w:r>
      <w:r w:rsidR="002E2A70">
        <w:rPr>
          <w:lang w:val="en-GB"/>
        </w:rPr>
        <w:t xml:space="preserve"> workshops as well as targeted individual support. </w:t>
      </w:r>
      <w:r w:rsidR="00AC2262">
        <w:rPr>
          <w:lang w:val="en-GB"/>
        </w:rPr>
        <w:t xml:space="preserve">This support includes working with general practices and primary health professionals to develop clinical referral pathways to refer patients to local specialists and services. </w:t>
      </w:r>
      <w:r w:rsidR="002E2A70">
        <w:rPr>
          <w:lang w:val="en-GB"/>
        </w:rPr>
        <w:t xml:space="preserve">PHNs report on activities </w:t>
      </w:r>
      <w:r w:rsidR="002E2A70">
        <w:rPr>
          <w:lang w:val="en-GB"/>
        </w:rPr>
        <w:lastRenderedPageBreak/>
        <w:t>undertaken during the reporting period</w:t>
      </w:r>
      <w:r w:rsidR="009238B7">
        <w:rPr>
          <w:lang w:val="en-GB"/>
        </w:rPr>
        <w:t xml:space="preserve">, with all PHNs assessed as having met expected outcomes for this indicator for both the 2022–23 and 2023–24 reporting periods. </w:t>
      </w:r>
    </w:p>
    <w:p w14:paraId="1BB27DEB" w14:textId="02740792" w:rsidR="008761EC" w:rsidRDefault="00FD4203" w:rsidP="006707C6">
      <w:pPr>
        <w:rPr>
          <w:szCs w:val="22"/>
        </w:rPr>
      </w:pPr>
      <w:r>
        <w:rPr>
          <w:lang w:val="en-GB"/>
        </w:rPr>
        <w:t>S</w:t>
      </w:r>
      <w:r w:rsidR="009238B7">
        <w:rPr>
          <w:lang w:val="en-GB"/>
        </w:rPr>
        <w:t xml:space="preserve">upport provided by PHNs </w:t>
      </w:r>
      <w:r w:rsidR="006707C6">
        <w:rPr>
          <w:lang w:val="en-GB"/>
        </w:rPr>
        <w:t xml:space="preserve">during the reporting periods </w:t>
      </w:r>
      <w:r w:rsidR="0028685B">
        <w:rPr>
          <w:lang w:val="en-GB"/>
        </w:rPr>
        <w:t>for</w:t>
      </w:r>
      <w:r w:rsidR="006707C6">
        <w:rPr>
          <w:lang w:val="en-GB"/>
        </w:rPr>
        <w:t xml:space="preserve"> </w:t>
      </w:r>
      <w:r w:rsidR="001B4B07">
        <w:rPr>
          <w:szCs w:val="22"/>
        </w:rPr>
        <w:t>primary</w:t>
      </w:r>
      <w:r w:rsidR="005A7E4D">
        <w:rPr>
          <w:szCs w:val="22"/>
        </w:rPr>
        <w:t xml:space="preserve"> </w:t>
      </w:r>
      <w:r>
        <w:rPr>
          <w:szCs w:val="22"/>
        </w:rPr>
        <w:t xml:space="preserve">health </w:t>
      </w:r>
      <w:r w:rsidR="005A7E4D">
        <w:rPr>
          <w:szCs w:val="22"/>
        </w:rPr>
        <w:t>care reform initiatives includ</w:t>
      </w:r>
      <w:r w:rsidR="008761EC">
        <w:rPr>
          <w:szCs w:val="22"/>
        </w:rPr>
        <w:t>ed:</w:t>
      </w:r>
    </w:p>
    <w:p w14:paraId="7E9E3F7B" w14:textId="2488C9CF" w:rsidR="008761EC" w:rsidRDefault="005A7E4D" w:rsidP="008761EC">
      <w:pPr>
        <w:pStyle w:val="ListBullet"/>
      </w:pPr>
      <w:r>
        <w:t xml:space="preserve">the introduction of MyMedicare, Strengthening Medicare general practice grants, </w:t>
      </w:r>
      <w:r w:rsidR="0028685B">
        <w:t xml:space="preserve">and </w:t>
      </w:r>
      <w:r>
        <w:t xml:space="preserve">the Medicare Urgent Care Clinics </w:t>
      </w:r>
      <w:r w:rsidR="0028685B">
        <w:t>program</w:t>
      </w:r>
    </w:p>
    <w:p w14:paraId="5D601DDA" w14:textId="172C9625" w:rsidR="008761EC" w:rsidRDefault="006707C6" w:rsidP="008761EC">
      <w:pPr>
        <w:pStyle w:val="ListBullet"/>
      </w:pPr>
      <w:r>
        <w:t>c</w:t>
      </w:r>
      <w:r w:rsidR="0028685B">
        <w:t>hange management, workforce support, training and project management activities</w:t>
      </w:r>
    </w:p>
    <w:p w14:paraId="26ED0D28" w14:textId="79504323" w:rsidR="008761EC" w:rsidRDefault="006707C6" w:rsidP="008761EC">
      <w:pPr>
        <w:pStyle w:val="ListBullet"/>
      </w:pPr>
      <w:r>
        <w:t>c</w:t>
      </w:r>
      <w:r w:rsidR="0028685B">
        <w:t>are management and workforce planning activities for residential aged care</w:t>
      </w:r>
    </w:p>
    <w:p w14:paraId="5555897E" w14:textId="4E71A83E" w:rsidR="009238B7" w:rsidRDefault="006707C6" w:rsidP="008761EC">
      <w:pPr>
        <w:pStyle w:val="ListBullet"/>
      </w:pPr>
      <w:r>
        <w:t>q</w:t>
      </w:r>
      <w:r w:rsidR="0028685B">
        <w:t>uality improvement activities including use of digital health technology</w:t>
      </w:r>
      <w:r w:rsidR="00747784">
        <w:t>.</w:t>
      </w:r>
    </w:p>
    <w:p w14:paraId="50A8661B" w14:textId="77777777" w:rsidR="00F9397F" w:rsidRDefault="00F9397F" w:rsidP="009A56AD">
      <w:pPr>
        <w:rPr>
          <w:lang w:val="en-GB"/>
        </w:rPr>
      </w:pPr>
    </w:p>
    <w:p w14:paraId="1BDB1014" w14:textId="78E1F50A" w:rsidR="00141A40" w:rsidRDefault="00141A40" w:rsidP="00141A40">
      <w:pPr>
        <w:pStyle w:val="Heading3"/>
        <w:rPr>
          <w:lang w:val="en-GB"/>
        </w:rPr>
      </w:pPr>
      <w:r>
        <w:rPr>
          <w:lang w:val="en-GB"/>
        </w:rPr>
        <w:t>P5 –</w:t>
      </w:r>
      <w:r w:rsidR="00320208">
        <w:rPr>
          <w:lang w:val="en-GB"/>
        </w:rPr>
        <w:t xml:space="preserve"> </w:t>
      </w:r>
      <w:r w:rsidRPr="00427467">
        <w:t>My Health Record</w:t>
      </w:r>
      <w:r w:rsidR="00320208">
        <w:t xml:space="preserve"> – Uploads</w:t>
      </w:r>
    </w:p>
    <w:p w14:paraId="4D830B6B" w14:textId="36631279" w:rsidR="00141A40" w:rsidRDefault="00A3083D" w:rsidP="009A56AD">
      <w:pPr>
        <w:rPr>
          <w:lang w:val="en-GB"/>
        </w:rPr>
      </w:pPr>
      <w:r>
        <w:rPr>
          <w:lang w:val="en-GB"/>
        </w:rPr>
        <w:t>Digital health systems, such as My Health Record, provide secure access to health information for health care professionals</w:t>
      </w:r>
      <w:r w:rsidR="00E14478">
        <w:rPr>
          <w:lang w:val="en-GB"/>
        </w:rPr>
        <w:t xml:space="preserve"> and individuals</w:t>
      </w:r>
      <w:r>
        <w:rPr>
          <w:lang w:val="en-GB"/>
        </w:rPr>
        <w:t xml:space="preserve">. PHNs play an important role in encouraging primary health care providers to regularly use My Health Record </w:t>
      </w:r>
      <w:r w:rsidR="00E14478">
        <w:rPr>
          <w:lang w:val="en-GB"/>
        </w:rPr>
        <w:t xml:space="preserve">to provide access to up-to-date health information, with performance assessed based on the number of uploads by health care providers in their regions. </w:t>
      </w:r>
      <w:r w:rsidR="00537AA2">
        <w:rPr>
          <w:lang w:val="en-GB"/>
        </w:rPr>
        <w:t xml:space="preserve">Data was previously reported as a percentage of general practices uploading documents at least once per week into My Health Record, however this </w:t>
      </w:r>
      <w:r w:rsidR="00597D04">
        <w:rPr>
          <w:lang w:val="en-GB"/>
        </w:rPr>
        <w:t>has</w:t>
      </w:r>
      <w:r w:rsidR="00537AA2">
        <w:rPr>
          <w:lang w:val="en-GB"/>
        </w:rPr>
        <w:t xml:space="preserve"> provide</w:t>
      </w:r>
      <w:r w:rsidR="00597D04">
        <w:rPr>
          <w:lang w:val="en-GB"/>
        </w:rPr>
        <w:t>d</w:t>
      </w:r>
      <w:r w:rsidR="00537AA2">
        <w:rPr>
          <w:lang w:val="en-GB"/>
        </w:rPr>
        <w:t xml:space="preserve"> inaccurate results as it does not account for upload issues experienced with </w:t>
      </w:r>
      <w:r w:rsidR="00FA02CC">
        <w:rPr>
          <w:lang w:val="en-GB"/>
        </w:rPr>
        <w:t xml:space="preserve">an intermediary </w:t>
      </w:r>
      <w:r w:rsidR="00537AA2">
        <w:rPr>
          <w:lang w:val="en-GB"/>
        </w:rPr>
        <w:t>platform</w:t>
      </w:r>
      <w:r w:rsidR="0009335F">
        <w:rPr>
          <w:lang w:val="en-GB"/>
        </w:rPr>
        <w:t xml:space="preserve"> that may prevent regular uploads</w:t>
      </w:r>
      <w:r w:rsidR="00537AA2">
        <w:rPr>
          <w:lang w:val="en-GB"/>
        </w:rPr>
        <w:t>.</w:t>
      </w:r>
      <w:r w:rsidR="0048577C">
        <w:rPr>
          <w:lang w:val="en-GB"/>
        </w:rPr>
        <w:t xml:space="preserve"> </w:t>
      </w:r>
      <w:r w:rsidR="000137D9">
        <w:rPr>
          <w:lang w:val="en-GB"/>
        </w:rPr>
        <w:t xml:space="preserve">The data shown here is the average number of uploads per </w:t>
      </w:r>
      <w:r w:rsidR="0076791A">
        <w:rPr>
          <w:lang w:val="en-GB"/>
        </w:rPr>
        <w:t xml:space="preserve">registered </w:t>
      </w:r>
      <w:r w:rsidR="000137D9">
        <w:rPr>
          <w:lang w:val="en-GB"/>
        </w:rPr>
        <w:t xml:space="preserve">practice </w:t>
      </w:r>
      <w:r w:rsidR="0076791A">
        <w:rPr>
          <w:lang w:val="en-GB"/>
        </w:rPr>
        <w:t>for each financial year.</w:t>
      </w:r>
    </w:p>
    <w:p w14:paraId="7F56FF9D" w14:textId="65F8835E" w:rsidR="00597D04" w:rsidRDefault="00597D04" w:rsidP="009A56AD">
      <w:pPr>
        <w:rPr>
          <w:lang w:val="en-GB"/>
        </w:rPr>
      </w:pPr>
      <w:r>
        <w:rPr>
          <w:lang w:val="en-GB"/>
        </w:rPr>
        <w:t>For the 2022–23</w:t>
      </w:r>
      <w:r w:rsidR="00ED6B51">
        <w:rPr>
          <w:lang w:val="en-GB"/>
        </w:rPr>
        <w:t xml:space="preserve"> and 2023–24</w:t>
      </w:r>
      <w:r>
        <w:rPr>
          <w:lang w:val="en-GB"/>
        </w:rPr>
        <w:t xml:space="preserve"> reporting period</w:t>
      </w:r>
      <w:r w:rsidR="00ED6B51">
        <w:rPr>
          <w:lang w:val="en-GB"/>
        </w:rPr>
        <w:t>s</w:t>
      </w:r>
      <w:r>
        <w:rPr>
          <w:lang w:val="en-GB"/>
        </w:rPr>
        <w:t xml:space="preserve"> previous trends continued, with </w:t>
      </w:r>
      <w:r w:rsidR="00ED6B51">
        <w:rPr>
          <w:lang w:val="en-GB"/>
        </w:rPr>
        <w:t xml:space="preserve">increases of </w:t>
      </w:r>
      <w:r w:rsidR="00E41EBF">
        <w:rPr>
          <w:lang w:val="en-GB"/>
        </w:rPr>
        <w:t>seven</w:t>
      </w:r>
      <w:r w:rsidR="00ED6B51">
        <w:rPr>
          <w:lang w:val="en-GB"/>
        </w:rPr>
        <w:t xml:space="preserve"> and 12.5 per cent respectively</w:t>
      </w:r>
      <w:r w:rsidR="006D094C">
        <w:rPr>
          <w:lang w:val="en-GB"/>
        </w:rPr>
        <w:t>, resulting in an average upload rate of 7843.4 records per registered general practice in 2023–24</w:t>
      </w:r>
      <w:r w:rsidR="00ED6B51">
        <w:rPr>
          <w:lang w:val="en-GB"/>
        </w:rPr>
        <w:t xml:space="preserve">. Increases have occurred across all states and territories, </w:t>
      </w:r>
      <w:r w:rsidR="00324A1C">
        <w:rPr>
          <w:lang w:val="en-GB"/>
        </w:rPr>
        <w:t>except</w:t>
      </w:r>
      <w:r w:rsidR="00ED6B51">
        <w:rPr>
          <w:lang w:val="en-GB"/>
        </w:rPr>
        <w:t xml:space="preserve"> Tasmania</w:t>
      </w:r>
      <w:r w:rsidR="00324A1C">
        <w:rPr>
          <w:lang w:val="en-GB"/>
        </w:rPr>
        <w:t xml:space="preserve"> which has recorded a small decrease from 2021–22 but</w:t>
      </w:r>
      <w:r w:rsidR="00ED6B51">
        <w:rPr>
          <w:lang w:val="en-GB"/>
        </w:rPr>
        <w:t xml:space="preserve"> continu</w:t>
      </w:r>
      <w:r w:rsidR="00324A1C">
        <w:rPr>
          <w:lang w:val="en-GB"/>
        </w:rPr>
        <w:t>es</w:t>
      </w:r>
      <w:r w:rsidR="00ED6B51">
        <w:rPr>
          <w:lang w:val="en-GB"/>
        </w:rPr>
        <w:t xml:space="preserve"> to record higher upload rates than other states and territories. Significant increases have been recorded </w:t>
      </w:r>
      <w:r w:rsidR="00324A1C">
        <w:rPr>
          <w:lang w:val="en-GB"/>
        </w:rPr>
        <w:t>from 2022–23 to</w:t>
      </w:r>
      <w:r w:rsidR="00ED6B51">
        <w:rPr>
          <w:lang w:val="en-GB"/>
        </w:rPr>
        <w:t xml:space="preserve"> 2023–24 for Western Australia (38.9</w:t>
      </w:r>
      <w:r w:rsidR="000021F2">
        <w:rPr>
          <w:lang w:val="en-GB"/>
        </w:rPr>
        <w:t> </w:t>
      </w:r>
      <w:r w:rsidR="00ED6B51">
        <w:rPr>
          <w:lang w:val="en-GB"/>
        </w:rPr>
        <w:t xml:space="preserve">per cent) and the Australian Capital Territory (34.5 per cent), </w:t>
      </w:r>
      <w:r w:rsidR="000021F2">
        <w:rPr>
          <w:lang w:val="en-GB"/>
        </w:rPr>
        <w:t>moving closer to</w:t>
      </w:r>
      <w:r w:rsidR="00ED6B51">
        <w:rPr>
          <w:lang w:val="en-GB"/>
        </w:rPr>
        <w:t xml:space="preserve"> comparable rate</w:t>
      </w:r>
      <w:r w:rsidR="006D094C">
        <w:rPr>
          <w:lang w:val="en-GB"/>
        </w:rPr>
        <w:t>s</w:t>
      </w:r>
      <w:r w:rsidR="00ED6B51">
        <w:rPr>
          <w:lang w:val="en-GB"/>
        </w:rPr>
        <w:t xml:space="preserve"> </w:t>
      </w:r>
      <w:r w:rsidR="000021F2">
        <w:rPr>
          <w:lang w:val="en-GB"/>
        </w:rPr>
        <w:t xml:space="preserve">with </w:t>
      </w:r>
      <w:r w:rsidR="00ED6B51">
        <w:rPr>
          <w:lang w:val="en-GB"/>
        </w:rPr>
        <w:t xml:space="preserve">other jurisdictions. </w:t>
      </w:r>
    </w:p>
    <w:p w14:paraId="5540E1EA" w14:textId="36083730" w:rsidR="00FF2B7A" w:rsidRDefault="00FF2B7A">
      <w:pPr>
        <w:spacing w:before="0" w:after="0" w:line="240" w:lineRule="auto"/>
        <w:rPr>
          <w:rFonts w:cs="Arial"/>
          <w:b/>
          <w:bCs/>
          <w:iCs/>
          <w:szCs w:val="22"/>
        </w:rPr>
      </w:pPr>
    </w:p>
    <w:p w14:paraId="1FBC37C6" w14:textId="49536CA8" w:rsidR="00ED6B51" w:rsidRDefault="00ED6B51" w:rsidP="00AB4C63">
      <w:pPr>
        <w:pStyle w:val="FigureTitle"/>
        <w:keepNext/>
      </w:pPr>
      <w:r>
        <w:lastRenderedPageBreak/>
        <w:t xml:space="preserve">Figure </w:t>
      </w:r>
      <w:r w:rsidR="00865745">
        <w:t>5</w:t>
      </w:r>
      <w:r>
        <w:t>: Uploads to My Health Record by general practices, by state</w:t>
      </w:r>
      <w:r w:rsidR="007F3034">
        <w:t>, 2018–19 to 2023–24</w:t>
      </w:r>
    </w:p>
    <w:p w14:paraId="790E310C" w14:textId="6FD76B05" w:rsidR="00087C30" w:rsidRPr="00087C30" w:rsidRDefault="00087C30" w:rsidP="00087C30">
      <w:r w:rsidRPr="00087C30">
        <w:rPr>
          <w:noProof/>
        </w:rPr>
        <w:drawing>
          <wp:inline distT="0" distB="0" distL="0" distR="0" wp14:anchorId="363193C8" wp14:editId="43DDF628">
            <wp:extent cx="5200650" cy="2971800"/>
            <wp:effectExtent l="0" t="0" r="0" b="0"/>
            <wp:docPr id="1297729339" name="Picture 1" descr="Figure 5: A bar graph showing uploads to My Health Record by general practices, by state, 2018–1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29339" name="Picture 1" descr="Figure 5: A bar graph showing uploads to My Health Record by general practices, by state, 2018–19 to 2023–24"/>
                    <pic:cNvPicPr/>
                  </pic:nvPicPr>
                  <pic:blipFill>
                    <a:blip r:embed="rId29"/>
                    <a:stretch>
                      <a:fillRect/>
                    </a:stretch>
                  </pic:blipFill>
                  <pic:spPr>
                    <a:xfrm>
                      <a:off x="0" y="0"/>
                      <a:ext cx="5200650" cy="2971800"/>
                    </a:xfrm>
                    <a:prstGeom prst="rect">
                      <a:avLst/>
                    </a:prstGeom>
                  </pic:spPr>
                </pic:pic>
              </a:graphicData>
            </a:graphic>
          </wp:inline>
        </w:drawing>
      </w:r>
    </w:p>
    <w:p w14:paraId="1B92FAEE" w14:textId="77777777" w:rsidR="00ED6B51" w:rsidRDefault="00ED6B51" w:rsidP="00ED6B51"/>
    <w:p w14:paraId="04851CBD" w14:textId="15F6C430" w:rsidR="006D094C" w:rsidRDefault="00ED6B51" w:rsidP="00ED6B51">
      <w:r>
        <w:t>Upload rates continue to be higher in regional PHN areas than metropolitan, with upload rates for metropolitan areas in 2023–24 (7263.5</w:t>
      </w:r>
      <w:r w:rsidR="006D094C">
        <w:t xml:space="preserve"> per registered general practice) slightly lower than the rate recorded by regional areas in 2021–22 (7296.2).</w:t>
      </w:r>
    </w:p>
    <w:p w14:paraId="526AA9DB" w14:textId="59941786" w:rsidR="007D7FDF" w:rsidRDefault="007D7FDF">
      <w:pPr>
        <w:spacing w:before="0" w:after="0" w:line="240" w:lineRule="auto"/>
        <w:rPr>
          <w:rFonts w:cs="Arial"/>
          <w:b/>
          <w:bCs/>
          <w:iCs/>
          <w:szCs w:val="22"/>
        </w:rPr>
      </w:pPr>
    </w:p>
    <w:p w14:paraId="146C9D99" w14:textId="0C8DE6D1" w:rsidR="00FE531A" w:rsidRDefault="00FE531A" w:rsidP="00FE531A">
      <w:pPr>
        <w:pStyle w:val="FigureTitle"/>
      </w:pPr>
      <w:r>
        <w:t xml:space="preserve">Figure </w:t>
      </w:r>
      <w:r w:rsidR="00865745">
        <w:t>6</w:t>
      </w:r>
      <w:r>
        <w:t>:</w:t>
      </w:r>
      <w:r w:rsidR="00A91215">
        <w:t xml:space="preserve"> </w:t>
      </w:r>
      <w:r w:rsidR="00381E5E">
        <w:t>Uploads to My Health Record by general practices, by PHN remoteness</w:t>
      </w:r>
      <w:r w:rsidR="00DF3875">
        <w:t>, 2018–19 to 2023–24</w:t>
      </w:r>
    </w:p>
    <w:p w14:paraId="72653034" w14:textId="798DC85D" w:rsidR="00C464C0" w:rsidRPr="00C464C0" w:rsidRDefault="00C464C0" w:rsidP="00C464C0">
      <w:r w:rsidRPr="00C464C0">
        <w:rPr>
          <w:noProof/>
        </w:rPr>
        <w:drawing>
          <wp:inline distT="0" distB="0" distL="0" distR="0" wp14:anchorId="4F4C961D" wp14:editId="5EBDACBD">
            <wp:extent cx="5200650" cy="2981325"/>
            <wp:effectExtent l="0" t="0" r="0" b="9525"/>
            <wp:docPr id="1556782841" name="Picture 1" descr="Figure 6: A bar graph showing uploads to My Health Record by general practices, by PHN remoteness, 2018–1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82841" name="Picture 1" descr="Figure 6: A bar graph showing uploads to My Health Record by general practices, by PHN remoteness, 2018–19 to 2023–24"/>
                    <pic:cNvPicPr/>
                  </pic:nvPicPr>
                  <pic:blipFill>
                    <a:blip r:embed="rId30"/>
                    <a:stretch>
                      <a:fillRect/>
                    </a:stretch>
                  </pic:blipFill>
                  <pic:spPr>
                    <a:xfrm>
                      <a:off x="0" y="0"/>
                      <a:ext cx="5200650" cy="2981325"/>
                    </a:xfrm>
                    <a:prstGeom prst="rect">
                      <a:avLst/>
                    </a:prstGeom>
                  </pic:spPr>
                </pic:pic>
              </a:graphicData>
            </a:graphic>
          </wp:inline>
        </w:drawing>
      </w:r>
    </w:p>
    <w:p w14:paraId="5A8953A0" w14:textId="77777777" w:rsidR="00141A40" w:rsidRDefault="00141A40" w:rsidP="009A56AD">
      <w:pPr>
        <w:rPr>
          <w:lang w:val="en-GB"/>
        </w:rPr>
      </w:pPr>
    </w:p>
    <w:p w14:paraId="0887CB8A" w14:textId="468C4473" w:rsidR="00A3083D" w:rsidRDefault="0021285C" w:rsidP="00251603">
      <w:pPr>
        <w:pStyle w:val="Heading3"/>
      </w:pPr>
      <w:r>
        <w:rPr>
          <w:lang w:val="en-GB"/>
        </w:rPr>
        <w:lastRenderedPageBreak/>
        <w:t>MH6 –</w:t>
      </w:r>
      <w:r w:rsidR="00DE42E9">
        <w:rPr>
          <w:lang w:val="en-GB"/>
        </w:rPr>
        <w:t xml:space="preserve"> C</w:t>
      </w:r>
      <w:proofErr w:type="spellStart"/>
      <w:r w:rsidR="00251603" w:rsidRPr="00427467">
        <w:t>linical</w:t>
      </w:r>
      <w:proofErr w:type="spellEnd"/>
      <w:r w:rsidR="00251603" w:rsidRPr="00427467">
        <w:t xml:space="preserve"> </w:t>
      </w:r>
      <w:r w:rsidR="00BE494A">
        <w:t>O</w:t>
      </w:r>
      <w:r w:rsidR="00251603" w:rsidRPr="00427467">
        <w:t xml:space="preserve">utcome </w:t>
      </w:r>
      <w:r w:rsidR="00BE494A">
        <w:t>M</w:t>
      </w:r>
      <w:r w:rsidR="00251603" w:rsidRPr="00427467">
        <w:t>easures</w:t>
      </w:r>
    </w:p>
    <w:p w14:paraId="6992DC3B" w14:textId="57712038" w:rsidR="00251603" w:rsidRDefault="003840AE" w:rsidP="00251603">
      <w:r>
        <w:t>The provision of</w:t>
      </w:r>
      <w:r w:rsidR="00AE76F6">
        <w:t xml:space="preserve"> mental health services </w:t>
      </w:r>
      <w:r w:rsidR="00731934">
        <w:t xml:space="preserve">in primary care </w:t>
      </w:r>
      <w:r w:rsidR="00AE76F6">
        <w:t xml:space="preserve">is a key outcome for PHNs, with the highest proportion of </w:t>
      </w:r>
      <w:r w:rsidR="002B2D78">
        <w:t xml:space="preserve">overall </w:t>
      </w:r>
      <w:r w:rsidR="00AE76F6">
        <w:t xml:space="preserve">funding provided to PHNs for the </w:t>
      </w:r>
      <w:r>
        <w:t xml:space="preserve">commissioning and coordination of mental health services for their regions. </w:t>
      </w:r>
      <w:r w:rsidR="002B2D78">
        <w:t xml:space="preserve">This indicator measures the proportion of </w:t>
      </w:r>
      <w:r w:rsidR="00731934">
        <w:t xml:space="preserve">completed episodes of mental health treatment </w:t>
      </w:r>
      <w:r w:rsidR="002B2D78">
        <w:t xml:space="preserve">that have recorded outcomes for patients </w:t>
      </w:r>
      <w:r w:rsidR="00731934">
        <w:t xml:space="preserve">at the start and end of the treatment episode. A high rate of completed outcome data enables PHNs and the department </w:t>
      </w:r>
      <w:r w:rsidR="007720DF">
        <w:t xml:space="preserve">to </w:t>
      </w:r>
      <w:r w:rsidR="00731934">
        <w:t xml:space="preserve">analyse </w:t>
      </w:r>
      <w:r w:rsidR="007720DF">
        <w:t xml:space="preserve">whether services commissioned by PHNs are improving outcomes for patients. </w:t>
      </w:r>
    </w:p>
    <w:p w14:paraId="50B806C6" w14:textId="21576120" w:rsidR="007D7FDF" w:rsidRDefault="00F42FC9" w:rsidP="00C110A9">
      <w:r>
        <w:t>Across</w:t>
      </w:r>
      <w:r w:rsidR="00D22F2C">
        <w:t xml:space="preserve"> all</w:t>
      </w:r>
      <w:r>
        <w:t xml:space="preserve"> PHNs the </w:t>
      </w:r>
      <w:r w:rsidR="00731934">
        <w:t xml:space="preserve">average </w:t>
      </w:r>
      <w:r>
        <w:t xml:space="preserve">rate of outcome </w:t>
      </w:r>
      <w:r w:rsidR="00731934">
        <w:t xml:space="preserve">reporting </w:t>
      </w:r>
      <w:r>
        <w:t xml:space="preserve">has continued to grow over the past two reporting periods, </w:t>
      </w:r>
      <w:r w:rsidR="00D22F2C">
        <w:t>from 46.6 per cent in 2021–22, to 52.4 per cent in 2022</w:t>
      </w:r>
      <w:r w:rsidR="004453B3">
        <w:t>–</w:t>
      </w:r>
      <w:r w:rsidR="00D22F2C">
        <w:t>23 and 58 per cent in 2023–24.</w:t>
      </w:r>
      <w:r w:rsidR="00C110A9">
        <w:rPr>
          <w:rStyle w:val="FootnoteReference"/>
        </w:rPr>
        <w:footnoteReference w:id="24"/>
      </w:r>
      <w:r w:rsidR="00D22F2C">
        <w:t xml:space="preserve"> While the overall rate has increased, some </w:t>
      </w:r>
      <w:r w:rsidR="000021F2">
        <w:t>states/territories</w:t>
      </w:r>
      <w:r w:rsidR="00D22F2C">
        <w:t xml:space="preserve"> have </w:t>
      </w:r>
      <w:r w:rsidR="00731934">
        <w:t>decreased</w:t>
      </w:r>
      <w:r w:rsidR="00D22F2C">
        <w:t xml:space="preserve"> (the ACT recorded a decline from 71.1 per cent in 2018–19 to 38.8 per cent in 2023–24, and W</w:t>
      </w:r>
      <w:r w:rsidR="000021F2">
        <w:t xml:space="preserve">estern </w:t>
      </w:r>
      <w:r w:rsidR="00D22F2C">
        <w:t>A</w:t>
      </w:r>
      <w:r w:rsidR="000021F2">
        <w:t>ustralia</w:t>
      </w:r>
      <w:r w:rsidR="00D22F2C">
        <w:t xml:space="preserve"> dropped from 80.5 per cent in 2020–21 to 60.2 per cent in 2023–24). The rate in the Northern Territory, while low, has grown over the time that data has been collected. Rates of outcome </w:t>
      </w:r>
      <w:r w:rsidR="00731934">
        <w:t xml:space="preserve">reporting </w:t>
      </w:r>
      <w:r w:rsidR="00D22F2C">
        <w:t xml:space="preserve">are higher in </w:t>
      </w:r>
      <w:r w:rsidR="00731934">
        <w:t xml:space="preserve">PHNs in </w:t>
      </w:r>
      <w:r w:rsidR="00D22F2C">
        <w:t>regional areas (57.5</w:t>
      </w:r>
      <w:r w:rsidR="00324A1C">
        <w:t> </w:t>
      </w:r>
      <w:r w:rsidR="00D22F2C">
        <w:t xml:space="preserve">per cent in 2022–23 and 61.5 per cent in 2023–24) than </w:t>
      </w:r>
      <w:r w:rsidR="00731934">
        <w:t xml:space="preserve">PHNs in </w:t>
      </w:r>
      <w:r w:rsidR="00D22F2C">
        <w:t xml:space="preserve">metropolitan areas (47 per cent in 2022–23 and 54.2 per cent in 2023–24). This reflects continued growth in regional areas and smaller growth in metropolitan areas. </w:t>
      </w:r>
    </w:p>
    <w:p w14:paraId="657254A6" w14:textId="77777777" w:rsidR="00A07E33" w:rsidRDefault="00A07E33" w:rsidP="00C110A9">
      <w:pPr>
        <w:rPr>
          <w:rFonts w:cs="Arial"/>
          <w:b/>
          <w:bCs/>
          <w:iCs/>
          <w:szCs w:val="22"/>
        </w:rPr>
      </w:pPr>
    </w:p>
    <w:p w14:paraId="3127DD84" w14:textId="43927248" w:rsidR="00AF3A1B" w:rsidRDefault="00AF3A1B" w:rsidP="00AF3A1B">
      <w:pPr>
        <w:pStyle w:val="FigureTitle"/>
      </w:pPr>
      <w:r>
        <w:t xml:space="preserve">Figure </w:t>
      </w:r>
      <w:r w:rsidR="00865745">
        <w:t>7</w:t>
      </w:r>
      <w:r>
        <w:t>:</w:t>
      </w:r>
      <w:r w:rsidR="00977C90">
        <w:t xml:space="preserve"> </w:t>
      </w:r>
      <w:r w:rsidR="00920910">
        <w:t>Rate of outcome data completed</w:t>
      </w:r>
      <w:r w:rsidR="00381E5E">
        <w:t>, by PHN remoteness</w:t>
      </w:r>
      <w:r w:rsidR="00DF3875">
        <w:t>, 2018–19 to 2023–24</w:t>
      </w:r>
    </w:p>
    <w:p w14:paraId="1B2F02F5" w14:textId="4EE41F19" w:rsidR="009D5389" w:rsidRDefault="009F6408" w:rsidP="00251603">
      <w:r>
        <w:rPr>
          <w:noProof/>
        </w:rPr>
        <w:drawing>
          <wp:inline distT="0" distB="0" distL="0" distR="0" wp14:anchorId="2B13D284" wp14:editId="4A0E9F47">
            <wp:extent cx="5296998" cy="2699308"/>
            <wp:effectExtent l="0" t="0" r="0" b="6350"/>
            <wp:docPr id="299735907" name="Picture 1" descr="Figure 7: A bar graph showing the rate of outcome data completed, by PHN remoteness, 2018–1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35907" name="Picture 1" descr="Figure 7: A bar graph showing the rate of outcome data completed, by PHN remoteness, 2018–19 to 2023–24"/>
                    <pic:cNvPicPr/>
                  </pic:nvPicPr>
                  <pic:blipFill>
                    <a:blip r:embed="rId31"/>
                    <a:stretch>
                      <a:fillRect/>
                    </a:stretch>
                  </pic:blipFill>
                  <pic:spPr>
                    <a:xfrm>
                      <a:off x="0" y="0"/>
                      <a:ext cx="5303750" cy="2702749"/>
                    </a:xfrm>
                    <a:prstGeom prst="rect">
                      <a:avLst/>
                    </a:prstGeom>
                  </pic:spPr>
                </pic:pic>
              </a:graphicData>
            </a:graphic>
          </wp:inline>
        </w:drawing>
      </w:r>
    </w:p>
    <w:p w14:paraId="552876AA" w14:textId="77777777" w:rsidR="00871404" w:rsidRDefault="00871404">
      <w:pPr>
        <w:spacing w:before="0" w:after="0" w:line="240" w:lineRule="auto"/>
        <w:rPr>
          <w:rFonts w:cs="Arial"/>
          <w:b/>
          <w:bCs/>
          <w:color w:val="358189"/>
          <w:sz w:val="32"/>
          <w:szCs w:val="26"/>
        </w:rPr>
      </w:pPr>
      <w:r>
        <w:br w:type="page"/>
      </w:r>
    </w:p>
    <w:p w14:paraId="29197032" w14:textId="60FC968D" w:rsidR="007720DF" w:rsidRDefault="007720DF" w:rsidP="007720DF">
      <w:pPr>
        <w:pStyle w:val="Heading3"/>
      </w:pPr>
      <w:r>
        <w:lastRenderedPageBreak/>
        <w:t xml:space="preserve">FN3 – </w:t>
      </w:r>
      <w:r w:rsidR="00DE42E9">
        <w:t>C</w:t>
      </w:r>
      <w:r w:rsidRPr="00427467">
        <w:t xml:space="preserve">ulturally </w:t>
      </w:r>
      <w:r w:rsidR="00FC2E7D">
        <w:t>Safe</w:t>
      </w:r>
      <w:r w:rsidRPr="00427467">
        <w:t xml:space="preserve"> </w:t>
      </w:r>
      <w:r w:rsidR="00DE42E9">
        <w:t>Alcohol and Other Drug Services</w:t>
      </w:r>
    </w:p>
    <w:p w14:paraId="0904CE32" w14:textId="56B64023" w:rsidR="008E1BB4" w:rsidRDefault="003A373D" w:rsidP="007720DF">
      <w:r>
        <w:t xml:space="preserve">To support the provision of culturally </w:t>
      </w:r>
      <w:r w:rsidR="00FC2E7D">
        <w:t>safe</w:t>
      </w:r>
      <w:r>
        <w:t xml:space="preserve"> services within their regions PHNs are required to report on </w:t>
      </w:r>
      <w:r w:rsidR="00A34AF7">
        <w:t xml:space="preserve">how services are delivered in recognition of the six domains and focus areas outlined in the </w:t>
      </w:r>
      <w:r w:rsidR="00A34AF7" w:rsidRPr="00A34AF7">
        <w:t>Cultural Respect Framework for Aboriginal and Torres Strait Islander Health 2016</w:t>
      </w:r>
      <w:r w:rsidR="004453B3">
        <w:t>–</w:t>
      </w:r>
      <w:r w:rsidR="00A34AF7" w:rsidRPr="00A34AF7">
        <w:t>26.</w:t>
      </w:r>
      <w:r w:rsidR="00A34AF7">
        <w:rPr>
          <w:rStyle w:val="FootnoteReference"/>
        </w:rPr>
        <w:footnoteReference w:id="25"/>
      </w:r>
      <w:r w:rsidR="00A34AF7">
        <w:t xml:space="preserve"> </w:t>
      </w:r>
    </w:p>
    <w:p w14:paraId="028C6D8C" w14:textId="1558FBEE" w:rsidR="007720DF" w:rsidRDefault="00A34AF7" w:rsidP="007720DF">
      <w:r>
        <w:t>For the reporting period</w:t>
      </w:r>
      <w:r w:rsidR="00241470">
        <w:t>s</w:t>
      </w:r>
      <w:r w:rsidR="00705715">
        <w:t>,</w:t>
      </w:r>
      <w:r w:rsidR="00241470">
        <w:t xml:space="preserve"> all PHNs have been assessed as meeting this indicator. Some examples of how PHNs have ensured cultural safety include </w:t>
      </w:r>
      <w:r w:rsidR="008E1BB4">
        <w:t>reporting by</w:t>
      </w:r>
      <w:r w:rsidR="00241470">
        <w:t xml:space="preserve"> providers </w:t>
      </w:r>
      <w:r w:rsidR="008E1BB4">
        <w:t>about</w:t>
      </w:r>
      <w:r w:rsidR="00241470">
        <w:t xml:space="preserve"> training </w:t>
      </w:r>
      <w:r w:rsidR="00FC2E7D">
        <w:t>for</w:t>
      </w:r>
      <w:r w:rsidR="00241470">
        <w:t xml:space="preserve"> staff,</w:t>
      </w:r>
      <w:r w:rsidR="008E1BB4">
        <w:t xml:space="preserve"> audit processes and</w:t>
      </w:r>
      <w:r w:rsidR="00241470">
        <w:t xml:space="preserve"> reporting on the appropriateness of provided services, </w:t>
      </w:r>
      <w:r w:rsidR="008E1BB4">
        <w:t>consulting and co-designing services</w:t>
      </w:r>
      <w:r w:rsidR="00241470">
        <w:t xml:space="preserve"> with local </w:t>
      </w:r>
      <w:r w:rsidR="00067B2E">
        <w:t>Aboriginal and Torres Strait Islander</w:t>
      </w:r>
      <w:r w:rsidR="00241470">
        <w:t xml:space="preserve"> groups</w:t>
      </w:r>
      <w:r w:rsidR="008E1BB4">
        <w:t>, the development of service standards and delivery models</w:t>
      </w:r>
      <w:r w:rsidR="00B878B0">
        <w:t>,</w:t>
      </w:r>
      <w:r w:rsidR="008E1BB4">
        <w:t xml:space="preserve"> and local cultural experiences and activities.</w:t>
      </w:r>
    </w:p>
    <w:p w14:paraId="2DB66381" w14:textId="77777777" w:rsidR="009D5389" w:rsidRDefault="009D5389" w:rsidP="007720DF"/>
    <w:p w14:paraId="410E8F74" w14:textId="0A12E01B" w:rsidR="00A34AF7" w:rsidRPr="007720DF" w:rsidRDefault="000542C7" w:rsidP="000542C7">
      <w:pPr>
        <w:pStyle w:val="Heading3"/>
      </w:pPr>
      <w:r w:rsidRPr="00632FAB">
        <w:t>FN4</w:t>
      </w:r>
      <w:r>
        <w:t xml:space="preserve"> –</w:t>
      </w:r>
      <w:bookmarkStart w:id="15" w:name="_Hlk202344697"/>
      <w:r w:rsidR="00DE42E9" w:rsidRPr="00DE42E9">
        <w:t xml:space="preserve"> </w:t>
      </w:r>
      <w:r w:rsidR="00DE42E9">
        <w:t>C</w:t>
      </w:r>
      <w:r w:rsidR="00DE42E9" w:rsidRPr="00427467">
        <w:t xml:space="preserve">ulturally </w:t>
      </w:r>
      <w:r w:rsidR="00FC0A71">
        <w:t>Safe</w:t>
      </w:r>
      <w:r w:rsidR="00DE42E9" w:rsidRPr="00427467">
        <w:t xml:space="preserve"> </w:t>
      </w:r>
      <w:r w:rsidR="00BE494A">
        <w:t>M</w:t>
      </w:r>
      <w:r w:rsidR="00DE42E9" w:rsidRPr="000542C7">
        <w:t xml:space="preserve">ental </w:t>
      </w:r>
      <w:r w:rsidR="00BE494A">
        <w:t>H</w:t>
      </w:r>
      <w:r w:rsidR="00DE42E9" w:rsidRPr="000542C7">
        <w:t xml:space="preserve">ealth </w:t>
      </w:r>
      <w:r w:rsidR="00BE494A">
        <w:t>S</w:t>
      </w:r>
      <w:r w:rsidR="00DE42E9" w:rsidRPr="000542C7">
        <w:t>ervices</w:t>
      </w:r>
      <w:bookmarkEnd w:id="15"/>
    </w:p>
    <w:p w14:paraId="1B612642" w14:textId="6A0C5FE2" w:rsidR="00DF3E6A" w:rsidRDefault="004932CC" w:rsidP="00856065">
      <w:pPr>
        <w:rPr>
          <w:rFonts w:cs="Arial"/>
          <w:color w:val="000000"/>
          <w:szCs w:val="22"/>
          <w:lang w:eastAsia="en-AU"/>
        </w:rPr>
      </w:pPr>
      <w:r>
        <w:t xml:space="preserve">PHNs </w:t>
      </w:r>
      <w:r w:rsidR="00046309">
        <w:t xml:space="preserve">are funded to commission mental health services </w:t>
      </w:r>
      <w:r w:rsidR="00DF3E6A">
        <w:t xml:space="preserve">that improve access to integrated, culturally safe mental health services for </w:t>
      </w:r>
      <w:r w:rsidR="002D1DA2">
        <w:t>Aboriginal and Torres Strait Islander</w:t>
      </w:r>
      <w:r w:rsidR="00DF3E6A">
        <w:t xml:space="preserve"> </w:t>
      </w:r>
      <w:r w:rsidR="002D1DA2">
        <w:t>people</w:t>
      </w:r>
      <w:r w:rsidR="00DF3E6A">
        <w:t xml:space="preserve">. Service providers are required to demonstrate that they deliver culturally safe services through </w:t>
      </w:r>
      <w:r w:rsidR="00DF3E6A" w:rsidRPr="00DF3E6A">
        <w:rPr>
          <w:rFonts w:cs="Arial"/>
          <w:color w:val="000000"/>
          <w:szCs w:val="22"/>
          <w:lang w:eastAsia="en-AU"/>
        </w:rPr>
        <w:t xml:space="preserve">behaviours, attitudes, policies, practices and physical structures that are respectful and tailored to </w:t>
      </w:r>
      <w:r w:rsidR="002D1DA2">
        <w:t>Aboriginal and Torres Strait Islander people</w:t>
      </w:r>
      <w:r w:rsidR="002D1DA2">
        <w:rPr>
          <w:rFonts w:cs="Arial"/>
          <w:color w:val="000000"/>
          <w:szCs w:val="22"/>
          <w:lang w:eastAsia="en-AU"/>
        </w:rPr>
        <w:t>,</w:t>
      </w:r>
      <w:r w:rsidR="00DF3E6A">
        <w:rPr>
          <w:rFonts w:cs="Arial"/>
          <w:color w:val="000000"/>
          <w:szCs w:val="22"/>
          <w:lang w:eastAsia="en-AU"/>
        </w:rPr>
        <w:t xml:space="preserve"> </w:t>
      </w:r>
      <w:r w:rsidR="00DF3E6A" w:rsidRPr="00DF3E6A">
        <w:rPr>
          <w:rFonts w:cs="Arial"/>
          <w:color w:val="000000"/>
          <w:szCs w:val="22"/>
          <w:lang w:eastAsia="en-AU"/>
        </w:rPr>
        <w:t xml:space="preserve">the inclusion of </w:t>
      </w:r>
      <w:r w:rsidR="002D1DA2">
        <w:t xml:space="preserve">Aboriginal and Torres Strait Islander </w:t>
      </w:r>
      <w:r w:rsidR="00DF3E6A" w:rsidRPr="00DF3E6A">
        <w:rPr>
          <w:rFonts w:cs="Arial"/>
          <w:color w:val="000000"/>
          <w:szCs w:val="22"/>
          <w:lang w:eastAsia="en-AU"/>
        </w:rPr>
        <w:t>staff</w:t>
      </w:r>
      <w:r w:rsidR="00DF3E6A">
        <w:rPr>
          <w:rFonts w:cs="Arial"/>
          <w:color w:val="000000"/>
          <w:szCs w:val="22"/>
          <w:lang w:eastAsia="en-AU"/>
        </w:rPr>
        <w:t xml:space="preserve"> and/or the</w:t>
      </w:r>
      <w:r w:rsidR="00DF3E6A" w:rsidRPr="00DF3E6A">
        <w:rPr>
          <w:rFonts w:cs="Arial"/>
          <w:color w:val="000000"/>
          <w:szCs w:val="22"/>
          <w:lang w:eastAsia="en-AU"/>
        </w:rPr>
        <w:t xml:space="preserve"> delivery by providers appropriately skilled in the delivery of culturally safe services. </w:t>
      </w:r>
    </w:p>
    <w:p w14:paraId="7DD2EA9F" w14:textId="738D76D0" w:rsidR="00632FAB" w:rsidRDefault="00856065" w:rsidP="00856065">
      <w:pPr>
        <w:rPr>
          <w:lang w:eastAsia="en-AU"/>
        </w:rPr>
      </w:pPr>
      <w:r w:rsidRPr="00856065">
        <w:rPr>
          <w:lang w:eastAsia="en-AU"/>
        </w:rPr>
        <w:t xml:space="preserve">Following a drop in the average rate of delivered services in 2021–22, the </w:t>
      </w:r>
      <w:r>
        <w:rPr>
          <w:lang w:eastAsia="en-AU"/>
        </w:rPr>
        <w:t xml:space="preserve">overall </w:t>
      </w:r>
      <w:r w:rsidR="00D02D62">
        <w:rPr>
          <w:lang w:eastAsia="en-AU"/>
        </w:rPr>
        <w:t xml:space="preserve">average </w:t>
      </w:r>
      <w:r w:rsidRPr="00856065">
        <w:rPr>
          <w:lang w:eastAsia="en-AU"/>
        </w:rPr>
        <w:t>rate has increased over the two reporting periods (87 per cent in 2022–23 and 88.2 per cent in 2023–24)</w:t>
      </w:r>
      <w:r>
        <w:rPr>
          <w:lang w:eastAsia="en-AU"/>
        </w:rPr>
        <w:t>.</w:t>
      </w:r>
    </w:p>
    <w:p w14:paraId="057CBF46" w14:textId="77777777" w:rsidR="00632FAB" w:rsidRDefault="00632FAB" w:rsidP="00DF3E6A">
      <w:pPr>
        <w:rPr>
          <w:rFonts w:cs="Arial"/>
          <w:color w:val="000000"/>
          <w:szCs w:val="22"/>
          <w:lang w:eastAsia="en-AU"/>
        </w:rPr>
      </w:pPr>
    </w:p>
    <w:p w14:paraId="31760C70" w14:textId="55938B57" w:rsidR="0015369D" w:rsidRDefault="00856065" w:rsidP="00E55CD8">
      <w:pPr>
        <w:pStyle w:val="FigureTitle"/>
        <w:keepNext/>
      </w:pPr>
      <w:r>
        <w:lastRenderedPageBreak/>
        <w:t xml:space="preserve">Figure </w:t>
      </w:r>
      <w:r w:rsidR="00865745">
        <w:t>8</w:t>
      </w:r>
      <w:r>
        <w:t>: Proportion of PHN</w:t>
      </w:r>
      <w:r w:rsidR="001955AE">
        <w:t>-</w:t>
      </w:r>
      <w:r>
        <w:t>commissioned mental health services</w:t>
      </w:r>
      <w:r w:rsidR="001955AE">
        <w:t xml:space="preserve"> with evidence of cultural safety</w:t>
      </w:r>
      <w:r>
        <w:t xml:space="preserve"> delivered t</w:t>
      </w:r>
      <w:r w:rsidR="00313BD4">
        <w:t>o Aboriginal and Torres Strait Islander pe</w:t>
      </w:r>
      <w:r>
        <w:t>ople</w:t>
      </w:r>
      <w:r w:rsidR="00DF3875">
        <w:t>, 2018–19 to 2023–24</w:t>
      </w:r>
    </w:p>
    <w:p w14:paraId="0325D190" w14:textId="274453EB" w:rsidR="00C464C0" w:rsidRPr="00C464C0" w:rsidRDefault="005659D8" w:rsidP="00EE67B3">
      <w:pPr>
        <w:jc w:val="center"/>
      </w:pPr>
      <w:r>
        <w:rPr>
          <w:noProof/>
        </w:rPr>
        <w:drawing>
          <wp:inline distT="0" distB="0" distL="0" distR="0" wp14:anchorId="731E82F4" wp14:editId="7E7FCB48">
            <wp:extent cx="5210175" cy="2928497"/>
            <wp:effectExtent l="0" t="0" r="0" b="5715"/>
            <wp:docPr id="2098711519" name="Picture 1" descr="Figure 8: A bar graph showing the proportion of PHN-commissioned mental health services with evidence of cultural safety delivered to Aboriginal and Torres Strait Islander people, 2018–1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11519" name="Picture 1" descr="Figure 8: A bar graph showing the proportion of PHN-commissioned mental health services with evidence of cultural safety delivered to Aboriginal and Torres Strait Islander people, 2018–19 to 2023–24"/>
                    <pic:cNvPicPr/>
                  </pic:nvPicPr>
                  <pic:blipFill>
                    <a:blip r:embed="rId32"/>
                    <a:stretch>
                      <a:fillRect/>
                    </a:stretch>
                  </pic:blipFill>
                  <pic:spPr>
                    <a:xfrm>
                      <a:off x="0" y="0"/>
                      <a:ext cx="5219489" cy="2933732"/>
                    </a:xfrm>
                    <a:prstGeom prst="rect">
                      <a:avLst/>
                    </a:prstGeom>
                  </pic:spPr>
                </pic:pic>
              </a:graphicData>
            </a:graphic>
          </wp:inline>
        </w:drawing>
      </w:r>
    </w:p>
    <w:p w14:paraId="5E53392F" w14:textId="77777777" w:rsidR="00856065" w:rsidRDefault="00856065" w:rsidP="00DF3E6A">
      <w:pPr>
        <w:rPr>
          <w:rFonts w:cs="Arial"/>
          <w:color w:val="000000"/>
          <w:szCs w:val="22"/>
          <w:lang w:eastAsia="en-AU"/>
        </w:rPr>
      </w:pPr>
    </w:p>
    <w:p w14:paraId="49B6CF2C" w14:textId="193E7714" w:rsidR="00A5158A" w:rsidRPr="00427467" w:rsidRDefault="00A5158A" w:rsidP="00A5158A">
      <w:pPr>
        <w:pStyle w:val="Heading3"/>
      </w:pPr>
      <w:r>
        <w:t xml:space="preserve">FN5 – </w:t>
      </w:r>
      <w:r w:rsidR="00DE42E9">
        <w:t>C</w:t>
      </w:r>
      <w:r w:rsidRPr="00427467">
        <w:t>ultural</w:t>
      </w:r>
      <w:r w:rsidR="00BE494A">
        <w:t>ly</w:t>
      </w:r>
      <w:r w:rsidRPr="00427467">
        <w:t xml:space="preserve"> </w:t>
      </w:r>
      <w:r w:rsidR="00FC0A71">
        <w:t>Safe</w:t>
      </w:r>
      <w:r w:rsidRPr="00427467">
        <w:t xml:space="preserve"> </w:t>
      </w:r>
      <w:r w:rsidR="00BE494A">
        <w:t>M</w:t>
      </w:r>
      <w:r w:rsidRPr="00427467">
        <w:t xml:space="preserve">ainstream </w:t>
      </w:r>
      <w:r w:rsidR="00BE494A">
        <w:t>P</w:t>
      </w:r>
      <w:r w:rsidRPr="00427467">
        <w:t xml:space="preserve">rimary </w:t>
      </w:r>
      <w:r w:rsidR="00BE494A">
        <w:t>H</w:t>
      </w:r>
      <w:r w:rsidRPr="00427467">
        <w:t xml:space="preserve">ealth </w:t>
      </w:r>
      <w:r w:rsidR="00BE494A">
        <w:t>C</w:t>
      </w:r>
      <w:r w:rsidRPr="00427467">
        <w:t xml:space="preserve">are </w:t>
      </w:r>
      <w:r w:rsidR="00BE494A">
        <w:t>S</w:t>
      </w:r>
      <w:r w:rsidRPr="00427467">
        <w:t>ervices</w:t>
      </w:r>
    </w:p>
    <w:p w14:paraId="3310AB2B" w14:textId="196C8A10" w:rsidR="00DF3E6A" w:rsidRDefault="00382EE4" w:rsidP="00251603">
      <w:r>
        <w:t>The I</w:t>
      </w:r>
      <w:r w:rsidR="00FC787E">
        <w:t xml:space="preserve">ntegrated </w:t>
      </w:r>
      <w:r>
        <w:t>T</w:t>
      </w:r>
      <w:r w:rsidR="00FC787E">
        <w:t xml:space="preserve">eam </w:t>
      </w:r>
      <w:r>
        <w:t>C</w:t>
      </w:r>
      <w:r w:rsidR="00FC787E">
        <w:t>are</w:t>
      </w:r>
      <w:r>
        <w:t xml:space="preserve"> program plays a key role in building the cultural competency of mainstream primary care services so that eligible clients can access culturally safe, responsive health care wherever they choose to access. PHNs are required to conduct </w:t>
      </w:r>
      <w:r w:rsidR="002A617A">
        <w:t xml:space="preserve">activities to support </w:t>
      </w:r>
      <w:r>
        <w:t xml:space="preserve">mainstream </w:t>
      </w:r>
      <w:r w:rsidR="002A617A">
        <w:t xml:space="preserve">primary health care providers in their region to improve the delivery of culturally </w:t>
      </w:r>
      <w:r w:rsidR="009C59F4">
        <w:t>safe</w:t>
      </w:r>
      <w:r w:rsidR="002A617A">
        <w:t xml:space="preserve"> primary care health services. </w:t>
      </w:r>
      <w:r w:rsidR="00355EA4">
        <w:t>For reporting purposes, PHNs provide details of work undertaken</w:t>
      </w:r>
      <w:r w:rsidR="006203B5">
        <w:t xml:space="preserve"> to improve cultural </w:t>
      </w:r>
      <w:r w:rsidR="009C59F4">
        <w:t>safety</w:t>
      </w:r>
      <w:r w:rsidR="006203B5">
        <w:t xml:space="preserve"> in their regions</w:t>
      </w:r>
      <w:r w:rsidR="00355EA4">
        <w:t>, including</w:t>
      </w:r>
      <w:r w:rsidR="006203B5">
        <w:t xml:space="preserve"> activities such as</w:t>
      </w:r>
      <w:r w:rsidR="00355EA4">
        <w:t xml:space="preserve"> delivery of cultural awareness training for staff and encouraging usage of relevant Medicare Benefits Schedule</w:t>
      </w:r>
      <w:r w:rsidR="009C59F4">
        <w:t xml:space="preserve"> (MBS)</w:t>
      </w:r>
      <w:r w:rsidR="00355EA4">
        <w:t xml:space="preserve"> items. </w:t>
      </w:r>
      <w:r w:rsidR="006203B5">
        <w:t>For the reporting periods</w:t>
      </w:r>
      <w:r w:rsidR="00705715">
        <w:t>,</w:t>
      </w:r>
      <w:r w:rsidR="006203B5">
        <w:t xml:space="preserve"> </w:t>
      </w:r>
      <w:r w:rsidR="00331F08">
        <w:t xml:space="preserve">relevant PHNs have been assessed as meeting the requirements of this indicator (three PHNs </w:t>
      </w:r>
      <w:r w:rsidR="009E35A1">
        <w:t>are not assessed against this indicator).</w:t>
      </w:r>
      <w:r w:rsidR="009C59F4">
        <w:rPr>
          <w:rStyle w:val="FootnoteReference"/>
        </w:rPr>
        <w:footnoteReference w:id="26"/>
      </w:r>
      <w:r w:rsidR="009E35A1">
        <w:t xml:space="preserve"> </w:t>
      </w:r>
    </w:p>
    <w:p w14:paraId="1A14229A" w14:textId="02A6E0E7" w:rsidR="009E35A1" w:rsidRDefault="00341B2D" w:rsidP="00251603">
      <w:r>
        <w:t xml:space="preserve">Across the two reporting periods </w:t>
      </w:r>
      <w:r w:rsidR="00E73408">
        <w:t>PHNs have detailed several ways that they engage with their region</w:t>
      </w:r>
      <w:r w:rsidR="00B13EF2">
        <w:t>’</w:t>
      </w:r>
      <w:r w:rsidR="00E73408">
        <w:t xml:space="preserve">s mainstream primary health care providers for this indicator, including through appointed Indigenous Health Project Officers, </w:t>
      </w:r>
      <w:r w:rsidR="009C59F4">
        <w:t>P</w:t>
      </w:r>
      <w:r w:rsidR="00E73408">
        <w:t xml:space="preserve">rimary </w:t>
      </w:r>
      <w:r w:rsidR="009C59F4">
        <w:t>H</w:t>
      </w:r>
      <w:r w:rsidR="00E73408">
        <w:t xml:space="preserve">ealth </w:t>
      </w:r>
      <w:r w:rsidR="009C59F4">
        <w:t>C</w:t>
      </w:r>
      <w:r w:rsidR="00E73408">
        <w:t xml:space="preserve">oordinators and practice support teams, </w:t>
      </w:r>
      <w:r w:rsidR="00415C7C">
        <w:t>regular delivery of training to health care professionals about cultural awareness and sensitivity, targeted campaigns within the community and gathering feedback through surveys</w:t>
      </w:r>
      <w:r w:rsidR="00E73408">
        <w:t xml:space="preserve">. </w:t>
      </w:r>
      <w:r w:rsidR="00415C7C">
        <w:t>PHNs have also provided information about building relationships with service providers and providing support to practices and practitioners.</w:t>
      </w:r>
    </w:p>
    <w:p w14:paraId="6B61DAC7" w14:textId="1D416B68" w:rsidR="00A5158A" w:rsidRDefault="006203B5" w:rsidP="006203B5">
      <w:pPr>
        <w:pStyle w:val="Heading3"/>
      </w:pPr>
      <w:r>
        <w:lastRenderedPageBreak/>
        <w:t>FN6 –</w:t>
      </w:r>
      <w:r w:rsidR="00B13EF2">
        <w:t xml:space="preserve"> </w:t>
      </w:r>
      <w:r w:rsidRPr="00427467">
        <w:t xml:space="preserve">Aboriginal and Torres Strait Islander </w:t>
      </w:r>
      <w:r w:rsidR="00BE494A">
        <w:t>H</w:t>
      </w:r>
      <w:r w:rsidRPr="00427467">
        <w:t xml:space="preserve">ealth </w:t>
      </w:r>
      <w:r w:rsidR="00BE494A">
        <w:t>W</w:t>
      </w:r>
      <w:r w:rsidRPr="00427467">
        <w:t>orkforce</w:t>
      </w:r>
    </w:p>
    <w:p w14:paraId="06C6034D" w14:textId="7AEAF44D" w:rsidR="00A5158A" w:rsidRDefault="00314CCF" w:rsidP="00251603">
      <w:r>
        <w:t xml:space="preserve">PHNs </w:t>
      </w:r>
      <w:r w:rsidR="00B13EF2">
        <w:t xml:space="preserve">provide support </w:t>
      </w:r>
      <w:r w:rsidR="00F5189B">
        <w:t xml:space="preserve">to improve </w:t>
      </w:r>
      <w:r w:rsidR="00C265BF">
        <w:t xml:space="preserve">the </w:t>
      </w:r>
      <w:r w:rsidR="00F5189B">
        <w:t xml:space="preserve">capability, capacity and proportion </w:t>
      </w:r>
      <w:r w:rsidR="00C265BF">
        <w:t xml:space="preserve">of </w:t>
      </w:r>
      <w:r w:rsidR="002D1DA2">
        <w:t>Aboriginal and Torres Strait Islander</w:t>
      </w:r>
      <w:r w:rsidR="00C265BF">
        <w:t xml:space="preserve"> identified health workers, </w:t>
      </w:r>
      <w:r w:rsidR="00F5189B">
        <w:t xml:space="preserve">to improve the quality of services offered to </w:t>
      </w:r>
      <w:r w:rsidR="002D1DA2">
        <w:t>Aboriginal and Torres Strait Islander people</w:t>
      </w:r>
      <w:r w:rsidR="00F5189B">
        <w:t xml:space="preserve">, as well as the accessibility and cultural safety of services. </w:t>
      </w:r>
      <w:r w:rsidR="00C265BF">
        <w:t>PHNs report on formal/informal development opportunities and activities conducted during the reporting period.</w:t>
      </w:r>
      <w:r w:rsidR="00CB253B">
        <w:t xml:space="preserve"> For the 2022–23 and 2023–24 reporting periods all PHNs have been assessed as meeting the requirements of this indicator.</w:t>
      </w:r>
    </w:p>
    <w:p w14:paraId="4E2A7FD6" w14:textId="06E9CB06" w:rsidR="00F5189B" w:rsidRDefault="00CB253B" w:rsidP="00251603">
      <w:r>
        <w:t xml:space="preserve">PHNs have provided information about support through activities including the development and implementation of employment strategies, provision of scholarships and training, and specific roles to provide dedicated workforce support. PHNs have also detailed the establishment of communities of practice and other consultative groups as well as regular engagement with </w:t>
      </w:r>
      <w:r w:rsidR="005A2133">
        <w:t xml:space="preserve">local </w:t>
      </w:r>
      <w:r w:rsidR="005A2133" w:rsidRPr="000A643D">
        <w:t xml:space="preserve">Aboriginal Community Controlled Health </w:t>
      </w:r>
      <w:r w:rsidR="009C59F4">
        <w:t>O</w:t>
      </w:r>
      <w:r w:rsidR="005A2133" w:rsidRPr="000A643D">
        <w:t>rganisations</w:t>
      </w:r>
      <w:r w:rsidR="005A2133">
        <w:t xml:space="preserve">. </w:t>
      </w:r>
    </w:p>
    <w:p w14:paraId="4375D8DF" w14:textId="77777777" w:rsidR="009D5389" w:rsidRDefault="009D5389" w:rsidP="00251603"/>
    <w:p w14:paraId="4E8475BA" w14:textId="1AAA3451" w:rsidR="00C265BF" w:rsidRDefault="00C265BF" w:rsidP="00C265BF">
      <w:pPr>
        <w:pStyle w:val="Heading3"/>
      </w:pPr>
      <w:r>
        <w:t xml:space="preserve">PH1 – </w:t>
      </w:r>
      <w:r w:rsidR="00320208">
        <w:t>Childhood Immunisation</w:t>
      </w:r>
    </w:p>
    <w:p w14:paraId="7E55A4FF" w14:textId="72CFB5F5" w:rsidR="00C265BF" w:rsidRDefault="00AE7053" w:rsidP="00C265BF">
      <w:r>
        <w:t>Childhood immunisation targets have existed for many years in Australia, with a target immunisation rate of 95</w:t>
      </w:r>
      <w:r w:rsidR="002D1DA2">
        <w:t xml:space="preserve"> per cent</w:t>
      </w:r>
      <w:r>
        <w:t xml:space="preserve"> coverage for prevention of diseases such as measles, rubella and polio. PHNs work with health care providers in their regions to identify and address barriers </w:t>
      </w:r>
      <w:r w:rsidR="00DD4867">
        <w:t xml:space="preserve">that may </w:t>
      </w:r>
      <w:r w:rsidR="00EB60DF">
        <w:t>affect</w:t>
      </w:r>
      <w:r>
        <w:t xml:space="preserve"> immunisation rates. PHN </w:t>
      </w:r>
      <w:r w:rsidR="00DD4867">
        <w:t xml:space="preserve">performance is not assessed against </w:t>
      </w:r>
      <w:r>
        <w:t>the rate of childhood immunisation in their region</w:t>
      </w:r>
      <w:r w:rsidR="00236921">
        <w:t xml:space="preserve"> – the rate is used to understand the broader healthcare landscape. </w:t>
      </w:r>
    </w:p>
    <w:p w14:paraId="024E0F6E" w14:textId="24D602BE" w:rsidR="00670C8B" w:rsidRDefault="00193428" w:rsidP="00670C8B">
      <w:r>
        <w:t xml:space="preserve">The overall vaccination rate </w:t>
      </w:r>
      <w:r w:rsidR="00670C8B">
        <w:t xml:space="preserve">for all </w:t>
      </w:r>
      <w:proofErr w:type="gramStart"/>
      <w:r w:rsidR="00670C8B">
        <w:t>5-year old</w:t>
      </w:r>
      <w:proofErr w:type="gramEnd"/>
      <w:r w:rsidR="00670C8B">
        <w:t xml:space="preserve"> children </w:t>
      </w:r>
      <w:r w:rsidR="00821BC3">
        <w:t>has shown a downward trend since the COVID-19 pandemic</w:t>
      </w:r>
      <w:r w:rsidR="00670C8B">
        <w:t>,</w:t>
      </w:r>
      <w:r w:rsidR="00821BC3">
        <w:t xml:space="preserve"> with rates decreasing from </w:t>
      </w:r>
      <w:r w:rsidR="00670C8B">
        <w:t xml:space="preserve">94.54 per cent in 2021–22 to </w:t>
      </w:r>
      <w:r w:rsidR="00821BC3">
        <w:t xml:space="preserve">94.14 per cent in 2022–23 </w:t>
      </w:r>
      <w:r w:rsidR="00670C8B">
        <w:t>and</w:t>
      </w:r>
      <w:r w:rsidR="00821BC3">
        <w:t xml:space="preserve"> 93.85 per cent in 2023–24</w:t>
      </w:r>
      <w:r w:rsidR="00670C8B">
        <w:t xml:space="preserve">. In 2023–24, vaccination rates for Aboriginal and Torres Strait Islander </w:t>
      </w:r>
      <w:proofErr w:type="gramStart"/>
      <w:r w:rsidR="00670C8B">
        <w:t>5-year old</w:t>
      </w:r>
      <w:proofErr w:type="gramEnd"/>
      <w:r w:rsidR="00670C8B">
        <w:t xml:space="preserve"> children show higher coverage rates in all states and territories, with </w:t>
      </w:r>
      <w:r w:rsidR="00E41EBF">
        <w:t>a</w:t>
      </w:r>
      <w:r w:rsidR="00670C8B">
        <w:t xml:space="preserve"> national coverage rate of 95.23 per cent</w:t>
      </w:r>
      <w:r w:rsidR="000B5A7A">
        <w:t xml:space="preserve"> – higher than the </w:t>
      </w:r>
      <w:r w:rsidR="00D91083">
        <w:t xml:space="preserve">national </w:t>
      </w:r>
      <w:r w:rsidR="000B5A7A">
        <w:t xml:space="preserve">rate for all </w:t>
      </w:r>
      <w:proofErr w:type="gramStart"/>
      <w:r w:rsidR="000B5A7A">
        <w:t>5-year old</w:t>
      </w:r>
      <w:proofErr w:type="gramEnd"/>
      <w:r w:rsidR="000B5A7A">
        <w:t xml:space="preserve"> children</w:t>
      </w:r>
      <w:r w:rsidR="00670C8B">
        <w:t xml:space="preserve">. </w:t>
      </w:r>
    </w:p>
    <w:p w14:paraId="441CA0E4" w14:textId="26C7E6CB" w:rsidR="006F6DDA" w:rsidRDefault="006F6DDA" w:rsidP="007D7FDF"/>
    <w:p w14:paraId="2A50DC6A" w14:textId="1AB76DCC" w:rsidR="006F6DDA" w:rsidRDefault="00AF3A1B" w:rsidP="00B75FE0">
      <w:pPr>
        <w:pStyle w:val="FigureTitle"/>
        <w:keepNext/>
      </w:pPr>
      <w:r>
        <w:lastRenderedPageBreak/>
        <w:t xml:space="preserve">Figure </w:t>
      </w:r>
      <w:r w:rsidR="00865745">
        <w:t>9</w:t>
      </w:r>
      <w:r>
        <w:t>:</w:t>
      </w:r>
      <w:r w:rsidR="00381E5E">
        <w:t xml:space="preserve"> Average </w:t>
      </w:r>
      <w:r w:rsidR="00977C90">
        <w:t xml:space="preserve">rate </w:t>
      </w:r>
      <w:r w:rsidR="00381E5E">
        <w:t>of fully immunised children at 5 years of age</w:t>
      </w:r>
      <w:r w:rsidR="00DF3875">
        <w:t>, 2018–19 to 2023</w:t>
      </w:r>
      <w:r w:rsidR="00F10386">
        <w:noBreakHyphen/>
      </w:r>
      <w:r w:rsidR="00DF3875">
        <w:t>24</w:t>
      </w:r>
    </w:p>
    <w:p w14:paraId="51F65096" w14:textId="48D510CF" w:rsidR="000D11F8" w:rsidRPr="000D11F8" w:rsidRDefault="004B598D" w:rsidP="000D11F8">
      <w:r w:rsidRPr="004B598D">
        <w:rPr>
          <w:noProof/>
        </w:rPr>
        <w:drawing>
          <wp:inline distT="0" distB="0" distL="0" distR="0" wp14:anchorId="30F2A4C6" wp14:editId="223D615E">
            <wp:extent cx="5200650" cy="2971800"/>
            <wp:effectExtent l="0" t="0" r="0" b="0"/>
            <wp:docPr id="56454315" name="Picture 1" descr="Figure 9: A bar graph showing the average rate of fully immunised children at 5 years of age, 2018–19 to 2023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4315" name="Picture 1" descr="Figure 9: A bar graph showing the average rate of fully immunised children at 5 years of age, 2018–19 to 2023 24"/>
                    <pic:cNvPicPr/>
                  </pic:nvPicPr>
                  <pic:blipFill>
                    <a:blip r:embed="rId33"/>
                    <a:stretch>
                      <a:fillRect/>
                    </a:stretch>
                  </pic:blipFill>
                  <pic:spPr>
                    <a:xfrm>
                      <a:off x="0" y="0"/>
                      <a:ext cx="5200650" cy="2971800"/>
                    </a:xfrm>
                    <a:prstGeom prst="rect">
                      <a:avLst/>
                    </a:prstGeom>
                  </pic:spPr>
                </pic:pic>
              </a:graphicData>
            </a:graphic>
          </wp:inline>
        </w:drawing>
      </w:r>
    </w:p>
    <w:p w14:paraId="45EB5923" w14:textId="77777777" w:rsidR="00AC64FF" w:rsidRDefault="00AC64FF" w:rsidP="00C265BF"/>
    <w:p w14:paraId="51DE51B0" w14:textId="70AA2648" w:rsidR="00670C8B" w:rsidRDefault="00670C8B" w:rsidP="00E41EBF">
      <w:r>
        <w:t>Vaccination rates in regional areas typically show a lower rate over various PHN regions, with regional Western Australia and the Northern Territory having some of the lowest coverage rates. Western Australia experienced a 0.67 per</w:t>
      </w:r>
      <w:r w:rsidR="00B13EF2">
        <w:t>centage point</w:t>
      </w:r>
      <w:r>
        <w:t xml:space="preserve"> decrease in 2023–24 (from 93.31 per cent in 2022–23 to 92.64 per cent), and the Northern Territory has experienced a reduction in the 2023–24 period of just over two percent</w:t>
      </w:r>
      <w:r w:rsidR="00B13EF2">
        <w:t>age points</w:t>
      </w:r>
      <w:r>
        <w:t xml:space="preserve"> (from 93.7 per cent in 2022–23 to 91.4 per cent). No jurisdictions recorded an increase in rates for 2023–24.</w:t>
      </w:r>
    </w:p>
    <w:p w14:paraId="1728E6C1" w14:textId="61A79F0D" w:rsidR="005A0CF7" w:rsidRDefault="005A0CF7" w:rsidP="00E41EBF">
      <w:r>
        <w:t xml:space="preserve">While Australia continues to enjoy </w:t>
      </w:r>
      <w:r w:rsidR="00821BC3">
        <w:t xml:space="preserve">some of the strongest coverage rates in the world, </w:t>
      </w:r>
      <w:r w:rsidR="00DA2EC0">
        <w:t>t</w:t>
      </w:r>
      <w:r w:rsidR="00B11846">
        <w:t>he recently released National Immunisation Strategy for Australia 2025–2030</w:t>
      </w:r>
      <w:r w:rsidR="00B11846">
        <w:rPr>
          <w:rStyle w:val="FootnoteReference"/>
        </w:rPr>
        <w:footnoteReference w:id="27"/>
      </w:r>
      <w:r w:rsidR="00B11846">
        <w:t xml:space="preserve"> </w:t>
      </w:r>
      <w:r w:rsidR="00DA2EC0">
        <w:t xml:space="preserve">acknowledges the slow downward trend and identifies </w:t>
      </w:r>
      <w:r w:rsidR="00ED0732">
        <w:t xml:space="preserve">infants and children as a priority population for improving access to immunisation. </w:t>
      </w:r>
    </w:p>
    <w:p w14:paraId="70A43731" w14:textId="77777777" w:rsidR="008A34CD" w:rsidRDefault="008A34CD" w:rsidP="00C265BF"/>
    <w:p w14:paraId="2D92391C" w14:textId="3AE779CE" w:rsidR="008A34CD" w:rsidRPr="00C265BF" w:rsidRDefault="008A34CD" w:rsidP="008A34CD">
      <w:pPr>
        <w:pStyle w:val="Heading3"/>
      </w:pPr>
      <w:r>
        <w:t xml:space="preserve">PH2 – </w:t>
      </w:r>
      <w:r w:rsidRPr="00427467">
        <w:t xml:space="preserve">Cancer </w:t>
      </w:r>
      <w:r w:rsidR="00BE494A">
        <w:t>S</w:t>
      </w:r>
      <w:r w:rsidRPr="00427467">
        <w:t>creening</w:t>
      </w:r>
    </w:p>
    <w:p w14:paraId="48FFA965" w14:textId="4C6654A9" w:rsidR="00DF3E6A" w:rsidRDefault="008C2529" w:rsidP="00251603">
      <w:r>
        <w:t>Cancer screening can assist in finding cancer in its early stages, it can identify changes to cells before they become cancer</w:t>
      </w:r>
      <w:r w:rsidR="00AC2262">
        <w:t>ous</w:t>
      </w:r>
      <w:r>
        <w:t xml:space="preserve"> and may also identify infections that could cause cancer in the future</w:t>
      </w:r>
      <w:r w:rsidR="00A53E3D">
        <w:t xml:space="preserve">, such as </w:t>
      </w:r>
      <w:r w:rsidR="00A53E3D" w:rsidRPr="00A53E3D">
        <w:t>human papillomavirus (HPV)</w:t>
      </w:r>
      <w:r>
        <w:t>. The aim of cancer screening is to reduce the burden of cancer in the community, including the incidence, morbidity or mortality of the disease through early detection</w:t>
      </w:r>
      <w:r w:rsidR="00D04CE3">
        <w:t xml:space="preserve"> and intervention</w:t>
      </w:r>
      <w:r>
        <w:t xml:space="preserve">. </w:t>
      </w:r>
    </w:p>
    <w:p w14:paraId="751B479A" w14:textId="35BAD21F" w:rsidR="008A34CD" w:rsidRDefault="008C2529" w:rsidP="00251603">
      <w:r>
        <w:lastRenderedPageBreak/>
        <w:t xml:space="preserve">As with childhood immunisation targets, PHN performance is not assessed against screening rates in their regions. </w:t>
      </w:r>
      <w:r w:rsidR="00326571">
        <w:t xml:space="preserve">PHNs provide support to health care providers to understand and address population-based factors and to help to improve participation rates in screening programmes, particularly in regions with low participation. </w:t>
      </w:r>
    </w:p>
    <w:p w14:paraId="227D1B95" w14:textId="42D46501" w:rsidR="0067384F" w:rsidRDefault="00DB401A" w:rsidP="00251603">
      <w:bookmarkStart w:id="16" w:name="_Hlk214263229"/>
      <w:r>
        <w:t>Reporting for this indicator is limited by availability</w:t>
      </w:r>
      <w:r w:rsidR="00A46A5A">
        <w:t xml:space="preserve"> of data, with some data not being available until </w:t>
      </w:r>
      <w:proofErr w:type="spellStart"/>
      <w:r w:rsidR="00A46A5A">
        <w:t>some time</w:t>
      </w:r>
      <w:proofErr w:type="spellEnd"/>
      <w:r w:rsidR="00A46A5A">
        <w:t xml:space="preserve"> after the period </w:t>
      </w:r>
      <w:r w:rsidR="00D04CE3">
        <w:t xml:space="preserve">to which </w:t>
      </w:r>
      <w:r w:rsidR="00A46A5A">
        <w:t xml:space="preserve">it relates. </w:t>
      </w:r>
      <w:r w:rsidR="00F63FDC">
        <w:t>D</w:t>
      </w:r>
      <w:r w:rsidR="00A46A5A">
        <w:t xml:space="preserve">ata for bowel </w:t>
      </w:r>
      <w:r w:rsidR="006D7D52">
        <w:t xml:space="preserve">and breast </w:t>
      </w:r>
      <w:r w:rsidR="00F63FDC">
        <w:t xml:space="preserve">cancer screening is available inclusive of 2022–23 and </w:t>
      </w:r>
      <w:r w:rsidR="006D7D52">
        <w:t>c</w:t>
      </w:r>
      <w:r w:rsidR="00F369C0">
        <w:t xml:space="preserve">ervical screening data </w:t>
      </w:r>
      <w:r w:rsidR="00767E33">
        <w:t>is available for the 5-year period</w:t>
      </w:r>
      <w:r w:rsidR="002251EA">
        <w:t xml:space="preserve"> 2019–23</w:t>
      </w:r>
      <w:r w:rsidR="00767E33">
        <w:t xml:space="preserve">. </w:t>
      </w:r>
    </w:p>
    <w:bookmarkEnd w:id="16"/>
    <w:p w14:paraId="41A8F79E" w14:textId="5A91FC43" w:rsidR="0067384F" w:rsidRDefault="002417EF" w:rsidP="00251603">
      <w:r>
        <w:t xml:space="preserve">Bowel cancer screening </w:t>
      </w:r>
      <w:r w:rsidR="00CF7C57">
        <w:t>participation rates</w:t>
      </w:r>
      <w:r>
        <w:t xml:space="preserve"> for</w:t>
      </w:r>
      <w:r w:rsidR="005E570E">
        <w:t xml:space="preserve"> the target population (50–74 years of age)</w:t>
      </w:r>
      <w:r>
        <w:t xml:space="preserve"> </w:t>
      </w:r>
      <w:r w:rsidR="00CF7C57">
        <w:t>have continued at a similar rate to 202</w:t>
      </w:r>
      <w:r w:rsidR="005E570E">
        <w:t>0</w:t>
      </w:r>
      <w:r w:rsidR="00CF7C57">
        <w:t>–2</w:t>
      </w:r>
      <w:r w:rsidR="005E570E">
        <w:t>1</w:t>
      </w:r>
      <w:r w:rsidR="00CF7C57">
        <w:t xml:space="preserve"> (40.</w:t>
      </w:r>
      <w:r w:rsidR="002251EA">
        <w:t>1</w:t>
      </w:r>
      <w:r w:rsidR="00CF7C57">
        <w:t xml:space="preserve"> per cent) with a 3</w:t>
      </w:r>
      <w:r w:rsidR="002251EA">
        <w:t>9.3</w:t>
      </w:r>
      <w:r w:rsidR="00CF7C57">
        <w:t xml:space="preserve"> per cent participation rate in 202</w:t>
      </w:r>
      <w:r w:rsidR="005E570E">
        <w:t>1</w:t>
      </w:r>
      <w:r w:rsidR="00CF7C57">
        <w:t>–2</w:t>
      </w:r>
      <w:r w:rsidR="005E570E">
        <w:t>2</w:t>
      </w:r>
      <w:r w:rsidR="00CF7C57">
        <w:t>, increasing to 4</w:t>
      </w:r>
      <w:r w:rsidR="005E570E">
        <w:t>1.</w:t>
      </w:r>
      <w:r w:rsidR="002251EA">
        <w:t>7</w:t>
      </w:r>
      <w:r w:rsidR="00CF7C57">
        <w:t xml:space="preserve"> per cent in 202</w:t>
      </w:r>
      <w:r w:rsidR="005E570E">
        <w:t>2</w:t>
      </w:r>
      <w:r w:rsidR="00CF7C57">
        <w:t>–2</w:t>
      </w:r>
      <w:r w:rsidR="005E570E">
        <w:t>3</w:t>
      </w:r>
      <w:r w:rsidR="00CF7C57">
        <w:t xml:space="preserve">. Rates across metropolitan PHN regions have grown at a slightly higher rate than regional PHN areas, with the Northern Territory </w:t>
      </w:r>
      <w:r w:rsidR="00386B4D">
        <w:t>showing</w:t>
      </w:r>
      <w:r w:rsidR="00CF7C57">
        <w:t xml:space="preserve"> a significantly lower participation rate than states and the Australian Capital Territory. </w:t>
      </w:r>
    </w:p>
    <w:p w14:paraId="288ADF2A" w14:textId="77777777" w:rsidR="00CF7C57" w:rsidRDefault="00CF7C57" w:rsidP="00251603"/>
    <w:p w14:paraId="1BC198A9" w14:textId="7A8A195C" w:rsidR="00AF3A1B" w:rsidRDefault="00AF3A1B" w:rsidP="00AF3A1B">
      <w:pPr>
        <w:pStyle w:val="FigureTitle"/>
      </w:pPr>
      <w:r>
        <w:t>Figure 1</w:t>
      </w:r>
      <w:r w:rsidR="00865745">
        <w:t>0</w:t>
      </w:r>
      <w:r>
        <w:t>:</w:t>
      </w:r>
      <w:r w:rsidR="00381E5E">
        <w:t xml:space="preserve"> </w:t>
      </w:r>
      <w:r w:rsidR="00AC3701">
        <w:t>Bowel cancer screening rate as a proportion of target population, by PHN remoteness</w:t>
      </w:r>
      <w:r w:rsidR="00DF3875">
        <w:t>, 2014–15 to 2022–23</w:t>
      </w:r>
    </w:p>
    <w:p w14:paraId="54FFB178" w14:textId="2BCAA820" w:rsidR="000D11F8" w:rsidRPr="000D11F8" w:rsidRDefault="000D11F8" w:rsidP="000D11F8">
      <w:r w:rsidRPr="000D11F8">
        <w:rPr>
          <w:noProof/>
        </w:rPr>
        <w:drawing>
          <wp:inline distT="0" distB="0" distL="0" distR="0" wp14:anchorId="18A0AD64" wp14:editId="367734E4">
            <wp:extent cx="5200650" cy="2971800"/>
            <wp:effectExtent l="0" t="0" r="0" b="0"/>
            <wp:docPr id="722856009" name="Picture 1" descr="Figure 10: A line chart showing the bowel cancer screening rate as a proportion of target population, by PHN remoteness, 2014–15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56009" name="Picture 1" descr="Figure 10: A line chart showing the bowel cancer screening rate as a proportion of target population, by PHN remoteness, 2014–15 to 2022–23"/>
                    <pic:cNvPicPr/>
                  </pic:nvPicPr>
                  <pic:blipFill>
                    <a:blip r:embed="rId34"/>
                    <a:stretch>
                      <a:fillRect/>
                    </a:stretch>
                  </pic:blipFill>
                  <pic:spPr>
                    <a:xfrm>
                      <a:off x="0" y="0"/>
                      <a:ext cx="5200650" cy="2971800"/>
                    </a:xfrm>
                    <a:prstGeom prst="rect">
                      <a:avLst/>
                    </a:prstGeom>
                  </pic:spPr>
                </pic:pic>
              </a:graphicData>
            </a:graphic>
          </wp:inline>
        </w:drawing>
      </w:r>
    </w:p>
    <w:p w14:paraId="58E986C5" w14:textId="629E46B8" w:rsidR="00521637" w:rsidRPr="00521637" w:rsidRDefault="00521637" w:rsidP="00521637"/>
    <w:p w14:paraId="17F938A6" w14:textId="77777777" w:rsidR="007D7FDF" w:rsidRDefault="007D7FDF">
      <w:pPr>
        <w:spacing w:before="0" w:after="0" w:line="240" w:lineRule="auto"/>
        <w:rPr>
          <w:rFonts w:cs="Arial"/>
          <w:b/>
          <w:bCs/>
          <w:iCs/>
          <w:szCs w:val="22"/>
        </w:rPr>
      </w:pPr>
      <w:r>
        <w:br w:type="page"/>
      </w:r>
    </w:p>
    <w:p w14:paraId="2130D016" w14:textId="0B323230" w:rsidR="00AF3A1B" w:rsidRDefault="00AF3A1B" w:rsidP="00AF3A1B">
      <w:pPr>
        <w:pStyle w:val="FigureTitle"/>
      </w:pPr>
      <w:r>
        <w:lastRenderedPageBreak/>
        <w:t>Figure 1</w:t>
      </w:r>
      <w:r w:rsidR="00865745">
        <w:t>1</w:t>
      </w:r>
      <w:r>
        <w:t>:</w:t>
      </w:r>
      <w:r w:rsidR="00AC3701">
        <w:t xml:space="preserve"> Bowel cancer screening rate as a proportion of target population, by PHN state group</w:t>
      </w:r>
      <w:r w:rsidR="00DF3875">
        <w:t>, 2014–15 to 2022–23</w:t>
      </w:r>
    </w:p>
    <w:p w14:paraId="1153A882" w14:textId="4DCFED03" w:rsidR="00D04CE3" w:rsidRPr="00D04CE3" w:rsidRDefault="00D04CE3" w:rsidP="00D04CE3">
      <w:r w:rsidRPr="00D04CE3">
        <w:rPr>
          <w:noProof/>
        </w:rPr>
        <w:drawing>
          <wp:inline distT="0" distB="0" distL="0" distR="0" wp14:anchorId="3CC46AF3" wp14:editId="07B2AFFB">
            <wp:extent cx="5200650" cy="2971800"/>
            <wp:effectExtent l="0" t="0" r="0" b="0"/>
            <wp:docPr id="1427501851" name="Picture 1" descr="Figure 11: A line chart showing the bowel cancer screening rate as a proportion of target population, by PHN state group, 2014–15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01851" name="Picture 1" descr="Figure 11: A line chart showing the bowel cancer screening rate as a proportion of target population, by PHN state group, 2014–15 to 2022–23"/>
                    <pic:cNvPicPr/>
                  </pic:nvPicPr>
                  <pic:blipFill>
                    <a:blip r:embed="rId35"/>
                    <a:stretch>
                      <a:fillRect/>
                    </a:stretch>
                  </pic:blipFill>
                  <pic:spPr>
                    <a:xfrm>
                      <a:off x="0" y="0"/>
                      <a:ext cx="5200650" cy="2971800"/>
                    </a:xfrm>
                    <a:prstGeom prst="rect">
                      <a:avLst/>
                    </a:prstGeom>
                  </pic:spPr>
                </pic:pic>
              </a:graphicData>
            </a:graphic>
          </wp:inline>
        </w:drawing>
      </w:r>
    </w:p>
    <w:p w14:paraId="665D1E1C" w14:textId="77777777" w:rsidR="002417EF" w:rsidRDefault="002417EF" w:rsidP="00251603"/>
    <w:p w14:paraId="76E3016B" w14:textId="09326E82" w:rsidR="0067384F" w:rsidRDefault="0067158D" w:rsidP="00251603">
      <w:r>
        <w:t xml:space="preserve">Following relatively stable breast </w:t>
      </w:r>
      <w:r w:rsidR="00A53E3D">
        <w:t xml:space="preserve">cancer </w:t>
      </w:r>
      <w:r>
        <w:t>screening rates</w:t>
      </w:r>
      <w:r w:rsidR="00572815">
        <w:t xml:space="preserve"> for the target population (50–74 years of age)</w:t>
      </w:r>
      <w:r>
        <w:t xml:space="preserve"> from 2014–15 through to 2018–19</w:t>
      </w:r>
      <w:r w:rsidR="000A0A75">
        <w:t>,</w:t>
      </w:r>
      <w:r>
        <w:t xml:space="preserve"> at just under 55 per cent, screening rates have declined over recent years</w:t>
      </w:r>
      <w:r w:rsidR="000D77F6">
        <w:t xml:space="preserve">, with </w:t>
      </w:r>
      <w:r w:rsidR="00D97D41">
        <w:t xml:space="preserve">COVID-19 </w:t>
      </w:r>
      <w:r w:rsidR="000D77F6">
        <w:t>impacting participation rates and access to services</w:t>
      </w:r>
      <w:r>
        <w:t>.</w:t>
      </w:r>
      <w:r w:rsidR="00736C40">
        <w:rPr>
          <w:rStyle w:val="FootnoteReference"/>
        </w:rPr>
        <w:footnoteReference w:id="28"/>
      </w:r>
      <w:r>
        <w:t xml:space="preserve"> </w:t>
      </w:r>
      <w:r w:rsidR="004E692F">
        <w:t>An increase in screening rates in 2021–22 (</w:t>
      </w:r>
      <w:r w:rsidR="001C30D8">
        <w:t>49.5</w:t>
      </w:r>
      <w:r w:rsidR="004E692F">
        <w:t xml:space="preserve"> per cent) and 2022–23 (51.</w:t>
      </w:r>
      <w:r w:rsidR="001C30D8">
        <w:t>2</w:t>
      </w:r>
      <w:r w:rsidR="004E692F">
        <w:t xml:space="preserve"> per cent), while still lower than pre-COVID-19 rates, shows an upward trend in screening. </w:t>
      </w:r>
    </w:p>
    <w:p w14:paraId="6DEF0F19" w14:textId="77777777" w:rsidR="000D11F8" w:rsidRDefault="000D11F8" w:rsidP="00251603"/>
    <w:p w14:paraId="4DD81F4C" w14:textId="232BD0C5" w:rsidR="000D11F8" w:rsidRDefault="000D11F8" w:rsidP="00501A1E">
      <w:pPr>
        <w:pStyle w:val="FigureTitle"/>
        <w:keepNext/>
      </w:pPr>
      <w:r>
        <w:lastRenderedPageBreak/>
        <w:t>Figure 1</w:t>
      </w:r>
      <w:r w:rsidR="00865745">
        <w:t>2</w:t>
      </w:r>
      <w:r>
        <w:t xml:space="preserve">: </w:t>
      </w:r>
      <w:r w:rsidR="004E692F">
        <w:t>Breast cancer screening rate as a proportion of target population</w:t>
      </w:r>
      <w:r w:rsidR="00DF3875">
        <w:t xml:space="preserve">, </w:t>
      </w:r>
      <w:r w:rsidR="00B509DB">
        <w:t xml:space="preserve">age-standardised, </w:t>
      </w:r>
      <w:r w:rsidR="00DF3875">
        <w:t>2014–15 to 2022–23</w:t>
      </w:r>
      <w:r w:rsidR="004E692F">
        <w:rPr>
          <w:rStyle w:val="FootnoteReference"/>
        </w:rPr>
        <w:footnoteReference w:id="29"/>
      </w:r>
    </w:p>
    <w:p w14:paraId="46CB4627" w14:textId="1B6A1B36" w:rsidR="00000AE7" w:rsidRDefault="00000AE7" w:rsidP="00000AE7">
      <w:r w:rsidRPr="00000AE7">
        <w:rPr>
          <w:noProof/>
        </w:rPr>
        <w:drawing>
          <wp:inline distT="0" distB="0" distL="0" distR="0" wp14:anchorId="50A2AAA7" wp14:editId="3AE9B84F">
            <wp:extent cx="5210175" cy="2981325"/>
            <wp:effectExtent l="0" t="0" r="9525" b="9525"/>
            <wp:docPr id="1082686320" name="Picture 1" descr="Figure 12: A bar graph showing the breast cancer screening rate as a proportion of target population, age-standardised, 2014–15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86320" name="Picture 1" descr="Figure 12: A bar graph showing the breast cancer screening rate as a proportion of target population, age-standardised, 2014–15 to 2022–23"/>
                    <pic:cNvPicPr/>
                  </pic:nvPicPr>
                  <pic:blipFill>
                    <a:blip r:embed="rId36"/>
                    <a:stretch>
                      <a:fillRect/>
                    </a:stretch>
                  </pic:blipFill>
                  <pic:spPr>
                    <a:xfrm>
                      <a:off x="0" y="0"/>
                      <a:ext cx="5210175" cy="2981325"/>
                    </a:xfrm>
                    <a:prstGeom prst="rect">
                      <a:avLst/>
                    </a:prstGeom>
                  </pic:spPr>
                </pic:pic>
              </a:graphicData>
            </a:graphic>
          </wp:inline>
        </w:drawing>
      </w:r>
    </w:p>
    <w:p w14:paraId="5A4AA651" w14:textId="77777777" w:rsidR="00000AE7" w:rsidRPr="00000AE7" w:rsidRDefault="00000AE7" w:rsidP="00000AE7"/>
    <w:p w14:paraId="608320EB" w14:textId="0887F4A8" w:rsidR="000E41FC" w:rsidRDefault="000E41FC" w:rsidP="00251603">
      <w:r w:rsidRPr="00AC2916">
        <w:t xml:space="preserve">Screening rates continue to be slightly higher in regional areas, at </w:t>
      </w:r>
      <w:r w:rsidR="00691E81" w:rsidRPr="00AC2916">
        <w:t>5</w:t>
      </w:r>
      <w:r w:rsidR="00AC2916" w:rsidRPr="00AC2916">
        <w:t>2.2</w:t>
      </w:r>
      <w:r w:rsidRPr="00AC2916">
        <w:t xml:space="preserve"> per cent in 2021–22 compared to 48 per cent for metropolitan areas, providing similar results to 2019–20 for metropolitan areas</w:t>
      </w:r>
      <w:r w:rsidR="00370C6C" w:rsidRPr="00AC2916">
        <w:t>,</w:t>
      </w:r>
      <w:r w:rsidRPr="00AC2916">
        <w:t xml:space="preserve"> but a slight decrease from </w:t>
      </w:r>
      <w:r w:rsidR="00691E81" w:rsidRPr="00AC2916">
        <w:t>5</w:t>
      </w:r>
      <w:r w:rsidR="00AC2916" w:rsidRPr="00AC2916">
        <w:t>3.1</w:t>
      </w:r>
      <w:r w:rsidRPr="00AC2916">
        <w:t xml:space="preserve"> per cent in 2019–20 for regional areas. At a state and territory level, there has been a balance of increases and decreases, with the Northern Territory recording the lowest screening rate in 2021–22 of 33.9</w:t>
      </w:r>
      <w:r w:rsidR="00645A9C" w:rsidRPr="00AC2916">
        <w:t> </w:t>
      </w:r>
      <w:r w:rsidRPr="00AC2916">
        <w:t>per cent, a decrease from 36.4 per cent in 2019–20.</w:t>
      </w:r>
      <w:r w:rsidR="004E692F" w:rsidRPr="00AC2916">
        <w:rPr>
          <w:rStyle w:val="FootnoteReference"/>
        </w:rPr>
        <w:footnoteReference w:id="30"/>
      </w:r>
    </w:p>
    <w:p w14:paraId="4CE19F10" w14:textId="1DC660AC" w:rsidR="00035576" w:rsidRDefault="00F82256" w:rsidP="00251603">
      <w:r>
        <w:t>The collection and reporting of c</w:t>
      </w:r>
      <w:r w:rsidR="00A46A5A">
        <w:t>ervical screening</w:t>
      </w:r>
      <w:r>
        <w:t xml:space="preserve"> </w:t>
      </w:r>
      <w:r w:rsidR="00035576">
        <w:t xml:space="preserve">data is </w:t>
      </w:r>
      <w:r w:rsidR="00035576" w:rsidRPr="00035576">
        <w:t>provided across a five</w:t>
      </w:r>
      <w:r w:rsidR="00AB458F">
        <w:t>-</w:t>
      </w:r>
      <w:r w:rsidR="00035576" w:rsidRPr="00035576">
        <w:t>year period, corresponding with testing recommendations</w:t>
      </w:r>
      <w:r w:rsidR="00035576">
        <w:t>,</w:t>
      </w:r>
      <w:r>
        <w:t xml:space="preserve"> rather than as an annual rate of participation</w:t>
      </w:r>
      <w:r w:rsidR="00FE78AF">
        <w:rPr>
          <w:rStyle w:val="FootnoteReference"/>
        </w:rPr>
        <w:footnoteReference w:id="31"/>
      </w:r>
      <w:r>
        <w:t>.</w:t>
      </w:r>
      <w:r w:rsidR="00035576">
        <w:t xml:space="preserve"> As a result, the presentation of annual trends in screening participation for this report is </w:t>
      </w:r>
      <w:r w:rsidR="00F369C0">
        <w:t>limited</w:t>
      </w:r>
      <w:r w:rsidR="00035576">
        <w:t xml:space="preserve">. </w:t>
      </w:r>
    </w:p>
    <w:p w14:paraId="0F6D7D6F" w14:textId="4BA160D7" w:rsidR="009D5389" w:rsidRDefault="00645A9C" w:rsidP="00251603">
      <w:r>
        <w:t>Age-adjusted p</w:t>
      </w:r>
      <w:r w:rsidR="00035576">
        <w:t>articipation in cervical screening for the target population (25–74 years of age) for the 2019–23 period</w:t>
      </w:r>
      <w:r>
        <w:t xml:space="preserve"> was 63.5 per cent, down from 68.6 per cent for 2018–22</w:t>
      </w:r>
      <w:r w:rsidR="00F369C0">
        <w:t>,</w:t>
      </w:r>
      <w:r>
        <w:rPr>
          <w:rStyle w:val="FootnoteReference"/>
        </w:rPr>
        <w:footnoteReference w:id="32"/>
      </w:r>
      <w:r>
        <w:t xml:space="preserve"> </w:t>
      </w:r>
      <w:r w:rsidR="00F369C0">
        <w:t>although participation in 2023 when compared to 2021 and 2022 is higher.</w:t>
      </w:r>
      <w:r w:rsidR="00F369C0">
        <w:rPr>
          <w:rStyle w:val="FootnoteReference"/>
        </w:rPr>
        <w:footnoteReference w:id="33"/>
      </w:r>
      <w:r w:rsidR="00F369C0">
        <w:t xml:space="preserve"> </w:t>
      </w:r>
      <w:r w:rsidR="00AB458F">
        <w:t>For</w:t>
      </w:r>
      <w:r>
        <w:t xml:space="preserve"> the two </w:t>
      </w:r>
      <w:r w:rsidR="00AB458F">
        <w:t>five</w:t>
      </w:r>
      <w:r w:rsidR="00F369C0">
        <w:t xml:space="preserve">-year </w:t>
      </w:r>
      <w:r>
        <w:t xml:space="preserve">periods </w:t>
      </w:r>
      <w:r w:rsidR="00F369C0">
        <w:t>for which PHN-</w:t>
      </w:r>
      <w:r w:rsidR="00AB458F">
        <w:t>region</w:t>
      </w:r>
      <w:r w:rsidR="00F369C0">
        <w:t xml:space="preserve"> data is available, </w:t>
      </w:r>
      <w:r>
        <w:t>almost all PHN</w:t>
      </w:r>
      <w:r w:rsidR="00AB458F">
        <w:t>s</w:t>
      </w:r>
      <w:r>
        <w:t xml:space="preserve"> </w:t>
      </w:r>
      <w:r w:rsidR="00211A56">
        <w:t>experienced</w:t>
      </w:r>
      <w:r>
        <w:t xml:space="preserve"> a decrease in screening for the target population</w:t>
      </w:r>
      <w:r w:rsidR="00AB458F">
        <w:t xml:space="preserve"> from the 2018–22 to the 2019–23 period</w:t>
      </w:r>
      <w:r w:rsidR="00F369C0">
        <w:t xml:space="preserve">. </w:t>
      </w:r>
    </w:p>
    <w:p w14:paraId="2A1CD1B6" w14:textId="77777777" w:rsidR="00F369C0" w:rsidRDefault="00F369C0" w:rsidP="00251603"/>
    <w:p w14:paraId="41FDC068" w14:textId="78F259ED" w:rsidR="00326571" w:rsidRDefault="00FD3CC7" w:rsidP="00FD3CC7">
      <w:pPr>
        <w:pStyle w:val="Heading3"/>
      </w:pPr>
      <w:r>
        <w:lastRenderedPageBreak/>
        <w:t>W1 –</w:t>
      </w:r>
      <w:r w:rsidR="00320208">
        <w:t xml:space="preserve"> </w:t>
      </w:r>
      <w:r w:rsidR="00DE42E9">
        <w:t xml:space="preserve">Alcohol and </w:t>
      </w:r>
      <w:r w:rsidR="00BE494A">
        <w:t>O</w:t>
      </w:r>
      <w:r w:rsidR="00DE42E9">
        <w:t xml:space="preserve">ther </w:t>
      </w:r>
      <w:r w:rsidR="00BE494A">
        <w:t>D</w:t>
      </w:r>
      <w:r w:rsidR="00DE42E9">
        <w:t xml:space="preserve">rug </w:t>
      </w:r>
      <w:r w:rsidR="00BE494A">
        <w:t>S</w:t>
      </w:r>
      <w:r w:rsidR="00DE42E9">
        <w:t>ervices</w:t>
      </w:r>
      <w:r w:rsidR="00320208">
        <w:t xml:space="preserve"> </w:t>
      </w:r>
      <w:r w:rsidR="004453B3">
        <w:t>–</w:t>
      </w:r>
      <w:r w:rsidR="00320208">
        <w:t xml:space="preserve"> Accreditation</w:t>
      </w:r>
    </w:p>
    <w:p w14:paraId="312A09CF" w14:textId="77777777" w:rsidR="0036592D" w:rsidRDefault="009841A3" w:rsidP="00251603">
      <w:r>
        <w:t>Alcohol and drug treatment services are provided by a variety of organisations in Australia, with a</w:t>
      </w:r>
      <w:r w:rsidR="00357B2D">
        <w:t xml:space="preserve">ccreditation of service providers </w:t>
      </w:r>
      <w:r>
        <w:t>helping to ensure that delivered services are safe, professional and appropriate. PHN</w:t>
      </w:r>
      <w:r w:rsidR="003277DF">
        <w:t>s</w:t>
      </w:r>
      <w:r>
        <w:t xml:space="preserve"> are required to maintain accreditation details of commissioned service providers for their region, with the expectation that service providers are accredited or working towards accreditation. </w:t>
      </w:r>
    </w:p>
    <w:p w14:paraId="1FAFC66A" w14:textId="42BE8C63" w:rsidR="00735BF2" w:rsidRDefault="009841A3" w:rsidP="00251603">
      <w:r>
        <w:t>Across all PHN</w:t>
      </w:r>
      <w:r w:rsidR="0036592D">
        <w:t>s</w:t>
      </w:r>
      <w:r w:rsidR="00E661D8">
        <w:t xml:space="preserve">, one noted </w:t>
      </w:r>
      <w:r w:rsidR="00CA37F4">
        <w:t>an accreditation rate of less than 100%</w:t>
      </w:r>
      <w:r w:rsidR="004955A3">
        <w:t xml:space="preserve"> in 2022</w:t>
      </w:r>
      <w:r w:rsidR="00E55CD8">
        <w:t>–</w:t>
      </w:r>
      <w:r w:rsidR="004955A3">
        <w:t>23</w:t>
      </w:r>
      <w:r w:rsidR="00CA37F4">
        <w:t xml:space="preserve">, reporting that two of their </w:t>
      </w:r>
      <w:r w:rsidR="004955A3">
        <w:t>six</w:t>
      </w:r>
      <w:r>
        <w:t xml:space="preserve"> providers</w:t>
      </w:r>
      <w:r w:rsidR="00BA77B6">
        <w:t xml:space="preserve"> were not yet accredited.</w:t>
      </w:r>
      <w:r w:rsidR="0020272D">
        <w:t xml:space="preserve"> </w:t>
      </w:r>
      <w:r w:rsidR="00D53904">
        <w:t>This was resolved in 2023</w:t>
      </w:r>
      <w:r w:rsidR="00E55CD8">
        <w:t>–</w:t>
      </w:r>
      <w:r w:rsidR="00D53904">
        <w:t xml:space="preserve">24, </w:t>
      </w:r>
      <w:r w:rsidR="0020272D">
        <w:t xml:space="preserve">with all commissioned providers </w:t>
      </w:r>
      <w:r w:rsidR="00D3549B">
        <w:t xml:space="preserve">for all PHNs </w:t>
      </w:r>
      <w:r w:rsidR="0020272D">
        <w:t xml:space="preserve">reported as being accredited. </w:t>
      </w:r>
    </w:p>
    <w:p w14:paraId="47BEA3BA" w14:textId="77777777" w:rsidR="005A2133" w:rsidRDefault="005A2133" w:rsidP="00251603"/>
    <w:p w14:paraId="48B49A63" w14:textId="544CB943" w:rsidR="00735BF2" w:rsidRDefault="00735BF2" w:rsidP="00735BF2">
      <w:pPr>
        <w:pStyle w:val="Heading3"/>
      </w:pPr>
      <w:r>
        <w:t xml:space="preserve">W2 – </w:t>
      </w:r>
      <w:r w:rsidR="00320208">
        <w:t>A</w:t>
      </w:r>
      <w:r w:rsidR="00DE42E9">
        <w:t xml:space="preserve">lcohol and </w:t>
      </w:r>
      <w:r w:rsidR="00BE494A">
        <w:t>O</w:t>
      </w:r>
      <w:r w:rsidR="00DE42E9">
        <w:t>ther</w:t>
      </w:r>
      <w:r w:rsidRPr="00427467">
        <w:t xml:space="preserve"> </w:t>
      </w:r>
      <w:r w:rsidR="00BE494A">
        <w:t>D</w:t>
      </w:r>
      <w:r w:rsidRPr="00427467">
        <w:t xml:space="preserve">rug </w:t>
      </w:r>
      <w:r w:rsidR="00320208">
        <w:t xml:space="preserve">– </w:t>
      </w:r>
      <w:r w:rsidR="00BE494A">
        <w:t>H</w:t>
      </w:r>
      <w:r w:rsidRPr="00427467">
        <w:t xml:space="preserve">ealth </w:t>
      </w:r>
      <w:r w:rsidR="00BE494A">
        <w:t>P</w:t>
      </w:r>
      <w:r w:rsidRPr="00427467">
        <w:t>rofessionals</w:t>
      </w:r>
    </w:p>
    <w:p w14:paraId="64E673CE" w14:textId="4710B663" w:rsidR="008C2529" w:rsidRDefault="00735BF2" w:rsidP="001D4A71">
      <w:r>
        <w:t xml:space="preserve">PHNs support service providers in the provision of drug and alcohol treatment services, including through training and education and the promotion of quality improvement in services provided. PHNs are required to provide </w:t>
      </w:r>
      <w:r w:rsidR="0020272D">
        <w:t>details of completed training for the reporting period</w:t>
      </w:r>
      <w:r w:rsidR="00D3549B">
        <w:t>.</w:t>
      </w:r>
    </w:p>
    <w:p w14:paraId="7B737362" w14:textId="53A51D03" w:rsidR="001D4A71" w:rsidRDefault="001D4A71" w:rsidP="001D4A71">
      <w:r>
        <w:t xml:space="preserve">The </w:t>
      </w:r>
      <w:r w:rsidR="003277DF">
        <w:t>number</w:t>
      </w:r>
      <w:r>
        <w:t xml:space="preserve"> of PHNs assessed as meeting this indicator has reduced from the </w:t>
      </w:r>
      <w:r w:rsidR="001604B6">
        <w:t xml:space="preserve">previous </w:t>
      </w:r>
      <w:r>
        <w:t>report for the 2021–22 reporting period (27 PHNs) to 24 PHNs in 2022–23 and 26 PHNs in 2023–24. For 2022–23</w:t>
      </w:r>
      <w:r w:rsidR="000F0A61">
        <w:t>,</w:t>
      </w:r>
      <w:r>
        <w:t xml:space="preserve"> six PHNs have fail</w:t>
      </w:r>
      <w:r w:rsidR="00AC2262">
        <w:t>ed</w:t>
      </w:r>
      <w:r>
        <w:t xml:space="preserve"> to provide details of training provided, </w:t>
      </w:r>
      <w:r w:rsidR="000F0A61">
        <w:t>and one PHN advis</w:t>
      </w:r>
      <w:r w:rsidR="003277DF">
        <w:t>ed</w:t>
      </w:r>
      <w:r w:rsidR="000F0A61">
        <w:t xml:space="preserve"> that delivery of training activity was not fully realised due to lack of uptake of the options provided. For 2023–24, three PHNs have been noted as failing to provide details of training provided, one PHN experienced delays in the commissioning of services, and </w:t>
      </w:r>
      <w:r>
        <w:t>one PHN advis</w:t>
      </w:r>
      <w:r w:rsidR="000F0A61">
        <w:t>ed</w:t>
      </w:r>
      <w:r>
        <w:t xml:space="preserve"> that funding was directed to service</w:t>
      </w:r>
      <w:r w:rsidR="00B878B0">
        <w:t xml:space="preserve"> delivery rather than training</w:t>
      </w:r>
      <w:r w:rsidR="002D679A">
        <w:t xml:space="preserve">, as is </w:t>
      </w:r>
      <w:r w:rsidR="00AD1ADB">
        <w:t xml:space="preserve">permitted </w:t>
      </w:r>
      <w:r w:rsidR="002D679A">
        <w:t xml:space="preserve">under </w:t>
      </w:r>
      <w:r w:rsidR="00AD1ADB">
        <w:t>the Schedule</w:t>
      </w:r>
      <w:r>
        <w:t xml:space="preserve">. </w:t>
      </w:r>
    </w:p>
    <w:p w14:paraId="072C70C2" w14:textId="77777777" w:rsidR="00D3549B" w:rsidRDefault="00D3549B" w:rsidP="00251603"/>
    <w:p w14:paraId="0AA60750" w14:textId="6E5BAB28" w:rsidR="0020272D" w:rsidRDefault="00D3549B" w:rsidP="00D3549B">
      <w:pPr>
        <w:pStyle w:val="Heading3"/>
      </w:pPr>
      <w:r>
        <w:t>DH2 –</w:t>
      </w:r>
      <w:r w:rsidR="00320208">
        <w:t xml:space="preserve"> D</w:t>
      </w:r>
      <w:r w:rsidRPr="00427467">
        <w:t xml:space="preserve">igital </w:t>
      </w:r>
      <w:r w:rsidR="00BE494A">
        <w:t>H</w:t>
      </w:r>
      <w:r w:rsidRPr="00427467">
        <w:t xml:space="preserve">ealth </w:t>
      </w:r>
      <w:r w:rsidR="00BE494A">
        <w:t>S</w:t>
      </w:r>
      <w:r w:rsidRPr="00427467">
        <w:t>ystems</w:t>
      </w:r>
    </w:p>
    <w:p w14:paraId="6BD910A3" w14:textId="2FA158C2" w:rsidR="00D3549B" w:rsidRDefault="00977A89" w:rsidP="00D3549B">
      <w:r>
        <w:t>The adoption and use of digital health systems</w:t>
      </w:r>
      <w:r w:rsidR="00917FC4">
        <w:t xml:space="preserve"> </w:t>
      </w:r>
      <w:r w:rsidR="00037030">
        <w:t xml:space="preserve">is an important component of a modern and accessible health care system that will meet the needs of all Australians. Support from PHNs in the uptake of digital systems by health care providers </w:t>
      </w:r>
      <w:r w:rsidR="006341C2">
        <w:t xml:space="preserve">helps connect patients with relevant services safely and securely. </w:t>
      </w:r>
      <w:r w:rsidR="00692EC1">
        <w:t xml:space="preserve">PHNs </w:t>
      </w:r>
      <w:r w:rsidR="005B3252">
        <w:t xml:space="preserve">currently </w:t>
      </w:r>
      <w:r w:rsidR="002D1E7C">
        <w:t xml:space="preserve">report on the number of providers using digital health systems and are assessed on whether the rate of providers has increased during the reporting period. </w:t>
      </w:r>
    </w:p>
    <w:p w14:paraId="6CAF2F01" w14:textId="13BD52B8" w:rsidR="00CF1285" w:rsidRDefault="00C95C60" w:rsidP="00D3549B">
      <w:r>
        <w:t>For the 2022–23 reporting period 27 PHNs were assessed as meeting the requirements of this indicator, a small decrease from 2021–22 (28 PHNs). For 2023–24 the rate has further decreased to 2</w:t>
      </w:r>
      <w:r w:rsidR="005A3454">
        <w:t>5</w:t>
      </w:r>
      <w:r>
        <w:t xml:space="preserve"> PHNs. </w:t>
      </w:r>
    </w:p>
    <w:p w14:paraId="7A6B1CF6" w14:textId="5EDC3F44" w:rsidR="00FA0A27" w:rsidRPr="003277DF" w:rsidRDefault="00FA0A27" w:rsidP="00FA0A27">
      <w:pPr>
        <w:rPr>
          <w:b/>
          <w:bCs/>
        </w:rPr>
      </w:pPr>
      <w:r>
        <w:t>Due to ambiguity in reporting requirements for this indicator</w:t>
      </w:r>
      <w:r w:rsidR="005B3252">
        <w:t xml:space="preserve"> as well as the changes in technology and the primary health care system over recent years</w:t>
      </w:r>
      <w:r>
        <w:t xml:space="preserve"> there are limitations on </w:t>
      </w:r>
      <w:r w:rsidR="005B3252">
        <w:t xml:space="preserve">meaningful </w:t>
      </w:r>
      <w:r>
        <w:t>assessment of PHN performance</w:t>
      </w:r>
      <w:r w:rsidR="005B3252">
        <w:t xml:space="preserve"> for this indicator</w:t>
      </w:r>
      <w:r>
        <w:t>. While assessment for the two reporting periods is based on use of digital health systems by general practices to determine the ongoing uptake of electronic resources, not all PHNs have reported against all formats. Further, several PHNs have also not reported on use of digital health systems by pharmacy or allied health</w:t>
      </w:r>
      <w:r w:rsidR="005B3252">
        <w:t xml:space="preserve"> professionals</w:t>
      </w:r>
      <w:r>
        <w:t xml:space="preserve">. The most reported format for digital health was for general </w:t>
      </w:r>
      <w:r>
        <w:lastRenderedPageBreak/>
        <w:t xml:space="preserve">practice telehealth services, </w:t>
      </w:r>
      <w:r w:rsidR="005B3252">
        <w:t>which is now a common service offering</w:t>
      </w:r>
      <w:r>
        <w:t xml:space="preserve">. </w:t>
      </w:r>
      <w:r w:rsidR="003277DF">
        <w:t>Given the limitations indicated, meaningful reporting on the rate of use of digital health systems is not possible.</w:t>
      </w:r>
      <w:r w:rsidR="003159E6">
        <w:t xml:space="preserve"> </w:t>
      </w:r>
      <w:r w:rsidR="005B3252">
        <w:t>This indicator will be retired from reporting, with more useful measurement of the use of online health resources</w:t>
      </w:r>
      <w:r w:rsidR="009829F7">
        <w:t xml:space="preserve"> planned in the future</w:t>
      </w:r>
      <w:r w:rsidR="005B3252">
        <w:t xml:space="preserve">. </w:t>
      </w:r>
    </w:p>
    <w:p w14:paraId="7617642E" w14:textId="77777777" w:rsidR="00FA0A27" w:rsidRDefault="00FA0A27" w:rsidP="00D3549B"/>
    <w:p w14:paraId="74EACD26" w14:textId="290F5F6A" w:rsidR="002D1E7C" w:rsidRDefault="002D1E7C" w:rsidP="002D1E7C">
      <w:pPr>
        <w:pStyle w:val="Heading3"/>
      </w:pPr>
      <w:r>
        <w:t xml:space="preserve">DH3 – </w:t>
      </w:r>
      <w:r w:rsidR="000E3903">
        <w:t xml:space="preserve">Data </w:t>
      </w:r>
      <w:r w:rsidR="00BE494A">
        <w:t>S</w:t>
      </w:r>
      <w:r w:rsidR="000E3903">
        <w:t xml:space="preserve">haring </w:t>
      </w:r>
      <w:r w:rsidR="00320208">
        <w:t>–</w:t>
      </w:r>
      <w:r w:rsidR="000E3903">
        <w:t xml:space="preserve"> A</w:t>
      </w:r>
      <w:r w:rsidRPr="00427467">
        <w:t xml:space="preserve">ccredited </w:t>
      </w:r>
      <w:r w:rsidR="00BE494A">
        <w:t>G</w:t>
      </w:r>
      <w:r w:rsidRPr="00427467">
        <w:t xml:space="preserve">eneral </w:t>
      </w:r>
      <w:r w:rsidR="00BE494A">
        <w:t>P</w:t>
      </w:r>
      <w:r w:rsidRPr="00427467">
        <w:t>ractices</w:t>
      </w:r>
    </w:p>
    <w:p w14:paraId="4E87A40B" w14:textId="691E597A" w:rsidR="002D1E7C" w:rsidRDefault="002D1E7C" w:rsidP="002D1E7C">
      <w:r>
        <w:t xml:space="preserve">The sharing of de-identified patient data with PHNs by general practices is intended to improve the quality of </w:t>
      </w:r>
      <w:r w:rsidR="003340F6">
        <w:t xml:space="preserve">care </w:t>
      </w:r>
      <w:r>
        <w:t>and the experience of patients</w:t>
      </w:r>
      <w:r w:rsidR="003340F6">
        <w:t xml:space="preserve"> in their regions. Through a broader view and analysis of general practice services being provided PHNs </w:t>
      </w:r>
      <w:r w:rsidR="00833390">
        <w:t>can</w:t>
      </w:r>
      <w:r w:rsidR="003340F6">
        <w:t xml:space="preserve"> assist practices in understanding the needs of their community. PHNs work with general practices in their regions to increase the amount of data being shared, reported as</w:t>
      </w:r>
      <w:r w:rsidR="00F504E6">
        <w:t xml:space="preserve"> the total rate of </w:t>
      </w:r>
      <w:r w:rsidR="002A4DB0">
        <w:t xml:space="preserve">accredited </w:t>
      </w:r>
      <w:r w:rsidR="00F504E6">
        <w:t xml:space="preserve">general practices sharing data with their local PHN. PHNs are </w:t>
      </w:r>
      <w:r w:rsidR="00D71E0E">
        <w:t>assessed</w:t>
      </w:r>
      <w:r w:rsidR="00F504E6">
        <w:t xml:space="preserve"> on the increase or maintenance of the rate of data sharing. </w:t>
      </w:r>
    </w:p>
    <w:p w14:paraId="01B21F11" w14:textId="531A124E" w:rsidR="002A4DB0" w:rsidRDefault="002A4DB0" w:rsidP="002D1E7C">
      <w:r>
        <w:t xml:space="preserve">The </w:t>
      </w:r>
      <w:r w:rsidR="008C3EAC">
        <w:t>number of PHNs assessed as meeting this indicator grew slightly in 202</w:t>
      </w:r>
      <w:r w:rsidR="00B878B0">
        <w:t>2</w:t>
      </w:r>
      <w:r w:rsidR="008C3EAC">
        <w:t>–23, from 24 </w:t>
      </w:r>
      <w:r w:rsidR="00C641B9">
        <w:t xml:space="preserve">of 31 </w:t>
      </w:r>
      <w:r w:rsidR="008C3EAC">
        <w:t xml:space="preserve">PHNs in 2021–22 to 25 PHNs before a decrease in 2023–24 to 22 PHNs. </w:t>
      </w:r>
      <w:r w:rsidR="007E639B">
        <w:t>Assessment of performance does not consider increases in the number of accredited general practices for the PHN region</w:t>
      </w:r>
      <w:r w:rsidR="00242F8B">
        <w:t xml:space="preserve">. </w:t>
      </w:r>
    </w:p>
    <w:p w14:paraId="182CA35C" w14:textId="77777777" w:rsidR="00F504E6" w:rsidRDefault="00F504E6" w:rsidP="002D1E7C"/>
    <w:p w14:paraId="3F77238F" w14:textId="3AF70C63" w:rsidR="002D1E7C" w:rsidRPr="002D1E7C" w:rsidRDefault="00D5165B" w:rsidP="00D5165B">
      <w:pPr>
        <w:pStyle w:val="Heading3"/>
      </w:pPr>
      <w:r>
        <w:t>Conclusion</w:t>
      </w:r>
    </w:p>
    <w:p w14:paraId="6448DBDE" w14:textId="066F1B0F" w:rsidR="00D5165B" w:rsidRDefault="00D5165B" w:rsidP="00D5165B">
      <w:r>
        <w:t xml:space="preserve">Reporting on the delivery of high quality, culturally </w:t>
      </w:r>
      <w:r w:rsidR="003277DF">
        <w:t>safe</w:t>
      </w:r>
      <w:r>
        <w:t xml:space="preserve"> health care indicates PHNs have met performance requirements for this outcome theme. Accreditation rates for general practices have increased and PHNs have continued to provide relevant support to general practices and other health care providers. The recording of mental health outcomes by service providers and reporting of training by PHNs for alcohol and other drug services show mixed results, with a decrease reported for some PHNs and a small number of PHNs not providing the required information. All alcohol and other drug service providers were reported as being accredited. </w:t>
      </w:r>
    </w:p>
    <w:p w14:paraId="5A27BF0F" w14:textId="3B8C03D7" w:rsidR="00D5165B" w:rsidRDefault="00D5165B" w:rsidP="00D5165B">
      <w:r>
        <w:t xml:space="preserve">Overall, there has been an increase in the provision of culturally </w:t>
      </w:r>
      <w:r w:rsidR="001E6EBC">
        <w:t>safe</w:t>
      </w:r>
      <w:r>
        <w:t xml:space="preserve"> services for Aboriginal and Torres Strait </w:t>
      </w:r>
      <w:r w:rsidR="003614E3">
        <w:t>I</w:t>
      </w:r>
      <w:r>
        <w:t xml:space="preserve">slander people, as well as ongoing support activities for Aboriginal and Torres Strait Islander people in the health workforce. </w:t>
      </w:r>
    </w:p>
    <w:p w14:paraId="41D977B8" w14:textId="41B4651F" w:rsidR="00D5165B" w:rsidRDefault="00D5165B" w:rsidP="00D5165B">
      <w:r>
        <w:t>Reporting on regular uploads to My Health Record and use of digital health tools and systems has been affected by unclear reporting requirements, however it is evident</w:t>
      </w:r>
      <w:r w:rsidR="006D094C">
        <w:t xml:space="preserve"> from the data available</w:t>
      </w:r>
      <w:r>
        <w:t xml:space="preserve"> that PHNs are continuing to promote the benefits of the use of technology in supporting quality care. </w:t>
      </w:r>
    </w:p>
    <w:p w14:paraId="01EF962E" w14:textId="6EDCCCE6" w:rsidR="00501A1E" w:rsidRDefault="00501A1E">
      <w:pPr>
        <w:spacing w:before="0" w:after="0" w:line="240" w:lineRule="auto"/>
        <w:rPr>
          <w:sz w:val="21"/>
          <w:lang w:val="en-GB"/>
        </w:rPr>
      </w:pPr>
      <w:r>
        <w:rPr>
          <w:lang w:val="en-GB"/>
        </w:rPr>
        <w:br w:type="page"/>
      </w:r>
    </w:p>
    <w:p w14:paraId="5F611D57" w14:textId="77777777" w:rsidR="00B76981" w:rsidRDefault="00B76981" w:rsidP="00402795">
      <w:pPr>
        <w:pStyle w:val="Heading2"/>
        <w:rPr>
          <w:lang w:val="en-GB"/>
        </w:rPr>
      </w:pPr>
      <w:bookmarkStart w:id="17" w:name="_Toc212100675"/>
      <w:r w:rsidRPr="00CB06C7">
        <w:rPr>
          <w:lang w:val="en-GB"/>
        </w:rPr>
        <w:lastRenderedPageBreak/>
        <w:t>Improving Access</w:t>
      </w:r>
      <w:bookmarkEnd w:id="17"/>
    </w:p>
    <w:p w14:paraId="606D838B" w14:textId="1FA9E403" w:rsidR="003F08C6" w:rsidRDefault="003F08C6" w:rsidP="00E23398">
      <w:pPr>
        <w:rPr>
          <w:lang w:val="en-GB"/>
        </w:rPr>
      </w:pPr>
      <w:r>
        <w:t>A</w:t>
      </w:r>
      <w:r w:rsidRPr="003F08C6">
        <w:t>ccess to quality primary care services</w:t>
      </w:r>
      <w:r>
        <w:t xml:space="preserve"> through a health care system that is simple to navigate </w:t>
      </w:r>
      <w:r w:rsidR="00257453">
        <w:t xml:space="preserve">should be available to all Australians, without limitations of location, background or disadvantage. </w:t>
      </w:r>
      <w:r w:rsidR="005B6E6B">
        <w:t xml:space="preserve">Through providing access to care where and when it is needed, </w:t>
      </w:r>
      <w:r w:rsidR="00BB19CB">
        <w:t>with</w:t>
      </w:r>
      <w:r w:rsidR="005B6E6B">
        <w:t xml:space="preserve"> </w:t>
      </w:r>
      <w:r w:rsidR="00BB19CB">
        <w:t>consideration of</w:t>
      </w:r>
      <w:r w:rsidR="005B6E6B">
        <w:t xml:space="preserve"> identified priority areas, people will be better supported to be healthy and well. PHNs support their regions through activities and initiatives targeted at understanding</w:t>
      </w:r>
      <w:r w:rsidR="00BB19CB">
        <w:t>,</w:t>
      </w:r>
      <w:r w:rsidR="005B6E6B">
        <w:t xml:space="preserve"> supporting</w:t>
      </w:r>
      <w:r w:rsidR="00BB19CB">
        <w:t xml:space="preserve"> and improving</w:t>
      </w:r>
      <w:r w:rsidR="005B6E6B">
        <w:t xml:space="preserve"> </w:t>
      </w:r>
      <w:r w:rsidR="00BB19CB">
        <w:t>the delivery of primary care services to meet the needs of their communities.</w:t>
      </w:r>
    </w:p>
    <w:p w14:paraId="78B4EC48" w14:textId="38ADD67F" w:rsidR="00BB19CB" w:rsidRPr="00427467" w:rsidRDefault="00BB19CB" w:rsidP="00BB19CB">
      <w:pPr>
        <w:pStyle w:val="Heading3"/>
      </w:pPr>
      <w:r>
        <w:rPr>
          <w:lang w:val="en-GB"/>
        </w:rPr>
        <w:t>P6 –</w:t>
      </w:r>
      <w:r w:rsidR="00320208">
        <w:rPr>
          <w:lang w:val="en-GB"/>
        </w:rPr>
        <w:t xml:space="preserve"> </w:t>
      </w:r>
      <w:r w:rsidR="000E3903">
        <w:rPr>
          <w:lang w:val="en-GB"/>
        </w:rPr>
        <w:t>G</w:t>
      </w:r>
      <w:proofErr w:type="spellStart"/>
      <w:r w:rsidRPr="00427467">
        <w:t>eneral</w:t>
      </w:r>
      <w:proofErr w:type="spellEnd"/>
      <w:r w:rsidRPr="00427467">
        <w:t xml:space="preserve"> </w:t>
      </w:r>
      <w:r w:rsidR="00BE494A">
        <w:t>P</w:t>
      </w:r>
      <w:r w:rsidRPr="00427467">
        <w:t xml:space="preserve">ractices </w:t>
      </w:r>
      <w:r w:rsidR="00320208">
        <w:t xml:space="preserve">– </w:t>
      </w:r>
      <w:r w:rsidR="00BE494A">
        <w:t>A</w:t>
      </w:r>
      <w:r w:rsidRPr="00427467">
        <w:t>fter</w:t>
      </w:r>
      <w:r w:rsidR="00DE42E9">
        <w:t>-</w:t>
      </w:r>
      <w:r w:rsidRPr="00427467">
        <w:t xml:space="preserve">hours </w:t>
      </w:r>
      <w:r w:rsidR="00BE494A">
        <w:t>S</w:t>
      </w:r>
      <w:r w:rsidRPr="00427467">
        <w:t>ervices</w:t>
      </w:r>
    </w:p>
    <w:p w14:paraId="07850017" w14:textId="01388F11" w:rsidR="00B76981" w:rsidRDefault="001D6510" w:rsidP="00E23398">
      <w:pPr>
        <w:rPr>
          <w:lang w:val="en-GB"/>
        </w:rPr>
      </w:pPr>
      <w:r>
        <w:rPr>
          <w:lang w:val="en-GB"/>
        </w:rPr>
        <w:t xml:space="preserve">PHNs </w:t>
      </w:r>
      <w:r w:rsidR="00E23398">
        <w:rPr>
          <w:lang w:val="en-GB"/>
        </w:rPr>
        <w:t>assist with</w:t>
      </w:r>
      <w:r>
        <w:rPr>
          <w:lang w:val="en-GB"/>
        </w:rPr>
        <w:t xml:space="preserve"> the delivery of </w:t>
      </w:r>
      <w:r w:rsidR="00067B2E">
        <w:rPr>
          <w:lang w:val="en-GB"/>
        </w:rPr>
        <w:t>after-hours</w:t>
      </w:r>
      <w:r>
        <w:rPr>
          <w:lang w:val="en-GB"/>
        </w:rPr>
        <w:t xml:space="preserve"> </w:t>
      </w:r>
      <w:r w:rsidR="00E23398">
        <w:rPr>
          <w:lang w:val="en-GB"/>
        </w:rPr>
        <w:t xml:space="preserve">health care </w:t>
      </w:r>
      <w:r>
        <w:rPr>
          <w:lang w:val="en-GB"/>
        </w:rPr>
        <w:t xml:space="preserve">services, including through </w:t>
      </w:r>
      <w:r w:rsidR="00747784">
        <w:rPr>
          <w:lang w:val="en-GB"/>
        </w:rPr>
        <w:t xml:space="preserve">commissioning of after-hours services and by </w:t>
      </w:r>
      <w:r w:rsidR="00E23398">
        <w:rPr>
          <w:lang w:val="en-GB"/>
        </w:rPr>
        <w:t>supporting general practices and practitioners to provide health care services after hours for the community</w:t>
      </w:r>
      <w:r w:rsidR="00747784">
        <w:rPr>
          <w:lang w:val="en-GB"/>
        </w:rPr>
        <w:t xml:space="preserve">. Through these activities </w:t>
      </w:r>
      <w:r w:rsidR="00481A90">
        <w:rPr>
          <w:lang w:val="en-GB"/>
        </w:rPr>
        <w:t>PHNs contribute to</w:t>
      </w:r>
      <w:r w:rsidR="00E23398">
        <w:rPr>
          <w:lang w:val="en-GB"/>
        </w:rPr>
        <w:t xml:space="preserve"> improving access to services where and when they are needed</w:t>
      </w:r>
      <w:r w:rsidR="00481A90">
        <w:rPr>
          <w:lang w:val="en-GB"/>
        </w:rPr>
        <w:t>,</w:t>
      </w:r>
      <w:r w:rsidR="00E23398">
        <w:rPr>
          <w:lang w:val="en-GB"/>
        </w:rPr>
        <w:t xml:space="preserve"> leading to better health outcomes for patients. </w:t>
      </w:r>
      <w:r w:rsidR="00E10C91">
        <w:rPr>
          <w:lang w:val="en-GB"/>
        </w:rPr>
        <w:t>PHN performance is not assessed against this indicator, with the rate of general practices providing after</w:t>
      </w:r>
      <w:r w:rsidR="00067B2E">
        <w:rPr>
          <w:lang w:val="en-GB"/>
        </w:rPr>
        <w:t>-</w:t>
      </w:r>
      <w:r w:rsidR="00E10C91">
        <w:rPr>
          <w:lang w:val="en-GB"/>
        </w:rPr>
        <w:t xml:space="preserve">hours services </w:t>
      </w:r>
      <w:r w:rsidR="009C4EAB">
        <w:rPr>
          <w:lang w:val="en-GB"/>
        </w:rPr>
        <w:t>used</w:t>
      </w:r>
      <w:r w:rsidR="00E10C91">
        <w:rPr>
          <w:lang w:val="en-GB"/>
        </w:rPr>
        <w:t xml:space="preserve"> as an indicator of the ability of patients to access services</w:t>
      </w:r>
      <w:r w:rsidR="00A90806">
        <w:rPr>
          <w:lang w:val="en-GB"/>
        </w:rPr>
        <w:t>.</w:t>
      </w:r>
      <w:r w:rsidR="005F3C33">
        <w:rPr>
          <w:lang w:val="en-GB"/>
        </w:rPr>
        <w:t xml:space="preserve"> This report does not provide insights into the </w:t>
      </w:r>
      <w:r w:rsidR="00EB60DF">
        <w:rPr>
          <w:lang w:val="en-GB"/>
        </w:rPr>
        <w:t>effect</w:t>
      </w:r>
      <w:r w:rsidR="005F3C33">
        <w:rPr>
          <w:lang w:val="en-GB"/>
        </w:rPr>
        <w:t xml:space="preserve"> of Medicare Urgent Care Clinics and </w:t>
      </w:r>
      <w:r w:rsidR="00164D0B">
        <w:rPr>
          <w:lang w:val="en-GB"/>
        </w:rPr>
        <w:t>any relationship to</w:t>
      </w:r>
      <w:r w:rsidR="005F3C33">
        <w:rPr>
          <w:lang w:val="en-GB"/>
        </w:rPr>
        <w:t xml:space="preserve"> engagement with</w:t>
      </w:r>
      <w:r w:rsidR="00164D0B">
        <w:rPr>
          <w:lang w:val="en-GB"/>
        </w:rPr>
        <w:t xml:space="preserve"> general practice</w:t>
      </w:r>
      <w:r w:rsidR="005F3C33">
        <w:rPr>
          <w:lang w:val="en-GB"/>
        </w:rPr>
        <w:t xml:space="preserve"> after</w:t>
      </w:r>
      <w:r w:rsidR="00067B2E">
        <w:rPr>
          <w:lang w:val="en-GB"/>
        </w:rPr>
        <w:t>-</w:t>
      </w:r>
      <w:r w:rsidR="005F3C33">
        <w:rPr>
          <w:lang w:val="en-GB"/>
        </w:rPr>
        <w:t xml:space="preserve">hours services. </w:t>
      </w:r>
    </w:p>
    <w:p w14:paraId="3619776F" w14:textId="0E505E25" w:rsidR="003D23C5" w:rsidRDefault="003D23C5" w:rsidP="001D670B">
      <w:pPr>
        <w:rPr>
          <w:lang w:val="en-GB"/>
        </w:rPr>
      </w:pPr>
      <w:r>
        <w:rPr>
          <w:lang w:val="en-GB"/>
        </w:rPr>
        <w:t>Practice Incentive P</w:t>
      </w:r>
      <w:r w:rsidR="003614E3">
        <w:rPr>
          <w:lang w:val="en-GB"/>
        </w:rPr>
        <w:t>rogram p</w:t>
      </w:r>
      <w:r>
        <w:rPr>
          <w:lang w:val="en-GB"/>
        </w:rPr>
        <w:t>ayments for after</w:t>
      </w:r>
      <w:r w:rsidR="00067B2E">
        <w:rPr>
          <w:lang w:val="en-GB"/>
        </w:rPr>
        <w:t>-</w:t>
      </w:r>
      <w:r>
        <w:rPr>
          <w:lang w:val="en-GB"/>
        </w:rPr>
        <w:t>hours services ha</w:t>
      </w:r>
      <w:r w:rsidR="00AC2916">
        <w:rPr>
          <w:lang w:val="en-GB"/>
        </w:rPr>
        <w:t>ve</w:t>
      </w:r>
      <w:r>
        <w:rPr>
          <w:lang w:val="en-GB"/>
        </w:rPr>
        <w:t xml:space="preserve"> continued to increase over the two reporting periods, from an overall rate of 80.4 per cent in 2021–22, to 82.1 per cent in 2022–23 and 82.4 per cent in 2023–24. The continued upward trend </w:t>
      </w:r>
      <w:r w:rsidR="009C4EAB">
        <w:rPr>
          <w:lang w:val="en-GB"/>
        </w:rPr>
        <w:t>indicates</w:t>
      </w:r>
      <w:r w:rsidR="001D670B">
        <w:rPr>
          <w:lang w:val="en-GB"/>
        </w:rPr>
        <w:t xml:space="preserve"> that, at a national level, there is </w:t>
      </w:r>
      <w:r>
        <w:rPr>
          <w:lang w:val="en-GB"/>
        </w:rPr>
        <w:t xml:space="preserve">a greater </w:t>
      </w:r>
      <w:r w:rsidR="009C4EAB">
        <w:rPr>
          <w:lang w:val="en-GB"/>
        </w:rPr>
        <w:t>ability</w:t>
      </w:r>
      <w:r>
        <w:rPr>
          <w:lang w:val="en-GB"/>
        </w:rPr>
        <w:t xml:space="preserve"> to</w:t>
      </w:r>
      <w:r w:rsidR="009C4EAB">
        <w:rPr>
          <w:lang w:val="en-GB"/>
        </w:rPr>
        <w:t xml:space="preserve"> access</w:t>
      </w:r>
      <w:r>
        <w:rPr>
          <w:lang w:val="en-GB"/>
        </w:rPr>
        <w:t xml:space="preserve"> services outside of regular hours for those requiring health care. </w:t>
      </w:r>
    </w:p>
    <w:p w14:paraId="6B488ECD" w14:textId="77777777" w:rsidR="009C4EAB" w:rsidRDefault="009C4EAB" w:rsidP="001D670B">
      <w:pPr>
        <w:rPr>
          <w:lang w:val="en-GB"/>
        </w:rPr>
      </w:pPr>
    </w:p>
    <w:p w14:paraId="2013A0DD" w14:textId="44DAD25A" w:rsidR="00AF3A1B" w:rsidRDefault="00AF3A1B" w:rsidP="00AF3A1B">
      <w:pPr>
        <w:pStyle w:val="FigureTitle"/>
      </w:pPr>
      <w:r>
        <w:t>Figure 1</w:t>
      </w:r>
      <w:r w:rsidR="00743B06">
        <w:t>3</w:t>
      </w:r>
      <w:r>
        <w:t>:</w:t>
      </w:r>
      <w:r w:rsidR="00AC3701">
        <w:t xml:space="preserve"> </w:t>
      </w:r>
      <w:r w:rsidR="00E31693">
        <w:t xml:space="preserve">Rate of general practices receiving Practice Incentive </w:t>
      </w:r>
      <w:r w:rsidR="003614E3">
        <w:t>Program p</w:t>
      </w:r>
      <w:r w:rsidR="00E31693">
        <w:t>ayments for after-hours services</w:t>
      </w:r>
      <w:r w:rsidR="00DF3875">
        <w:t>, 2019–20 to 2023–24</w:t>
      </w:r>
    </w:p>
    <w:p w14:paraId="160C029B" w14:textId="5B003820" w:rsidR="000D11F8" w:rsidRPr="000D11F8" w:rsidRDefault="000D11F8" w:rsidP="000D11F8">
      <w:r w:rsidRPr="000D11F8">
        <w:rPr>
          <w:noProof/>
        </w:rPr>
        <w:drawing>
          <wp:inline distT="0" distB="0" distL="0" distR="0" wp14:anchorId="3275FB98" wp14:editId="6EE42EB2">
            <wp:extent cx="5210175" cy="2971800"/>
            <wp:effectExtent l="0" t="0" r="9525" b="0"/>
            <wp:docPr id="2142933927" name="Picture 1" descr="Figure 13: A bar graph showing the rate of general practices receiving Practice Incentive Program payments for after-hours services, 2019–20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33927" name="Picture 1" descr="Figure 13: A bar graph showing the rate of general practices receiving Practice Incentive Program payments for after-hours services, 2019–20 to 2023–24"/>
                    <pic:cNvPicPr/>
                  </pic:nvPicPr>
                  <pic:blipFill>
                    <a:blip r:embed="rId37"/>
                    <a:stretch>
                      <a:fillRect/>
                    </a:stretch>
                  </pic:blipFill>
                  <pic:spPr>
                    <a:xfrm>
                      <a:off x="0" y="0"/>
                      <a:ext cx="5210175" cy="2971800"/>
                    </a:xfrm>
                    <a:prstGeom prst="rect">
                      <a:avLst/>
                    </a:prstGeom>
                  </pic:spPr>
                </pic:pic>
              </a:graphicData>
            </a:graphic>
          </wp:inline>
        </w:drawing>
      </w:r>
    </w:p>
    <w:p w14:paraId="7ACDF65A" w14:textId="43AC86AC" w:rsidR="001D670B" w:rsidRDefault="001D670B" w:rsidP="00E23398">
      <w:pPr>
        <w:rPr>
          <w:lang w:val="en-GB"/>
        </w:rPr>
      </w:pPr>
    </w:p>
    <w:p w14:paraId="2A80A1C7" w14:textId="0E387627" w:rsidR="001D670B" w:rsidRDefault="00C545DF" w:rsidP="00E23398">
      <w:pPr>
        <w:rPr>
          <w:lang w:val="en-GB"/>
        </w:rPr>
      </w:pPr>
      <w:r>
        <w:rPr>
          <w:lang w:val="en-GB"/>
        </w:rPr>
        <w:lastRenderedPageBreak/>
        <w:t>While the rate of access to after</w:t>
      </w:r>
      <w:r w:rsidR="00067B2E">
        <w:rPr>
          <w:lang w:val="en-GB"/>
        </w:rPr>
        <w:t>-</w:t>
      </w:r>
      <w:r>
        <w:rPr>
          <w:lang w:val="en-GB"/>
        </w:rPr>
        <w:t xml:space="preserve">hours health care services has grown nationally, access at a state/territory level </w:t>
      </w:r>
      <w:r w:rsidR="00242F8B">
        <w:rPr>
          <w:lang w:val="en-GB"/>
        </w:rPr>
        <w:t xml:space="preserve">has </w:t>
      </w:r>
      <w:r w:rsidR="00F47994">
        <w:rPr>
          <w:lang w:val="en-GB"/>
        </w:rPr>
        <w:t>provide</w:t>
      </w:r>
      <w:r w:rsidR="00242F8B">
        <w:rPr>
          <w:lang w:val="en-GB"/>
        </w:rPr>
        <w:t>d</w:t>
      </w:r>
      <w:r w:rsidR="00F47994">
        <w:rPr>
          <w:lang w:val="en-GB"/>
        </w:rPr>
        <w:t xml:space="preserve"> mixed outcomes. Access has continued to increase in New South Wales, Queensland, Victoria and Western Australia, South Australia experienced a drop in 2022–23, with a subsequent increase in 2023–24</w:t>
      </w:r>
      <w:r w:rsidR="009C4EAB">
        <w:rPr>
          <w:lang w:val="en-GB"/>
        </w:rPr>
        <w:t xml:space="preserve"> and Tasmania </w:t>
      </w:r>
      <w:r w:rsidR="00DC5B0B">
        <w:rPr>
          <w:lang w:val="en-GB"/>
        </w:rPr>
        <w:t>experienced an increase in 2022–23 followed by a drop in 2023–24.</w:t>
      </w:r>
      <w:r w:rsidR="00F47994">
        <w:rPr>
          <w:lang w:val="en-GB"/>
        </w:rPr>
        <w:t xml:space="preserve"> Reduction in access can be seen in the Australian Capital Territory, although the overall rate of payment for after</w:t>
      </w:r>
      <w:r w:rsidR="00067B2E">
        <w:rPr>
          <w:lang w:val="en-GB"/>
        </w:rPr>
        <w:t>-</w:t>
      </w:r>
      <w:r w:rsidR="00F47994">
        <w:rPr>
          <w:lang w:val="en-GB"/>
        </w:rPr>
        <w:t xml:space="preserve">hours services </w:t>
      </w:r>
      <w:r w:rsidR="00510DE5">
        <w:rPr>
          <w:lang w:val="en-GB"/>
        </w:rPr>
        <w:t>remains</w:t>
      </w:r>
      <w:r w:rsidR="00F47994">
        <w:rPr>
          <w:lang w:val="en-GB"/>
        </w:rPr>
        <w:t xml:space="preserve"> higher than for some states. </w:t>
      </w:r>
      <w:r w:rsidR="00242F8B">
        <w:rPr>
          <w:lang w:val="en-GB"/>
        </w:rPr>
        <w:t xml:space="preserve">Reporting for the Northern Territory </w:t>
      </w:r>
      <w:r w:rsidR="004B598D">
        <w:rPr>
          <w:lang w:val="en-GB"/>
        </w:rPr>
        <w:t>is not included</w:t>
      </w:r>
      <w:r w:rsidR="00242F8B">
        <w:rPr>
          <w:lang w:val="en-GB"/>
        </w:rPr>
        <w:t xml:space="preserve"> </w:t>
      </w:r>
      <w:r w:rsidR="00137C3F">
        <w:rPr>
          <w:lang w:val="en-GB"/>
        </w:rPr>
        <w:t xml:space="preserve">for this indicator </w:t>
      </w:r>
      <w:r w:rsidR="00242F8B">
        <w:rPr>
          <w:lang w:val="en-GB"/>
        </w:rPr>
        <w:t xml:space="preserve">due to </w:t>
      </w:r>
      <w:r w:rsidR="004B598D">
        <w:rPr>
          <w:lang w:val="en-GB"/>
        </w:rPr>
        <w:t xml:space="preserve">variance </w:t>
      </w:r>
      <w:r w:rsidR="00242F8B">
        <w:rPr>
          <w:lang w:val="en-GB"/>
        </w:rPr>
        <w:t xml:space="preserve">in the count of general practices. </w:t>
      </w:r>
    </w:p>
    <w:p w14:paraId="077CECFE" w14:textId="77777777" w:rsidR="00F47994" w:rsidRDefault="00F47994" w:rsidP="00E23398">
      <w:pPr>
        <w:rPr>
          <w:lang w:val="en-GB"/>
        </w:rPr>
      </w:pPr>
    </w:p>
    <w:p w14:paraId="34E7D7DC" w14:textId="6BFAC53B" w:rsidR="00AF3A1B" w:rsidRDefault="00AF3A1B" w:rsidP="00AF3A1B">
      <w:pPr>
        <w:pStyle w:val="FigureTitle"/>
      </w:pPr>
      <w:r>
        <w:t>Figure 1</w:t>
      </w:r>
      <w:r w:rsidR="00743B06">
        <w:t>4</w:t>
      </w:r>
      <w:r>
        <w:t>:</w:t>
      </w:r>
      <w:r w:rsidR="00AC3701">
        <w:t xml:space="preserve"> </w:t>
      </w:r>
      <w:r w:rsidR="00E31693">
        <w:t xml:space="preserve">Rate of general practices receiving Practice Incentive </w:t>
      </w:r>
      <w:r w:rsidR="005A7DFE">
        <w:t>Program p</w:t>
      </w:r>
      <w:r w:rsidR="00E31693">
        <w:t>ayments for after-hours services</w:t>
      </w:r>
      <w:r w:rsidR="00AC3701">
        <w:t>, by PHN state group (excludes NT)</w:t>
      </w:r>
      <w:r w:rsidR="00DF3875">
        <w:t>, 2019–20 to 2023–24</w:t>
      </w:r>
    </w:p>
    <w:p w14:paraId="55B761BA" w14:textId="150B53CE" w:rsidR="00182572" w:rsidRDefault="00137C3F" w:rsidP="00E23398">
      <w:pPr>
        <w:rPr>
          <w:lang w:val="en-GB"/>
        </w:rPr>
      </w:pPr>
      <w:r w:rsidRPr="00137C3F">
        <w:rPr>
          <w:noProof/>
          <w:lang w:val="en-GB"/>
        </w:rPr>
        <w:drawing>
          <wp:inline distT="0" distB="0" distL="0" distR="0" wp14:anchorId="6E9ACC0B" wp14:editId="45B75F1D">
            <wp:extent cx="5200650" cy="2971800"/>
            <wp:effectExtent l="0" t="0" r="0" b="0"/>
            <wp:docPr id="213009898" name="Picture 1" descr="Figure 14: A bar graph showing the rate of general practices receiving Practice Incentive Program payments for after-hours services, by PHN state group (excludes NT), 2019–20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898" name="Picture 1" descr="Figure 14: A bar graph showing the rate of general practices receiving Practice Incentive Program payments for after-hours services, by PHN state group (excludes NT), 2019–20 to 2023–24"/>
                    <pic:cNvPicPr/>
                  </pic:nvPicPr>
                  <pic:blipFill>
                    <a:blip r:embed="rId38"/>
                    <a:stretch>
                      <a:fillRect/>
                    </a:stretch>
                  </pic:blipFill>
                  <pic:spPr>
                    <a:xfrm>
                      <a:off x="0" y="0"/>
                      <a:ext cx="5200650" cy="2971800"/>
                    </a:xfrm>
                    <a:prstGeom prst="rect">
                      <a:avLst/>
                    </a:prstGeom>
                  </pic:spPr>
                </pic:pic>
              </a:graphicData>
            </a:graphic>
          </wp:inline>
        </w:drawing>
      </w:r>
    </w:p>
    <w:p w14:paraId="4E352AD3" w14:textId="77777777" w:rsidR="00A90806" w:rsidRDefault="00A90806" w:rsidP="00B76981">
      <w:pPr>
        <w:pStyle w:val="Paragraphtext"/>
        <w:rPr>
          <w:lang w:val="en-GB" w:eastAsia="en-US"/>
        </w:rPr>
      </w:pPr>
    </w:p>
    <w:p w14:paraId="0FEBBB90" w14:textId="531DA148" w:rsidR="00A90806" w:rsidRDefault="00A90806" w:rsidP="00A90806">
      <w:pPr>
        <w:pStyle w:val="Heading3"/>
      </w:pPr>
      <w:r>
        <w:rPr>
          <w:lang w:val="en-GB"/>
        </w:rPr>
        <w:t>P7 –</w:t>
      </w:r>
      <w:r w:rsidR="006707C6">
        <w:rPr>
          <w:lang w:val="en-GB"/>
        </w:rPr>
        <w:t xml:space="preserve"> </w:t>
      </w:r>
      <w:r w:rsidR="000E3903">
        <w:rPr>
          <w:lang w:val="en-GB"/>
        </w:rPr>
        <w:t>E</w:t>
      </w:r>
      <w:proofErr w:type="spellStart"/>
      <w:r w:rsidRPr="00427467">
        <w:t>mergency</w:t>
      </w:r>
      <w:proofErr w:type="spellEnd"/>
      <w:r w:rsidRPr="00427467">
        <w:t xml:space="preserve"> </w:t>
      </w:r>
      <w:r w:rsidR="00BE494A">
        <w:t>D</w:t>
      </w:r>
      <w:r w:rsidRPr="00427467">
        <w:t xml:space="preserve">epartment </w:t>
      </w:r>
      <w:r w:rsidR="00BE494A">
        <w:t>P</w:t>
      </w:r>
      <w:r w:rsidRPr="00427467">
        <w:t>resentations</w:t>
      </w:r>
    </w:p>
    <w:p w14:paraId="5B7C0BBB" w14:textId="135C237B" w:rsidR="005F3C33" w:rsidRDefault="008360DD" w:rsidP="005F3C33">
      <w:pPr>
        <w:rPr>
          <w:lang w:val="en-GB"/>
        </w:rPr>
      </w:pPr>
      <w:r>
        <w:t>As part of PHNs</w:t>
      </w:r>
      <w:r w:rsidR="005A7DFE">
        <w:t>’</w:t>
      </w:r>
      <w:r>
        <w:t xml:space="preserve"> responsibility for improving access to general practice services, analysis of semi-urgent or non-urgent emergency department presentations is undertaken </w:t>
      </w:r>
      <w:r w:rsidR="0031073F">
        <w:t>to</w:t>
      </w:r>
      <w:r w:rsidR="00423BD8">
        <w:t xml:space="preserve"> provide insight into whether patients have sufficient access to general practice services. PHNs,</w:t>
      </w:r>
      <w:r w:rsidR="00F779D5">
        <w:t xml:space="preserve"> </w:t>
      </w:r>
      <w:r w:rsidR="00423BD8">
        <w:t>a</w:t>
      </w:r>
      <w:r w:rsidR="00F779D5">
        <w:t>s facilitators of primary health care services in their regions,</w:t>
      </w:r>
      <w:r w:rsidR="00423BD8">
        <w:t xml:space="preserve"> should use the information available to support general practices to ensure appropriate services are accessible. </w:t>
      </w:r>
      <w:r w:rsidR="0031073F">
        <w:t xml:space="preserve">A decline in presentations may indicate that patients are </w:t>
      </w:r>
      <w:r w:rsidR="00FD4DCA">
        <w:t xml:space="preserve">better </w:t>
      </w:r>
      <w:r w:rsidR="0031073F">
        <w:t xml:space="preserve">able to access the care needed without attending an emergency department. </w:t>
      </w:r>
      <w:r w:rsidR="005F3C33">
        <w:t>As with the rate of after</w:t>
      </w:r>
      <w:r w:rsidR="00067B2E">
        <w:t>-</w:t>
      </w:r>
      <w:r w:rsidR="005F3C33">
        <w:t xml:space="preserve">hours services, </w:t>
      </w:r>
      <w:r w:rsidR="005F3C33" w:rsidRPr="005F3C33">
        <w:t xml:space="preserve">the </w:t>
      </w:r>
      <w:r w:rsidR="00EB60DF">
        <w:t>effect</w:t>
      </w:r>
      <w:r w:rsidR="005F3C33" w:rsidRPr="005F3C33">
        <w:t xml:space="preserve"> of </w:t>
      </w:r>
      <w:r w:rsidR="005F3C33">
        <w:t xml:space="preserve">the introduction of </w:t>
      </w:r>
      <w:r w:rsidR="005F3C33" w:rsidRPr="005F3C33">
        <w:t>Medicare Urgent Care Clinics</w:t>
      </w:r>
      <w:r w:rsidR="005F3C33">
        <w:t xml:space="preserve"> on presentation at emergency departments has not been considered in reporting for this indicator. </w:t>
      </w:r>
    </w:p>
    <w:p w14:paraId="64F5D834" w14:textId="1513EDAB" w:rsidR="0031073F" w:rsidRDefault="00C46AC8" w:rsidP="00A90806">
      <w:r>
        <w:lastRenderedPageBreak/>
        <w:t xml:space="preserve">Presentations at emergency departments </w:t>
      </w:r>
      <w:r w:rsidR="00D86814">
        <w:t xml:space="preserve">for lower urgency care have </w:t>
      </w:r>
      <w:r w:rsidR="003E6063">
        <w:t>continued</w:t>
      </w:r>
      <w:r w:rsidR="00D86814">
        <w:t xml:space="preserve"> a downward trend </w:t>
      </w:r>
      <w:r w:rsidR="003E6063">
        <w:t>in 2022–23</w:t>
      </w:r>
      <w:r w:rsidR="00481A90">
        <w:rPr>
          <w:rStyle w:val="FootnoteReference"/>
        </w:rPr>
        <w:footnoteReference w:id="34"/>
      </w:r>
      <w:r w:rsidR="003E6063">
        <w:t xml:space="preserve"> </w:t>
      </w:r>
      <w:r w:rsidR="0015112E">
        <w:t>dropping</w:t>
      </w:r>
      <w:r w:rsidR="003E6063">
        <w:t xml:space="preserve"> 6.</w:t>
      </w:r>
      <w:r w:rsidR="00EB4D18">
        <w:t>3</w:t>
      </w:r>
      <w:r w:rsidR="003E6063">
        <w:t xml:space="preserve"> per cent for the age-standardised rate. </w:t>
      </w:r>
      <w:r w:rsidR="0015112E">
        <w:t xml:space="preserve">While the overall average </w:t>
      </w:r>
      <w:r w:rsidR="00DC5B0B">
        <w:t>attendance</w:t>
      </w:r>
      <w:r w:rsidR="0015112E">
        <w:t xml:space="preserve"> </w:t>
      </w:r>
      <w:r w:rsidR="00DC5B0B">
        <w:t>at</w:t>
      </w:r>
      <w:r w:rsidR="0015112E">
        <w:t xml:space="preserve"> emergency departments has decreased for the second consecutive year (154.4 in 2020–21, 148.3 in 2021–22 and 139 in 202</w:t>
      </w:r>
      <w:r w:rsidR="00AC4C48">
        <w:t>2</w:t>
      </w:r>
      <w:r w:rsidR="0015112E">
        <w:t>–2</w:t>
      </w:r>
      <w:r w:rsidR="00AC4C48">
        <w:t>3</w:t>
      </w:r>
      <w:r w:rsidR="0015112E">
        <w:t xml:space="preserve">), the </w:t>
      </w:r>
      <w:r w:rsidR="001267FE">
        <w:t>reduction</w:t>
      </w:r>
      <w:r w:rsidR="0015112E">
        <w:t xml:space="preserve"> in presentations is disproportionately </w:t>
      </w:r>
      <w:r w:rsidR="005A7DFE">
        <w:t>larger</w:t>
      </w:r>
      <w:r w:rsidR="0015112E">
        <w:t xml:space="preserve"> for metropolitan areas </w:t>
      </w:r>
      <w:r w:rsidR="00AC4C48">
        <w:t>compared to</w:t>
      </w:r>
      <w:r w:rsidR="0015112E">
        <w:t xml:space="preserve"> regional and remote areas, </w:t>
      </w:r>
      <w:r w:rsidR="001267FE">
        <w:t>indicating</w:t>
      </w:r>
      <w:r w:rsidR="0015112E">
        <w:t xml:space="preserve"> greater access to primary care services in more populous regions.  </w:t>
      </w:r>
    </w:p>
    <w:p w14:paraId="7E2040D9" w14:textId="7794E357" w:rsidR="004E0CF9" w:rsidRDefault="004E0CF9">
      <w:pPr>
        <w:spacing w:before="0" w:after="0" w:line="240" w:lineRule="auto"/>
        <w:rPr>
          <w:rFonts w:cs="Arial"/>
          <w:b/>
          <w:bCs/>
          <w:iCs/>
          <w:szCs w:val="22"/>
        </w:rPr>
      </w:pPr>
    </w:p>
    <w:p w14:paraId="6F732E8F" w14:textId="15FA8F09" w:rsidR="00AF3A1B" w:rsidRDefault="00AF3A1B" w:rsidP="00AF3A1B">
      <w:pPr>
        <w:pStyle w:val="FigureTitle"/>
      </w:pPr>
      <w:r>
        <w:t>Figure 1</w:t>
      </w:r>
      <w:r w:rsidR="00743B06">
        <w:t>5</w:t>
      </w:r>
      <w:r>
        <w:t>:</w:t>
      </w:r>
      <w:r w:rsidR="00AC3701">
        <w:t xml:space="preserve"> Average lower urgency emergency department presentations, per 100,000 population, age-standardised, by PHN remoteness</w:t>
      </w:r>
      <w:r w:rsidR="00DF3875">
        <w:t>, 2017–18 to 2022–23</w:t>
      </w:r>
    </w:p>
    <w:p w14:paraId="6265227D" w14:textId="4659988F" w:rsidR="00182572" w:rsidRPr="00182572" w:rsidRDefault="007534D9" w:rsidP="00F838F3">
      <w:pPr>
        <w:jc w:val="center"/>
      </w:pPr>
      <w:r>
        <w:rPr>
          <w:noProof/>
        </w:rPr>
        <w:drawing>
          <wp:inline distT="0" distB="0" distL="0" distR="0" wp14:anchorId="609E1257" wp14:editId="4C6095E3">
            <wp:extent cx="5486400" cy="3196871"/>
            <wp:effectExtent l="0" t="0" r="0" b="3810"/>
            <wp:docPr id="1553069075" name="Picture 1" descr="Figure 15: A bar graph showing the average lower urgency emergency department presentations, per 100,000 population, age-standardised, by PHN remoteness, 2017–18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69075" name="Picture 1" descr="Figure 15: A bar graph showing the average lower urgency emergency department presentations, per 100,000 population, age-standardised, by PHN remoteness, 2017–18 to 2022–23"/>
                    <pic:cNvPicPr/>
                  </pic:nvPicPr>
                  <pic:blipFill>
                    <a:blip r:embed="rId39"/>
                    <a:stretch>
                      <a:fillRect/>
                    </a:stretch>
                  </pic:blipFill>
                  <pic:spPr>
                    <a:xfrm>
                      <a:off x="0" y="0"/>
                      <a:ext cx="5493437" cy="3200971"/>
                    </a:xfrm>
                    <a:prstGeom prst="rect">
                      <a:avLst/>
                    </a:prstGeom>
                  </pic:spPr>
                </pic:pic>
              </a:graphicData>
            </a:graphic>
          </wp:inline>
        </w:drawing>
      </w:r>
    </w:p>
    <w:p w14:paraId="21F70CBD" w14:textId="1EB662E9" w:rsidR="009D5389" w:rsidRDefault="001267FE" w:rsidP="001267FE">
      <w:r w:rsidRPr="001267FE">
        <w:t xml:space="preserve">Age-standardised rates of lower urgency emergency department presentations by PHN </w:t>
      </w:r>
      <w:r>
        <w:t xml:space="preserve">region show a significant difference between metropolitan and regional areas. </w:t>
      </w:r>
      <w:r w:rsidR="00534190">
        <w:t>Country WA</w:t>
      </w:r>
      <w:r w:rsidR="00920C36">
        <w:t>, Murrumbidgee, North Coast, Northern Territory, Western NSW and Western Queensland PHN</w:t>
      </w:r>
      <w:r w:rsidR="00804F60">
        <w:t xml:space="preserve"> regions</w:t>
      </w:r>
      <w:r w:rsidR="00920C36">
        <w:t xml:space="preserve"> have all </w:t>
      </w:r>
      <w:r w:rsidR="00F2023C">
        <w:t xml:space="preserve">consistently </w:t>
      </w:r>
      <w:r w:rsidR="00920C36">
        <w:t xml:space="preserve">recorded average presentation rates of over 200 </w:t>
      </w:r>
      <w:r w:rsidR="00F2023C">
        <w:t>per 100,000 population (age-standardised rate) since 2017–18, with the average rate for Western NSW continually above 300 per 100,000</w:t>
      </w:r>
      <w:r w:rsidR="00534190">
        <w:t xml:space="preserve">, driving up averages for regional areas. </w:t>
      </w:r>
    </w:p>
    <w:p w14:paraId="2881B956" w14:textId="77777777" w:rsidR="00DC5B0B" w:rsidRDefault="00DC5B0B" w:rsidP="001267FE"/>
    <w:p w14:paraId="3A900DB2" w14:textId="4A43ADB2" w:rsidR="00AF3A1B" w:rsidRDefault="00AF3A1B" w:rsidP="00AF395B">
      <w:pPr>
        <w:pStyle w:val="FigureTitle"/>
        <w:keepNext/>
      </w:pPr>
      <w:r>
        <w:lastRenderedPageBreak/>
        <w:t>Figure 1</w:t>
      </w:r>
      <w:r w:rsidR="00743B06">
        <w:t>6</w:t>
      </w:r>
      <w:r>
        <w:t>:</w:t>
      </w:r>
      <w:r w:rsidR="00AC3701">
        <w:t xml:space="preserve"> Average lower urgency emergency department presentations, per 100,000 population, age-standardised, by </w:t>
      </w:r>
      <w:r w:rsidR="00D7422F">
        <w:t xml:space="preserve">regional </w:t>
      </w:r>
      <w:r w:rsidR="00AC3701">
        <w:t>PHN</w:t>
      </w:r>
      <w:r w:rsidR="00DF3875">
        <w:t>, 2017–18 to 2022–23</w:t>
      </w:r>
    </w:p>
    <w:p w14:paraId="788A8F30" w14:textId="1C3EBD53" w:rsidR="00E145CE" w:rsidRDefault="001C28BB">
      <w:pPr>
        <w:spacing w:before="0" w:after="0" w:line="240" w:lineRule="auto"/>
      </w:pPr>
      <w:r>
        <w:rPr>
          <w:noProof/>
        </w:rPr>
        <w:drawing>
          <wp:inline distT="0" distB="0" distL="0" distR="0" wp14:anchorId="2DF1DEC3" wp14:editId="304E681B">
            <wp:extent cx="5759450" cy="1990090"/>
            <wp:effectExtent l="0" t="0" r="0" b="0"/>
            <wp:docPr id="1856065323" name="Picture 1" descr="Figure 16: A bar graph showing the average lower urgency emergency department presentations, per 100,000 population, age-standardised, by regional PHN, 2017–18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65323" name="Picture 1" descr="Figure 16: A bar graph showing the average lower urgency emergency department presentations, per 100,000 population, age-standardised, by regional PHN, 2017–18 to 2022–23"/>
                    <pic:cNvPicPr/>
                  </pic:nvPicPr>
                  <pic:blipFill>
                    <a:blip r:embed="rId40"/>
                    <a:stretch>
                      <a:fillRect/>
                    </a:stretch>
                  </pic:blipFill>
                  <pic:spPr>
                    <a:xfrm>
                      <a:off x="0" y="0"/>
                      <a:ext cx="5759450" cy="1990090"/>
                    </a:xfrm>
                    <a:prstGeom prst="rect">
                      <a:avLst/>
                    </a:prstGeom>
                  </pic:spPr>
                </pic:pic>
              </a:graphicData>
            </a:graphic>
          </wp:inline>
        </w:drawing>
      </w:r>
    </w:p>
    <w:p w14:paraId="21019ECE" w14:textId="2D183E73" w:rsidR="00776309" w:rsidRDefault="00776309">
      <w:pPr>
        <w:spacing w:before="0" w:after="0" w:line="240" w:lineRule="auto"/>
      </w:pPr>
      <w:r>
        <w:t xml:space="preserve">Most metropolitan </w:t>
      </w:r>
      <w:r w:rsidR="005B04B5">
        <w:t>areas</w:t>
      </w:r>
      <w:r>
        <w:t xml:space="preserve"> record rates of under 150 per 100,000 population, with many recording rates under 100 presentations</w:t>
      </w:r>
      <w:r w:rsidR="00705EFB">
        <w:t xml:space="preserve">. Rates over time by PHN region have remained </w:t>
      </w:r>
      <w:r w:rsidR="001F255F">
        <w:t xml:space="preserve">largely the same, with significant decreases for Brisbane North, Gold Coast and Northern Sydney representing a return to similar rates </w:t>
      </w:r>
      <w:r w:rsidR="00150296">
        <w:t>as those recorded in</w:t>
      </w:r>
      <w:r w:rsidR="001F255F">
        <w:t xml:space="preserve"> 2018–19. </w:t>
      </w:r>
    </w:p>
    <w:p w14:paraId="31BB1F43" w14:textId="77777777" w:rsidR="00776309" w:rsidRDefault="00776309">
      <w:pPr>
        <w:spacing w:before="0" w:after="0" w:line="240" w:lineRule="auto"/>
      </w:pPr>
    </w:p>
    <w:p w14:paraId="010A3704" w14:textId="24AA4218" w:rsidR="00E145CE" w:rsidRDefault="00E145CE" w:rsidP="00E145CE">
      <w:pPr>
        <w:pStyle w:val="FigureTitle"/>
      </w:pPr>
      <w:r>
        <w:rPr>
          <w:lang w:val="en-GB"/>
        </w:rPr>
        <w:t xml:space="preserve">Table 3: </w:t>
      </w:r>
      <w:r>
        <w:t>Average lower urgency emergency department presentations, per 100,000 population, age-standardised, by PHN</w:t>
      </w:r>
    </w:p>
    <w:tbl>
      <w:tblPr>
        <w:tblStyle w:val="DepartmentofHealthtable"/>
        <w:tblW w:w="9010" w:type="dxa"/>
        <w:tblLook w:val="04A0" w:firstRow="1" w:lastRow="0" w:firstColumn="1" w:lastColumn="0" w:noHBand="0" w:noVBand="1"/>
        <w:tblCaption w:val="Table 3: Average lower urgency emergency department presentations, per 100,000 population, age-standardised, by PHN"/>
        <w:tblDescription w:val="The table shows the average lower urgency emergency department presentations, per 100,000 population, age-standardised, by PHN region sorted by state and territory for each of the six years 2017-18 to 2022-23."/>
      </w:tblPr>
      <w:tblGrid>
        <w:gridCol w:w="3376"/>
        <w:gridCol w:w="927"/>
        <w:gridCol w:w="935"/>
        <w:gridCol w:w="935"/>
        <w:gridCol w:w="935"/>
        <w:gridCol w:w="935"/>
        <w:gridCol w:w="967"/>
      </w:tblGrid>
      <w:tr w:rsidR="00813F3E" w:rsidRPr="00935776" w14:paraId="4FC4F723" w14:textId="77777777" w:rsidTr="00E37E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76" w:type="dxa"/>
          </w:tcPr>
          <w:p w14:paraId="612EB56C" w14:textId="77777777" w:rsidR="007B269C" w:rsidRPr="00935776" w:rsidRDefault="007B269C" w:rsidP="001C4212">
            <w:pPr>
              <w:pStyle w:val="TableHeaderWhite"/>
              <w:rPr>
                <w:sz w:val="18"/>
                <w:szCs w:val="18"/>
              </w:rPr>
            </w:pPr>
            <w:r w:rsidRPr="00935776">
              <w:rPr>
                <w:sz w:val="18"/>
                <w:szCs w:val="18"/>
              </w:rPr>
              <w:t>PHN</w:t>
            </w:r>
          </w:p>
        </w:tc>
        <w:tc>
          <w:tcPr>
            <w:tcW w:w="927" w:type="dxa"/>
          </w:tcPr>
          <w:p w14:paraId="57F2EA97" w14:textId="477563FE" w:rsidR="007B269C" w:rsidRPr="00935776" w:rsidRDefault="007B269C" w:rsidP="001C4212">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201</w:t>
            </w:r>
            <w:r w:rsidR="00E37EE8">
              <w:rPr>
                <w:sz w:val="18"/>
                <w:szCs w:val="18"/>
              </w:rPr>
              <w:t>7</w:t>
            </w:r>
            <w:r>
              <w:rPr>
                <w:sz w:val="18"/>
                <w:szCs w:val="18"/>
              </w:rPr>
              <w:t>–1</w:t>
            </w:r>
            <w:r w:rsidR="00E37EE8">
              <w:rPr>
                <w:sz w:val="18"/>
                <w:szCs w:val="18"/>
              </w:rPr>
              <w:t>8</w:t>
            </w:r>
          </w:p>
        </w:tc>
        <w:tc>
          <w:tcPr>
            <w:tcW w:w="935" w:type="dxa"/>
          </w:tcPr>
          <w:p w14:paraId="1D1E9473" w14:textId="24B4B25C" w:rsidR="007B269C" w:rsidRPr="00935776" w:rsidRDefault="007B269C" w:rsidP="001C4212">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201</w:t>
            </w:r>
            <w:r w:rsidR="00E37EE8">
              <w:rPr>
                <w:sz w:val="18"/>
                <w:szCs w:val="18"/>
              </w:rPr>
              <w:t>8</w:t>
            </w:r>
            <w:r w:rsidRPr="00935776">
              <w:rPr>
                <w:sz w:val="18"/>
                <w:szCs w:val="18"/>
              </w:rPr>
              <w:t>–</w:t>
            </w:r>
            <w:r w:rsidR="00E37EE8">
              <w:rPr>
                <w:sz w:val="18"/>
                <w:szCs w:val="18"/>
              </w:rPr>
              <w:t>19</w:t>
            </w:r>
          </w:p>
        </w:tc>
        <w:tc>
          <w:tcPr>
            <w:tcW w:w="935" w:type="dxa"/>
          </w:tcPr>
          <w:p w14:paraId="3931C157" w14:textId="17A015D1" w:rsidR="007B269C" w:rsidRPr="00935776" w:rsidRDefault="007B269C" w:rsidP="001C4212">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w:t>
            </w:r>
            <w:r w:rsidR="00E37EE8">
              <w:rPr>
                <w:sz w:val="18"/>
                <w:szCs w:val="18"/>
              </w:rPr>
              <w:t>19</w:t>
            </w:r>
            <w:r w:rsidRPr="00935776">
              <w:rPr>
                <w:sz w:val="18"/>
                <w:szCs w:val="18"/>
              </w:rPr>
              <w:t>–2</w:t>
            </w:r>
            <w:r w:rsidR="00E37EE8">
              <w:rPr>
                <w:sz w:val="18"/>
                <w:szCs w:val="18"/>
              </w:rPr>
              <w:t>0</w:t>
            </w:r>
          </w:p>
        </w:tc>
        <w:tc>
          <w:tcPr>
            <w:tcW w:w="935" w:type="dxa"/>
          </w:tcPr>
          <w:p w14:paraId="44D2FDF9" w14:textId="5ED1930F" w:rsidR="007B269C" w:rsidRPr="00935776" w:rsidRDefault="007B269C" w:rsidP="001C4212">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202</w:t>
            </w:r>
            <w:r w:rsidR="00E37EE8">
              <w:rPr>
                <w:sz w:val="18"/>
                <w:szCs w:val="18"/>
              </w:rPr>
              <w:t>0</w:t>
            </w:r>
            <w:r w:rsidRPr="00935776">
              <w:rPr>
                <w:sz w:val="18"/>
                <w:szCs w:val="18"/>
              </w:rPr>
              <w:t>–2</w:t>
            </w:r>
            <w:r w:rsidR="00E37EE8">
              <w:rPr>
                <w:sz w:val="18"/>
                <w:szCs w:val="18"/>
              </w:rPr>
              <w:t>1</w:t>
            </w:r>
          </w:p>
        </w:tc>
        <w:tc>
          <w:tcPr>
            <w:tcW w:w="935" w:type="dxa"/>
          </w:tcPr>
          <w:p w14:paraId="6D660B5A" w14:textId="6C175A0A" w:rsidR="007B269C" w:rsidRPr="00935776" w:rsidRDefault="007B269C" w:rsidP="001C4212">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202</w:t>
            </w:r>
            <w:r w:rsidR="00E37EE8">
              <w:rPr>
                <w:sz w:val="18"/>
                <w:szCs w:val="18"/>
              </w:rPr>
              <w:t>1</w:t>
            </w:r>
            <w:r w:rsidRPr="00935776">
              <w:rPr>
                <w:sz w:val="18"/>
                <w:szCs w:val="18"/>
              </w:rPr>
              <w:t>–2</w:t>
            </w:r>
            <w:r w:rsidR="00E37EE8">
              <w:rPr>
                <w:sz w:val="18"/>
                <w:szCs w:val="18"/>
              </w:rPr>
              <w:t>2</w:t>
            </w:r>
          </w:p>
        </w:tc>
        <w:tc>
          <w:tcPr>
            <w:tcW w:w="967" w:type="dxa"/>
          </w:tcPr>
          <w:p w14:paraId="7ECE69FC" w14:textId="151EF544" w:rsidR="007B269C" w:rsidRPr="00935776" w:rsidRDefault="007B269C" w:rsidP="001C4212">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202</w:t>
            </w:r>
            <w:r w:rsidR="00E37EE8">
              <w:rPr>
                <w:sz w:val="18"/>
                <w:szCs w:val="18"/>
              </w:rPr>
              <w:t>2</w:t>
            </w:r>
            <w:r w:rsidRPr="00935776">
              <w:rPr>
                <w:sz w:val="18"/>
                <w:szCs w:val="18"/>
              </w:rPr>
              <w:t>–2</w:t>
            </w:r>
            <w:r w:rsidR="00E37EE8">
              <w:rPr>
                <w:sz w:val="18"/>
                <w:szCs w:val="18"/>
              </w:rPr>
              <w:t>3</w:t>
            </w:r>
          </w:p>
        </w:tc>
      </w:tr>
      <w:tr w:rsidR="00D61457" w:rsidRPr="00E37EE8" w14:paraId="7B75C8C0" w14:textId="77777777" w:rsidTr="00D6145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shd w:val="clear" w:color="auto" w:fill="E6E6E6" w:themeFill="background2"/>
          </w:tcPr>
          <w:p w14:paraId="46A6AB98" w14:textId="6A00E926" w:rsidR="00D61457" w:rsidRPr="00E37EE8" w:rsidRDefault="00933087" w:rsidP="00E37EE8">
            <w:pPr>
              <w:pStyle w:val="Tabletextleft"/>
              <w:rPr>
                <w:rFonts w:cs="Arial"/>
                <w:sz w:val="17"/>
                <w:szCs w:val="17"/>
                <w:lang w:eastAsia="en-AU"/>
              </w:rPr>
            </w:pPr>
            <w:r w:rsidRPr="00E37EE8">
              <w:rPr>
                <w:rFonts w:cs="Arial"/>
                <w:b/>
                <w:bCs/>
                <w:sz w:val="17"/>
                <w:szCs w:val="17"/>
                <w:lang w:eastAsia="en-AU"/>
              </w:rPr>
              <w:t>New South Wales</w:t>
            </w:r>
          </w:p>
        </w:tc>
        <w:tc>
          <w:tcPr>
            <w:tcW w:w="927" w:type="dxa"/>
            <w:shd w:val="clear" w:color="auto" w:fill="E6E6E6" w:themeFill="background2"/>
          </w:tcPr>
          <w:p w14:paraId="0311B0DA"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58BA4B5F"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7DEA73D8"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266B31BD"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795FD455"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67" w:type="dxa"/>
            <w:shd w:val="clear" w:color="auto" w:fill="E6E6E6" w:themeFill="background2"/>
          </w:tcPr>
          <w:p w14:paraId="6C61B551"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r>
      <w:tr w:rsidR="00E37EE8" w:rsidRPr="00E37EE8" w14:paraId="43CF7536" w14:textId="77777777" w:rsidTr="001C42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789E582B" w14:textId="77777777" w:rsidR="00E37EE8" w:rsidRPr="00E37EE8" w:rsidRDefault="00E37EE8" w:rsidP="00E37EE8">
            <w:pPr>
              <w:pStyle w:val="Tabletextleft"/>
              <w:rPr>
                <w:rFonts w:cs="Arial"/>
                <w:sz w:val="17"/>
                <w:szCs w:val="17"/>
              </w:rPr>
            </w:pPr>
            <w:r w:rsidRPr="00E37EE8">
              <w:rPr>
                <w:rFonts w:cs="Arial"/>
                <w:sz w:val="17"/>
                <w:szCs w:val="17"/>
                <w:lang w:eastAsia="en-AU"/>
              </w:rPr>
              <w:t>Central and Eastern Sydney</w:t>
            </w:r>
          </w:p>
        </w:tc>
        <w:tc>
          <w:tcPr>
            <w:tcW w:w="927" w:type="dxa"/>
          </w:tcPr>
          <w:p w14:paraId="6DA96A92" w14:textId="78000685"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lang w:eastAsia="en-AU"/>
              </w:rPr>
            </w:pPr>
            <w:r w:rsidRPr="00B72F14">
              <w:rPr>
                <w:rFonts w:cs="Arial"/>
                <w:color w:val="000000"/>
                <w:sz w:val="17"/>
                <w:szCs w:val="17"/>
                <w:lang w:eastAsia="en-AU"/>
              </w:rPr>
              <w:t>99.6</w:t>
            </w:r>
          </w:p>
        </w:tc>
        <w:tc>
          <w:tcPr>
            <w:tcW w:w="935" w:type="dxa"/>
          </w:tcPr>
          <w:p w14:paraId="176A541C" w14:textId="3891865F"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99</w:t>
            </w:r>
          </w:p>
        </w:tc>
        <w:tc>
          <w:tcPr>
            <w:tcW w:w="935" w:type="dxa"/>
          </w:tcPr>
          <w:p w14:paraId="65296D64" w14:textId="0E627D23"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106.8</w:t>
            </w:r>
          </w:p>
        </w:tc>
        <w:tc>
          <w:tcPr>
            <w:tcW w:w="935" w:type="dxa"/>
          </w:tcPr>
          <w:p w14:paraId="01569084" w14:textId="7367689A"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99.6</w:t>
            </w:r>
          </w:p>
        </w:tc>
        <w:tc>
          <w:tcPr>
            <w:tcW w:w="935" w:type="dxa"/>
          </w:tcPr>
          <w:p w14:paraId="70F2BCBE" w14:textId="6124C152"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100.8</w:t>
            </w:r>
          </w:p>
        </w:tc>
        <w:tc>
          <w:tcPr>
            <w:tcW w:w="967" w:type="dxa"/>
          </w:tcPr>
          <w:p w14:paraId="2B3FA5FC" w14:textId="5A195DD9"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101.4</w:t>
            </w:r>
          </w:p>
        </w:tc>
      </w:tr>
      <w:tr w:rsidR="00E37EE8" w:rsidRPr="00E37EE8" w14:paraId="3A864C8F"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08D06918" w14:textId="77777777" w:rsidR="00E37EE8" w:rsidRPr="00E37EE8" w:rsidRDefault="00E37EE8" w:rsidP="00E37EE8">
            <w:pPr>
              <w:pStyle w:val="Tabletextleft"/>
              <w:rPr>
                <w:rFonts w:cs="Arial"/>
                <w:sz w:val="17"/>
                <w:szCs w:val="17"/>
              </w:rPr>
            </w:pPr>
            <w:r w:rsidRPr="00E37EE8">
              <w:rPr>
                <w:rFonts w:cs="Arial"/>
                <w:sz w:val="17"/>
                <w:szCs w:val="17"/>
                <w:lang w:eastAsia="en-AU"/>
              </w:rPr>
              <w:t>Hunter New England and Central Coast</w:t>
            </w:r>
          </w:p>
        </w:tc>
        <w:tc>
          <w:tcPr>
            <w:tcW w:w="927" w:type="dxa"/>
          </w:tcPr>
          <w:p w14:paraId="3E5C7458" w14:textId="1A323FBA"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205.5</w:t>
            </w:r>
          </w:p>
        </w:tc>
        <w:tc>
          <w:tcPr>
            <w:tcW w:w="935" w:type="dxa"/>
          </w:tcPr>
          <w:p w14:paraId="7BE81767" w14:textId="14C379A5"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201.8</w:t>
            </w:r>
          </w:p>
        </w:tc>
        <w:tc>
          <w:tcPr>
            <w:tcW w:w="935" w:type="dxa"/>
          </w:tcPr>
          <w:p w14:paraId="11D6B68B" w14:textId="2A1E75D3"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196.5</w:t>
            </w:r>
          </w:p>
        </w:tc>
        <w:tc>
          <w:tcPr>
            <w:tcW w:w="935" w:type="dxa"/>
          </w:tcPr>
          <w:p w14:paraId="7525AA2A" w14:textId="6D9AF30C"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217.3</w:t>
            </w:r>
          </w:p>
        </w:tc>
        <w:tc>
          <w:tcPr>
            <w:tcW w:w="935" w:type="dxa"/>
          </w:tcPr>
          <w:p w14:paraId="40FE0BE3" w14:textId="6C6AF391"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205.8</w:t>
            </w:r>
          </w:p>
        </w:tc>
        <w:tc>
          <w:tcPr>
            <w:tcW w:w="967" w:type="dxa"/>
          </w:tcPr>
          <w:p w14:paraId="6D1ADC67" w14:textId="5E0EE434"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195.1</w:t>
            </w:r>
          </w:p>
        </w:tc>
      </w:tr>
      <w:tr w:rsidR="00E37EE8" w:rsidRPr="00E37EE8" w14:paraId="1894E1CC" w14:textId="77777777" w:rsidTr="001C42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4D33EE94" w14:textId="77777777" w:rsidR="00E37EE8" w:rsidRPr="00E37EE8" w:rsidRDefault="00E37EE8" w:rsidP="00E37EE8">
            <w:pPr>
              <w:pStyle w:val="Tabletextleft"/>
              <w:rPr>
                <w:rFonts w:cs="Arial"/>
                <w:sz w:val="17"/>
                <w:szCs w:val="17"/>
              </w:rPr>
            </w:pPr>
            <w:r w:rsidRPr="00E37EE8">
              <w:rPr>
                <w:rFonts w:cs="Arial"/>
                <w:sz w:val="17"/>
                <w:szCs w:val="17"/>
                <w:lang w:eastAsia="en-AU"/>
              </w:rPr>
              <w:t>Murrumbidgee</w:t>
            </w:r>
          </w:p>
        </w:tc>
        <w:tc>
          <w:tcPr>
            <w:tcW w:w="927" w:type="dxa"/>
          </w:tcPr>
          <w:p w14:paraId="5C547B6E" w14:textId="7C5599B2"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lang w:eastAsia="en-AU"/>
              </w:rPr>
            </w:pPr>
            <w:r w:rsidRPr="00B72F14">
              <w:rPr>
                <w:rFonts w:cs="Arial"/>
                <w:color w:val="000000"/>
                <w:sz w:val="17"/>
                <w:szCs w:val="17"/>
                <w:lang w:eastAsia="en-AU"/>
              </w:rPr>
              <w:t>244.8</w:t>
            </w:r>
          </w:p>
        </w:tc>
        <w:tc>
          <w:tcPr>
            <w:tcW w:w="935" w:type="dxa"/>
          </w:tcPr>
          <w:p w14:paraId="301018BB" w14:textId="41DCCEC4"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262</w:t>
            </w:r>
          </w:p>
        </w:tc>
        <w:tc>
          <w:tcPr>
            <w:tcW w:w="935" w:type="dxa"/>
          </w:tcPr>
          <w:p w14:paraId="74919BBE" w14:textId="529D66BD"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251.8</w:t>
            </w:r>
          </w:p>
        </w:tc>
        <w:tc>
          <w:tcPr>
            <w:tcW w:w="935" w:type="dxa"/>
          </w:tcPr>
          <w:p w14:paraId="1110B1C0" w14:textId="7B7B4848"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255.9</w:t>
            </w:r>
          </w:p>
        </w:tc>
        <w:tc>
          <w:tcPr>
            <w:tcW w:w="935" w:type="dxa"/>
          </w:tcPr>
          <w:p w14:paraId="487FD19D" w14:textId="4390FA60"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273.7</w:t>
            </w:r>
          </w:p>
        </w:tc>
        <w:tc>
          <w:tcPr>
            <w:tcW w:w="967" w:type="dxa"/>
          </w:tcPr>
          <w:p w14:paraId="6A995D15" w14:textId="2BE21768"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286.1</w:t>
            </w:r>
          </w:p>
        </w:tc>
      </w:tr>
      <w:tr w:rsidR="00E37EE8" w:rsidRPr="00E37EE8" w14:paraId="5E632E4C"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22A7098E" w14:textId="77777777" w:rsidR="00E37EE8" w:rsidRPr="00E37EE8" w:rsidRDefault="00E37EE8" w:rsidP="00E37EE8">
            <w:pPr>
              <w:pStyle w:val="Tabletextleft"/>
              <w:rPr>
                <w:rFonts w:cs="Arial"/>
                <w:sz w:val="17"/>
                <w:szCs w:val="17"/>
              </w:rPr>
            </w:pPr>
            <w:r w:rsidRPr="00E37EE8">
              <w:rPr>
                <w:rFonts w:cs="Arial"/>
                <w:sz w:val="17"/>
                <w:szCs w:val="17"/>
                <w:lang w:eastAsia="en-AU"/>
              </w:rPr>
              <w:t>Nepean Blue Mountains</w:t>
            </w:r>
          </w:p>
        </w:tc>
        <w:tc>
          <w:tcPr>
            <w:tcW w:w="927" w:type="dxa"/>
          </w:tcPr>
          <w:p w14:paraId="7D265A22" w14:textId="1BA8C527"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130.9</w:t>
            </w:r>
          </w:p>
        </w:tc>
        <w:tc>
          <w:tcPr>
            <w:tcW w:w="935" w:type="dxa"/>
          </w:tcPr>
          <w:p w14:paraId="435CCA7B" w14:textId="34A030E0"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131.9</w:t>
            </w:r>
          </w:p>
        </w:tc>
        <w:tc>
          <w:tcPr>
            <w:tcW w:w="935" w:type="dxa"/>
          </w:tcPr>
          <w:p w14:paraId="59D09B89" w14:textId="007FD4B3"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119.7</w:t>
            </w:r>
          </w:p>
        </w:tc>
        <w:tc>
          <w:tcPr>
            <w:tcW w:w="935" w:type="dxa"/>
          </w:tcPr>
          <w:p w14:paraId="32EBC238" w14:textId="430F89E7"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127.6</w:t>
            </w:r>
          </w:p>
        </w:tc>
        <w:tc>
          <w:tcPr>
            <w:tcW w:w="935" w:type="dxa"/>
          </w:tcPr>
          <w:p w14:paraId="1986A3F4" w14:textId="462A4992"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123.4</w:t>
            </w:r>
          </w:p>
        </w:tc>
        <w:tc>
          <w:tcPr>
            <w:tcW w:w="967" w:type="dxa"/>
          </w:tcPr>
          <w:p w14:paraId="5D4C97AA" w14:textId="5F55457F"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123.1</w:t>
            </w:r>
          </w:p>
        </w:tc>
      </w:tr>
      <w:tr w:rsidR="00E37EE8" w:rsidRPr="00E37EE8" w14:paraId="2F09471C" w14:textId="77777777" w:rsidTr="001C42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1DF3F5C6" w14:textId="77777777" w:rsidR="00E37EE8" w:rsidRPr="00E37EE8" w:rsidRDefault="00E37EE8" w:rsidP="00E37EE8">
            <w:pPr>
              <w:pStyle w:val="Tabletextleft"/>
              <w:rPr>
                <w:rFonts w:cs="Arial"/>
                <w:sz w:val="17"/>
                <w:szCs w:val="17"/>
              </w:rPr>
            </w:pPr>
            <w:r w:rsidRPr="00E37EE8">
              <w:rPr>
                <w:rFonts w:cs="Arial"/>
                <w:sz w:val="17"/>
                <w:szCs w:val="17"/>
                <w:lang w:eastAsia="en-AU"/>
              </w:rPr>
              <w:t>North Coast</w:t>
            </w:r>
          </w:p>
        </w:tc>
        <w:tc>
          <w:tcPr>
            <w:tcW w:w="927" w:type="dxa"/>
          </w:tcPr>
          <w:p w14:paraId="33287071" w14:textId="655802B5"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lang w:eastAsia="en-AU"/>
              </w:rPr>
            </w:pPr>
            <w:r w:rsidRPr="00B72F14">
              <w:rPr>
                <w:rFonts w:cs="Arial"/>
                <w:color w:val="000000"/>
                <w:sz w:val="17"/>
                <w:szCs w:val="17"/>
                <w:lang w:eastAsia="en-AU"/>
              </w:rPr>
              <w:t>279.5</w:t>
            </w:r>
          </w:p>
        </w:tc>
        <w:tc>
          <w:tcPr>
            <w:tcW w:w="935" w:type="dxa"/>
          </w:tcPr>
          <w:p w14:paraId="316E6BC7" w14:textId="7C6CD755"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284.2</w:t>
            </w:r>
          </w:p>
        </w:tc>
        <w:tc>
          <w:tcPr>
            <w:tcW w:w="935" w:type="dxa"/>
          </w:tcPr>
          <w:p w14:paraId="74298B21" w14:textId="768DC233"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275.5</w:t>
            </w:r>
          </w:p>
        </w:tc>
        <w:tc>
          <w:tcPr>
            <w:tcW w:w="935" w:type="dxa"/>
          </w:tcPr>
          <w:p w14:paraId="78CB6905" w14:textId="37601524"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284.6</w:t>
            </w:r>
          </w:p>
        </w:tc>
        <w:tc>
          <w:tcPr>
            <w:tcW w:w="935" w:type="dxa"/>
          </w:tcPr>
          <w:p w14:paraId="2E88E4B8" w14:textId="7C17CE3B"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286.1</w:t>
            </w:r>
          </w:p>
        </w:tc>
        <w:tc>
          <w:tcPr>
            <w:tcW w:w="967" w:type="dxa"/>
          </w:tcPr>
          <w:p w14:paraId="54BB4314" w14:textId="384FAA91"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282.6</w:t>
            </w:r>
          </w:p>
        </w:tc>
      </w:tr>
      <w:tr w:rsidR="00E37EE8" w:rsidRPr="00E37EE8" w14:paraId="79336156"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11F9C5C8" w14:textId="77777777" w:rsidR="00E37EE8" w:rsidRPr="00E37EE8" w:rsidRDefault="00E37EE8" w:rsidP="00E37EE8">
            <w:pPr>
              <w:pStyle w:val="Tabletextleft"/>
              <w:rPr>
                <w:rFonts w:cs="Arial"/>
                <w:sz w:val="17"/>
                <w:szCs w:val="17"/>
              </w:rPr>
            </w:pPr>
            <w:r w:rsidRPr="00E37EE8">
              <w:rPr>
                <w:rFonts w:cs="Arial"/>
                <w:sz w:val="17"/>
                <w:szCs w:val="17"/>
                <w:lang w:eastAsia="en-AU"/>
              </w:rPr>
              <w:t>Northern Sydney</w:t>
            </w:r>
          </w:p>
        </w:tc>
        <w:tc>
          <w:tcPr>
            <w:tcW w:w="927" w:type="dxa"/>
          </w:tcPr>
          <w:p w14:paraId="36253D82" w14:textId="634F3D56"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96.3</w:t>
            </w:r>
          </w:p>
        </w:tc>
        <w:tc>
          <w:tcPr>
            <w:tcW w:w="935" w:type="dxa"/>
          </w:tcPr>
          <w:p w14:paraId="4DB57260" w14:textId="71F10313"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89.9</w:t>
            </w:r>
          </w:p>
        </w:tc>
        <w:tc>
          <w:tcPr>
            <w:tcW w:w="935" w:type="dxa"/>
          </w:tcPr>
          <w:p w14:paraId="44F1B806" w14:textId="460FF340"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100.9</w:t>
            </w:r>
          </w:p>
        </w:tc>
        <w:tc>
          <w:tcPr>
            <w:tcW w:w="935" w:type="dxa"/>
          </w:tcPr>
          <w:p w14:paraId="082D8E48" w14:textId="4EF51064"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149</w:t>
            </w:r>
          </w:p>
        </w:tc>
        <w:tc>
          <w:tcPr>
            <w:tcW w:w="935" w:type="dxa"/>
          </w:tcPr>
          <w:p w14:paraId="56B81A4D" w14:textId="5F51405A"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131.5</w:t>
            </w:r>
          </w:p>
        </w:tc>
        <w:tc>
          <w:tcPr>
            <w:tcW w:w="967" w:type="dxa"/>
          </w:tcPr>
          <w:p w14:paraId="6FD5D403" w14:textId="4B1E9689"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90.2</w:t>
            </w:r>
          </w:p>
        </w:tc>
      </w:tr>
      <w:tr w:rsidR="00E37EE8" w:rsidRPr="00E37EE8" w14:paraId="510429D4" w14:textId="77777777" w:rsidTr="001C42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432A0FF6" w14:textId="77777777" w:rsidR="00E37EE8" w:rsidRPr="00E37EE8" w:rsidRDefault="00E37EE8" w:rsidP="00E37EE8">
            <w:pPr>
              <w:pStyle w:val="Tabletextleft"/>
              <w:rPr>
                <w:rFonts w:cs="Arial"/>
                <w:sz w:val="17"/>
                <w:szCs w:val="17"/>
              </w:rPr>
            </w:pPr>
            <w:proofErr w:type="gramStart"/>
            <w:r w:rsidRPr="00E37EE8">
              <w:rPr>
                <w:rFonts w:cs="Arial"/>
                <w:sz w:val="17"/>
                <w:szCs w:val="17"/>
                <w:lang w:eastAsia="en-AU"/>
              </w:rPr>
              <w:t>South Eastern</w:t>
            </w:r>
            <w:proofErr w:type="gramEnd"/>
            <w:r w:rsidRPr="00E37EE8">
              <w:rPr>
                <w:rFonts w:cs="Arial"/>
                <w:sz w:val="17"/>
                <w:szCs w:val="17"/>
                <w:lang w:eastAsia="en-AU"/>
              </w:rPr>
              <w:t xml:space="preserve"> NSW</w:t>
            </w:r>
          </w:p>
        </w:tc>
        <w:tc>
          <w:tcPr>
            <w:tcW w:w="927" w:type="dxa"/>
          </w:tcPr>
          <w:p w14:paraId="3FB3239D" w14:textId="6F81D770"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lang w:eastAsia="en-AU"/>
              </w:rPr>
            </w:pPr>
            <w:r w:rsidRPr="00B72F14">
              <w:rPr>
                <w:rFonts w:cs="Arial"/>
                <w:color w:val="000000"/>
                <w:sz w:val="17"/>
                <w:szCs w:val="17"/>
                <w:lang w:eastAsia="en-AU"/>
              </w:rPr>
              <w:t>189.8</w:t>
            </w:r>
          </w:p>
        </w:tc>
        <w:tc>
          <w:tcPr>
            <w:tcW w:w="935" w:type="dxa"/>
          </w:tcPr>
          <w:p w14:paraId="566A104E" w14:textId="6332E370"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198.9</w:t>
            </w:r>
          </w:p>
        </w:tc>
        <w:tc>
          <w:tcPr>
            <w:tcW w:w="935" w:type="dxa"/>
          </w:tcPr>
          <w:p w14:paraId="3E006B1C" w14:textId="324C345A"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179.2</w:t>
            </w:r>
          </w:p>
        </w:tc>
        <w:tc>
          <w:tcPr>
            <w:tcW w:w="935" w:type="dxa"/>
          </w:tcPr>
          <w:p w14:paraId="3119E4CB" w14:textId="3081336B"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188.5</w:t>
            </w:r>
          </w:p>
        </w:tc>
        <w:tc>
          <w:tcPr>
            <w:tcW w:w="935" w:type="dxa"/>
          </w:tcPr>
          <w:p w14:paraId="496B0E7F" w14:textId="679E57BA"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186.6</w:t>
            </w:r>
          </w:p>
        </w:tc>
        <w:tc>
          <w:tcPr>
            <w:tcW w:w="967" w:type="dxa"/>
          </w:tcPr>
          <w:p w14:paraId="2B17F44E" w14:textId="40985BD4"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189.8</w:t>
            </w:r>
          </w:p>
        </w:tc>
      </w:tr>
      <w:tr w:rsidR="00E37EE8" w:rsidRPr="00E37EE8" w14:paraId="643AB699"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27C58D86" w14:textId="77777777" w:rsidR="00E37EE8" w:rsidRPr="00E37EE8" w:rsidRDefault="00E37EE8" w:rsidP="00E37EE8">
            <w:pPr>
              <w:pStyle w:val="Tabletextleft"/>
              <w:rPr>
                <w:rFonts w:cs="Arial"/>
                <w:sz w:val="17"/>
                <w:szCs w:val="17"/>
              </w:rPr>
            </w:pPr>
            <w:proofErr w:type="gramStart"/>
            <w:r w:rsidRPr="00E37EE8">
              <w:rPr>
                <w:rFonts w:cs="Arial"/>
                <w:sz w:val="17"/>
                <w:szCs w:val="17"/>
                <w:lang w:eastAsia="en-AU"/>
              </w:rPr>
              <w:t>South Western</w:t>
            </w:r>
            <w:proofErr w:type="gramEnd"/>
            <w:r w:rsidRPr="00E37EE8">
              <w:rPr>
                <w:rFonts w:cs="Arial"/>
                <w:sz w:val="17"/>
                <w:szCs w:val="17"/>
                <w:lang w:eastAsia="en-AU"/>
              </w:rPr>
              <w:t xml:space="preserve"> Sydney</w:t>
            </w:r>
          </w:p>
        </w:tc>
        <w:tc>
          <w:tcPr>
            <w:tcW w:w="927" w:type="dxa"/>
          </w:tcPr>
          <w:p w14:paraId="60D3098C" w14:textId="3007A504"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101.3</w:t>
            </w:r>
          </w:p>
        </w:tc>
        <w:tc>
          <w:tcPr>
            <w:tcW w:w="935" w:type="dxa"/>
          </w:tcPr>
          <w:p w14:paraId="1B221EB9" w14:textId="30524B7E"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101.1</w:t>
            </w:r>
          </w:p>
        </w:tc>
        <w:tc>
          <w:tcPr>
            <w:tcW w:w="935" w:type="dxa"/>
          </w:tcPr>
          <w:p w14:paraId="0701510A" w14:textId="2A82A857"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94</w:t>
            </w:r>
          </w:p>
        </w:tc>
        <w:tc>
          <w:tcPr>
            <w:tcW w:w="935" w:type="dxa"/>
          </w:tcPr>
          <w:p w14:paraId="588E9817" w14:textId="507AC0F3"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87.3</w:t>
            </w:r>
          </w:p>
        </w:tc>
        <w:tc>
          <w:tcPr>
            <w:tcW w:w="935" w:type="dxa"/>
          </w:tcPr>
          <w:p w14:paraId="716D91AE" w14:textId="104915F4"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95.5</w:t>
            </w:r>
          </w:p>
        </w:tc>
        <w:tc>
          <w:tcPr>
            <w:tcW w:w="967" w:type="dxa"/>
          </w:tcPr>
          <w:p w14:paraId="137AAC8F" w14:textId="5EDBE5CA"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88.8</w:t>
            </w:r>
          </w:p>
        </w:tc>
      </w:tr>
      <w:tr w:rsidR="00E37EE8" w:rsidRPr="00E37EE8" w14:paraId="538E5A0B" w14:textId="77777777" w:rsidTr="001C42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3B7C04D1" w14:textId="77777777" w:rsidR="00E37EE8" w:rsidRPr="00E37EE8" w:rsidRDefault="00E37EE8" w:rsidP="00E37EE8">
            <w:pPr>
              <w:pStyle w:val="Tabletextleft"/>
              <w:rPr>
                <w:rFonts w:cs="Arial"/>
                <w:sz w:val="17"/>
                <w:szCs w:val="17"/>
              </w:rPr>
            </w:pPr>
            <w:r w:rsidRPr="00E37EE8">
              <w:rPr>
                <w:rFonts w:cs="Arial"/>
                <w:sz w:val="17"/>
                <w:szCs w:val="17"/>
                <w:lang w:eastAsia="en-AU"/>
              </w:rPr>
              <w:t>Western NSW</w:t>
            </w:r>
          </w:p>
        </w:tc>
        <w:tc>
          <w:tcPr>
            <w:tcW w:w="927" w:type="dxa"/>
          </w:tcPr>
          <w:p w14:paraId="1FD19BB9" w14:textId="350B6068"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lang w:eastAsia="en-AU"/>
              </w:rPr>
            </w:pPr>
            <w:r w:rsidRPr="00B72F14">
              <w:rPr>
                <w:rFonts w:cs="Arial"/>
                <w:color w:val="000000"/>
                <w:sz w:val="17"/>
                <w:szCs w:val="17"/>
                <w:lang w:eastAsia="en-AU"/>
              </w:rPr>
              <w:t>339.8</w:t>
            </w:r>
          </w:p>
        </w:tc>
        <w:tc>
          <w:tcPr>
            <w:tcW w:w="935" w:type="dxa"/>
          </w:tcPr>
          <w:p w14:paraId="474FBADC" w14:textId="107E5073"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342.3</w:t>
            </w:r>
          </w:p>
        </w:tc>
        <w:tc>
          <w:tcPr>
            <w:tcW w:w="935" w:type="dxa"/>
          </w:tcPr>
          <w:p w14:paraId="58C05BAB" w14:textId="7180ED8A"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337</w:t>
            </w:r>
          </w:p>
        </w:tc>
        <w:tc>
          <w:tcPr>
            <w:tcW w:w="935" w:type="dxa"/>
          </w:tcPr>
          <w:p w14:paraId="66898F7A" w14:textId="49710083"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407.9</w:t>
            </w:r>
          </w:p>
        </w:tc>
        <w:tc>
          <w:tcPr>
            <w:tcW w:w="935" w:type="dxa"/>
          </w:tcPr>
          <w:p w14:paraId="46522BCA" w14:textId="0F2D73F0"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355.7</w:t>
            </w:r>
          </w:p>
        </w:tc>
        <w:tc>
          <w:tcPr>
            <w:tcW w:w="967" w:type="dxa"/>
          </w:tcPr>
          <w:p w14:paraId="5966B082" w14:textId="5DC58990"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358.1</w:t>
            </w:r>
          </w:p>
        </w:tc>
      </w:tr>
      <w:tr w:rsidR="00E37EE8" w:rsidRPr="00E37EE8" w14:paraId="3F9B33C9"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17214AA4" w14:textId="77777777" w:rsidR="00E37EE8" w:rsidRPr="00E37EE8" w:rsidRDefault="00E37EE8" w:rsidP="00E37EE8">
            <w:pPr>
              <w:pStyle w:val="Tabletextleft"/>
              <w:rPr>
                <w:rFonts w:cs="Arial"/>
                <w:sz w:val="17"/>
                <w:szCs w:val="17"/>
              </w:rPr>
            </w:pPr>
            <w:r w:rsidRPr="00E37EE8">
              <w:rPr>
                <w:rFonts w:cs="Arial"/>
                <w:sz w:val="17"/>
                <w:szCs w:val="17"/>
                <w:lang w:eastAsia="en-AU"/>
              </w:rPr>
              <w:t>Western Sydney</w:t>
            </w:r>
          </w:p>
        </w:tc>
        <w:tc>
          <w:tcPr>
            <w:tcW w:w="927" w:type="dxa"/>
          </w:tcPr>
          <w:p w14:paraId="7339259B" w14:textId="7E3B4F2C"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82.5</w:t>
            </w:r>
          </w:p>
        </w:tc>
        <w:tc>
          <w:tcPr>
            <w:tcW w:w="935" w:type="dxa"/>
          </w:tcPr>
          <w:p w14:paraId="726495B4" w14:textId="44594079"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83.9</w:t>
            </w:r>
          </w:p>
        </w:tc>
        <w:tc>
          <w:tcPr>
            <w:tcW w:w="935" w:type="dxa"/>
          </w:tcPr>
          <w:p w14:paraId="17D017E6" w14:textId="2F0B349B"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78.3</w:t>
            </w:r>
          </w:p>
        </w:tc>
        <w:tc>
          <w:tcPr>
            <w:tcW w:w="935" w:type="dxa"/>
          </w:tcPr>
          <w:p w14:paraId="25318FA0" w14:textId="5BEDDF32"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76.9</w:t>
            </w:r>
          </w:p>
        </w:tc>
        <w:tc>
          <w:tcPr>
            <w:tcW w:w="935" w:type="dxa"/>
          </w:tcPr>
          <w:p w14:paraId="795FA205" w14:textId="4F98668B"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78.2</w:t>
            </w:r>
          </w:p>
        </w:tc>
        <w:tc>
          <w:tcPr>
            <w:tcW w:w="967" w:type="dxa"/>
          </w:tcPr>
          <w:p w14:paraId="64D7A328" w14:textId="24A2B31F"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79.3</w:t>
            </w:r>
          </w:p>
        </w:tc>
      </w:tr>
      <w:tr w:rsidR="00D61457" w:rsidRPr="00E37EE8" w14:paraId="5F1F9692" w14:textId="77777777" w:rsidTr="00D614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shd w:val="clear" w:color="auto" w:fill="E6E6E6" w:themeFill="background2"/>
          </w:tcPr>
          <w:p w14:paraId="1F60A6B4" w14:textId="76B02395" w:rsidR="00D61457" w:rsidRPr="00E37EE8" w:rsidRDefault="00933087" w:rsidP="00E37EE8">
            <w:pPr>
              <w:pStyle w:val="Tabletextleft"/>
              <w:rPr>
                <w:rFonts w:cs="Arial"/>
                <w:sz w:val="17"/>
                <w:szCs w:val="17"/>
                <w:lang w:eastAsia="en-AU"/>
              </w:rPr>
            </w:pPr>
            <w:r w:rsidRPr="00E37EE8">
              <w:rPr>
                <w:rFonts w:cs="Arial"/>
                <w:b/>
                <w:bCs/>
                <w:sz w:val="17"/>
                <w:szCs w:val="17"/>
                <w:lang w:eastAsia="en-AU"/>
              </w:rPr>
              <w:t>Victoria</w:t>
            </w:r>
          </w:p>
        </w:tc>
        <w:tc>
          <w:tcPr>
            <w:tcW w:w="927" w:type="dxa"/>
            <w:shd w:val="clear" w:color="auto" w:fill="E6E6E6" w:themeFill="background2"/>
          </w:tcPr>
          <w:p w14:paraId="59E8117E"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36F40144"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49E15629"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64B32F2B"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49258160"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67" w:type="dxa"/>
            <w:shd w:val="clear" w:color="auto" w:fill="E6E6E6" w:themeFill="background2"/>
          </w:tcPr>
          <w:p w14:paraId="3EE12A46"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r>
      <w:tr w:rsidR="00E37EE8" w:rsidRPr="00E37EE8" w14:paraId="0DE03F19"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1A640301" w14:textId="77777777" w:rsidR="00E37EE8" w:rsidRPr="00E37EE8" w:rsidRDefault="00E37EE8" w:rsidP="00E37EE8">
            <w:pPr>
              <w:pStyle w:val="Tabletextleft"/>
              <w:rPr>
                <w:rFonts w:cs="Arial"/>
                <w:sz w:val="17"/>
                <w:szCs w:val="17"/>
              </w:rPr>
            </w:pPr>
            <w:r w:rsidRPr="00E37EE8">
              <w:rPr>
                <w:rFonts w:cs="Arial"/>
                <w:sz w:val="17"/>
                <w:szCs w:val="17"/>
                <w:lang w:eastAsia="en-AU"/>
              </w:rPr>
              <w:t>Eastern Melbourne</w:t>
            </w:r>
          </w:p>
        </w:tc>
        <w:tc>
          <w:tcPr>
            <w:tcW w:w="927" w:type="dxa"/>
          </w:tcPr>
          <w:p w14:paraId="09D3F1BE" w14:textId="2B74BB3A"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80.6</w:t>
            </w:r>
          </w:p>
        </w:tc>
        <w:tc>
          <w:tcPr>
            <w:tcW w:w="935" w:type="dxa"/>
          </w:tcPr>
          <w:p w14:paraId="22EDB83A" w14:textId="383F5FD6"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79.1</w:t>
            </w:r>
          </w:p>
        </w:tc>
        <w:tc>
          <w:tcPr>
            <w:tcW w:w="935" w:type="dxa"/>
          </w:tcPr>
          <w:p w14:paraId="14C15760" w14:textId="724C5E52"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70.8</w:t>
            </w:r>
          </w:p>
        </w:tc>
        <w:tc>
          <w:tcPr>
            <w:tcW w:w="935" w:type="dxa"/>
          </w:tcPr>
          <w:p w14:paraId="5841AA3B" w14:textId="76CB57DD"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68.4</w:t>
            </w:r>
          </w:p>
        </w:tc>
        <w:tc>
          <w:tcPr>
            <w:tcW w:w="935" w:type="dxa"/>
          </w:tcPr>
          <w:p w14:paraId="6A2C87A7" w14:textId="71F69EA9"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72.9</w:t>
            </w:r>
          </w:p>
        </w:tc>
        <w:tc>
          <w:tcPr>
            <w:tcW w:w="967" w:type="dxa"/>
          </w:tcPr>
          <w:p w14:paraId="495CF2ED" w14:textId="7A25C276"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71</w:t>
            </w:r>
          </w:p>
        </w:tc>
      </w:tr>
      <w:tr w:rsidR="00E37EE8" w:rsidRPr="00E37EE8" w14:paraId="04CED921" w14:textId="77777777" w:rsidTr="001C42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6EE1631E" w14:textId="77777777" w:rsidR="00E37EE8" w:rsidRPr="00E37EE8" w:rsidRDefault="00E37EE8" w:rsidP="00E37EE8">
            <w:pPr>
              <w:pStyle w:val="Tabletextleft"/>
              <w:rPr>
                <w:rFonts w:cs="Arial"/>
                <w:sz w:val="17"/>
                <w:szCs w:val="17"/>
              </w:rPr>
            </w:pPr>
            <w:r w:rsidRPr="00E37EE8">
              <w:rPr>
                <w:rFonts w:cs="Arial"/>
                <w:sz w:val="17"/>
                <w:szCs w:val="17"/>
                <w:lang w:eastAsia="en-AU"/>
              </w:rPr>
              <w:t>Gippsland</w:t>
            </w:r>
          </w:p>
        </w:tc>
        <w:tc>
          <w:tcPr>
            <w:tcW w:w="927" w:type="dxa"/>
          </w:tcPr>
          <w:p w14:paraId="57A46936" w14:textId="164B441C"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lang w:eastAsia="en-AU"/>
              </w:rPr>
            </w:pPr>
            <w:r w:rsidRPr="00B72F14">
              <w:rPr>
                <w:rFonts w:cs="Arial"/>
                <w:color w:val="000000"/>
                <w:sz w:val="17"/>
                <w:szCs w:val="17"/>
                <w:lang w:eastAsia="en-AU"/>
              </w:rPr>
              <w:t>196.4</w:t>
            </w:r>
          </w:p>
        </w:tc>
        <w:tc>
          <w:tcPr>
            <w:tcW w:w="935" w:type="dxa"/>
          </w:tcPr>
          <w:p w14:paraId="59652B6F" w14:textId="6080A436"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194.9</w:t>
            </w:r>
          </w:p>
        </w:tc>
        <w:tc>
          <w:tcPr>
            <w:tcW w:w="935" w:type="dxa"/>
          </w:tcPr>
          <w:p w14:paraId="194033F8" w14:textId="422894BE"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189.8</w:t>
            </w:r>
          </w:p>
        </w:tc>
        <w:tc>
          <w:tcPr>
            <w:tcW w:w="935" w:type="dxa"/>
          </w:tcPr>
          <w:p w14:paraId="4F16611F" w14:textId="29DF10CC"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179.1</w:t>
            </w:r>
          </w:p>
        </w:tc>
        <w:tc>
          <w:tcPr>
            <w:tcW w:w="935" w:type="dxa"/>
          </w:tcPr>
          <w:p w14:paraId="2898CCA9" w14:textId="6D94186E"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163.6</w:t>
            </w:r>
          </w:p>
        </w:tc>
        <w:tc>
          <w:tcPr>
            <w:tcW w:w="967" w:type="dxa"/>
          </w:tcPr>
          <w:p w14:paraId="08F0468A" w14:textId="657A283F"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159.7</w:t>
            </w:r>
          </w:p>
        </w:tc>
      </w:tr>
      <w:tr w:rsidR="00E37EE8" w:rsidRPr="00E37EE8" w14:paraId="7DC6A101"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0E6C74EC" w14:textId="77777777" w:rsidR="00E37EE8" w:rsidRPr="00E37EE8" w:rsidRDefault="00E37EE8" w:rsidP="00E37EE8">
            <w:pPr>
              <w:pStyle w:val="Tabletextleft"/>
              <w:rPr>
                <w:rFonts w:cs="Arial"/>
                <w:sz w:val="17"/>
                <w:szCs w:val="17"/>
              </w:rPr>
            </w:pPr>
            <w:r w:rsidRPr="00E37EE8">
              <w:rPr>
                <w:rFonts w:cs="Arial"/>
                <w:sz w:val="17"/>
                <w:szCs w:val="17"/>
                <w:lang w:eastAsia="en-AU"/>
              </w:rPr>
              <w:t>Murray</w:t>
            </w:r>
          </w:p>
        </w:tc>
        <w:tc>
          <w:tcPr>
            <w:tcW w:w="927" w:type="dxa"/>
          </w:tcPr>
          <w:p w14:paraId="71CE4278" w14:textId="1A66F57F"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181.7</w:t>
            </w:r>
          </w:p>
        </w:tc>
        <w:tc>
          <w:tcPr>
            <w:tcW w:w="935" w:type="dxa"/>
          </w:tcPr>
          <w:p w14:paraId="10D8F367" w14:textId="7AE4BF3B"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183.7</w:t>
            </w:r>
          </w:p>
        </w:tc>
        <w:tc>
          <w:tcPr>
            <w:tcW w:w="935" w:type="dxa"/>
          </w:tcPr>
          <w:p w14:paraId="6DFE68FE" w14:textId="3489402E"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164.7</w:t>
            </w:r>
          </w:p>
        </w:tc>
        <w:tc>
          <w:tcPr>
            <w:tcW w:w="935" w:type="dxa"/>
          </w:tcPr>
          <w:p w14:paraId="540EC96A" w14:textId="10700765"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161.3</w:t>
            </w:r>
          </w:p>
        </w:tc>
        <w:tc>
          <w:tcPr>
            <w:tcW w:w="935" w:type="dxa"/>
          </w:tcPr>
          <w:p w14:paraId="5651CC23" w14:textId="34D869A3"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162.1</w:t>
            </w:r>
          </w:p>
        </w:tc>
        <w:tc>
          <w:tcPr>
            <w:tcW w:w="967" w:type="dxa"/>
          </w:tcPr>
          <w:p w14:paraId="1B113262" w14:textId="6D5951AD"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166.1</w:t>
            </w:r>
          </w:p>
        </w:tc>
      </w:tr>
      <w:tr w:rsidR="00E37EE8" w:rsidRPr="00E37EE8" w14:paraId="576D2439" w14:textId="77777777" w:rsidTr="001C42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481BA789" w14:textId="77777777" w:rsidR="00E37EE8" w:rsidRPr="00E37EE8" w:rsidRDefault="00E37EE8" w:rsidP="00E37EE8">
            <w:pPr>
              <w:pStyle w:val="Tabletextleft"/>
              <w:rPr>
                <w:rFonts w:cs="Arial"/>
                <w:sz w:val="17"/>
                <w:szCs w:val="17"/>
              </w:rPr>
            </w:pPr>
            <w:proofErr w:type="gramStart"/>
            <w:r w:rsidRPr="00E37EE8">
              <w:rPr>
                <w:rFonts w:cs="Arial"/>
                <w:sz w:val="17"/>
                <w:szCs w:val="17"/>
                <w:lang w:eastAsia="en-AU"/>
              </w:rPr>
              <w:t>North Western</w:t>
            </w:r>
            <w:proofErr w:type="gramEnd"/>
            <w:r w:rsidRPr="00E37EE8">
              <w:rPr>
                <w:rFonts w:cs="Arial"/>
                <w:sz w:val="17"/>
                <w:szCs w:val="17"/>
                <w:lang w:eastAsia="en-AU"/>
              </w:rPr>
              <w:t xml:space="preserve"> Melbourne</w:t>
            </w:r>
          </w:p>
        </w:tc>
        <w:tc>
          <w:tcPr>
            <w:tcW w:w="927" w:type="dxa"/>
          </w:tcPr>
          <w:p w14:paraId="67F71C7E" w14:textId="169F5449"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lang w:eastAsia="en-AU"/>
              </w:rPr>
            </w:pPr>
            <w:r w:rsidRPr="00B72F14">
              <w:rPr>
                <w:rFonts w:cs="Arial"/>
                <w:color w:val="000000"/>
                <w:sz w:val="17"/>
                <w:szCs w:val="17"/>
                <w:lang w:eastAsia="en-AU"/>
              </w:rPr>
              <w:t>101.9</w:t>
            </w:r>
          </w:p>
        </w:tc>
        <w:tc>
          <w:tcPr>
            <w:tcW w:w="935" w:type="dxa"/>
          </w:tcPr>
          <w:p w14:paraId="0E0CF2EE" w14:textId="15A22879"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98</w:t>
            </w:r>
          </w:p>
        </w:tc>
        <w:tc>
          <w:tcPr>
            <w:tcW w:w="935" w:type="dxa"/>
          </w:tcPr>
          <w:p w14:paraId="21D0502E" w14:textId="08F76A53"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88</w:t>
            </w:r>
          </w:p>
        </w:tc>
        <w:tc>
          <w:tcPr>
            <w:tcW w:w="935" w:type="dxa"/>
          </w:tcPr>
          <w:p w14:paraId="4FA0C5A2" w14:textId="78F3DA2B"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85.2</w:t>
            </w:r>
          </w:p>
        </w:tc>
        <w:tc>
          <w:tcPr>
            <w:tcW w:w="935" w:type="dxa"/>
          </w:tcPr>
          <w:p w14:paraId="65CAB848" w14:textId="3E05A70C"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93.6</w:t>
            </w:r>
          </w:p>
        </w:tc>
        <w:tc>
          <w:tcPr>
            <w:tcW w:w="967" w:type="dxa"/>
          </w:tcPr>
          <w:p w14:paraId="2D0C9998" w14:textId="79E641E9"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91.8</w:t>
            </w:r>
          </w:p>
        </w:tc>
      </w:tr>
      <w:tr w:rsidR="00E37EE8" w:rsidRPr="00E37EE8" w14:paraId="052FC7FB"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11138DE7" w14:textId="77777777" w:rsidR="00E37EE8" w:rsidRPr="00E37EE8" w:rsidRDefault="00E37EE8" w:rsidP="00E37EE8">
            <w:pPr>
              <w:pStyle w:val="Tabletextleft"/>
              <w:rPr>
                <w:rFonts w:cs="Arial"/>
                <w:sz w:val="17"/>
                <w:szCs w:val="17"/>
              </w:rPr>
            </w:pPr>
            <w:proofErr w:type="gramStart"/>
            <w:r w:rsidRPr="00E37EE8">
              <w:rPr>
                <w:rFonts w:cs="Arial"/>
                <w:sz w:val="17"/>
                <w:szCs w:val="17"/>
                <w:lang w:eastAsia="en-AU"/>
              </w:rPr>
              <w:t>South Eastern</w:t>
            </w:r>
            <w:proofErr w:type="gramEnd"/>
            <w:r w:rsidRPr="00E37EE8">
              <w:rPr>
                <w:rFonts w:cs="Arial"/>
                <w:sz w:val="17"/>
                <w:szCs w:val="17"/>
                <w:lang w:eastAsia="en-AU"/>
              </w:rPr>
              <w:t xml:space="preserve"> Melbourne</w:t>
            </w:r>
          </w:p>
        </w:tc>
        <w:tc>
          <w:tcPr>
            <w:tcW w:w="927" w:type="dxa"/>
          </w:tcPr>
          <w:p w14:paraId="36379FAD" w14:textId="117B7D96"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77.6</w:t>
            </w:r>
          </w:p>
        </w:tc>
        <w:tc>
          <w:tcPr>
            <w:tcW w:w="935" w:type="dxa"/>
          </w:tcPr>
          <w:p w14:paraId="0EF571A3" w14:textId="498D935F"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74.2</w:t>
            </w:r>
          </w:p>
        </w:tc>
        <w:tc>
          <w:tcPr>
            <w:tcW w:w="935" w:type="dxa"/>
          </w:tcPr>
          <w:p w14:paraId="7915401F" w14:textId="575B7FF9"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66.2</w:t>
            </w:r>
          </w:p>
        </w:tc>
        <w:tc>
          <w:tcPr>
            <w:tcW w:w="935" w:type="dxa"/>
          </w:tcPr>
          <w:p w14:paraId="3F49D129" w14:textId="6C4952D7"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61.9</w:t>
            </w:r>
          </w:p>
        </w:tc>
        <w:tc>
          <w:tcPr>
            <w:tcW w:w="935" w:type="dxa"/>
          </w:tcPr>
          <w:p w14:paraId="0DE9DAF4" w14:textId="16B6A6C1"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66</w:t>
            </w:r>
          </w:p>
        </w:tc>
        <w:tc>
          <w:tcPr>
            <w:tcW w:w="967" w:type="dxa"/>
          </w:tcPr>
          <w:p w14:paraId="5F8179F0" w14:textId="0181F575"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65.4</w:t>
            </w:r>
          </w:p>
        </w:tc>
      </w:tr>
      <w:tr w:rsidR="00E37EE8" w:rsidRPr="00E37EE8" w14:paraId="2B0D6D84" w14:textId="77777777" w:rsidTr="001C42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151788DB" w14:textId="77777777" w:rsidR="00E37EE8" w:rsidRPr="00E37EE8" w:rsidRDefault="00E37EE8" w:rsidP="00E37EE8">
            <w:pPr>
              <w:pStyle w:val="Tabletextleft"/>
              <w:rPr>
                <w:rFonts w:cs="Arial"/>
                <w:sz w:val="17"/>
                <w:szCs w:val="17"/>
              </w:rPr>
            </w:pPr>
            <w:r w:rsidRPr="00E37EE8">
              <w:rPr>
                <w:rFonts w:cs="Arial"/>
                <w:sz w:val="17"/>
                <w:szCs w:val="17"/>
                <w:lang w:eastAsia="en-AU"/>
              </w:rPr>
              <w:t>Western Victoria</w:t>
            </w:r>
          </w:p>
        </w:tc>
        <w:tc>
          <w:tcPr>
            <w:tcW w:w="927" w:type="dxa"/>
          </w:tcPr>
          <w:p w14:paraId="42E9F487" w14:textId="71B24D16"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lang w:eastAsia="en-AU"/>
              </w:rPr>
            </w:pPr>
            <w:r w:rsidRPr="00B72F14">
              <w:rPr>
                <w:rFonts w:cs="Arial"/>
                <w:color w:val="000000"/>
                <w:sz w:val="17"/>
                <w:szCs w:val="17"/>
                <w:lang w:eastAsia="en-AU"/>
              </w:rPr>
              <w:t>109.6</w:t>
            </w:r>
          </w:p>
        </w:tc>
        <w:tc>
          <w:tcPr>
            <w:tcW w:w="935" w:type="dxa"/>
          </w:tcPr>
          <w:p w14:paraId="2456B703" w14:textId="60443F0D"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105.9</w:t>
            </w:r>
          </w:p>
        </w:tc>
        <w:tc>
          <w:tcPr>
            <w:tcW w:w="935" w:type="dxa"/>
          </w:tcPr>
          <w:p w14:paraId="2DB7AB02" w14:textId="3533B70E"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93.2</w:t>
            </w:r>
          </w:p>
        </w:tc>
        <w:tc>
          <w:tcPr>
            <w:tcW w:w="935" w:type="dxa"/>
          </w:tcPr>
          <w:p w14:paraId="7A28390D" w14:textId="1C026C0E"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93.2</w:t>
            </w:r>
          </w:p>
        </w:tc>
        <w:tc>
          <w:tcPr>
            <w:tcW w:w="935" w:type="dxa"/>
          </w:tcPr>
          <w:p w14:paraId="742192F1" w14:textId="23F81201"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87.1</w:t>
            </w:r>
          </w:p>
        </w:tc>
        <w:tc>
          <w:tcPr>
            <w:tcW w:w="967" w:type="dxa"/>
          </w:tcPr>
          <w:p w14:paraId="470F250E" w14:textId="7ED77DB0"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81.2</w:t>
            </w:r>
          </w:p>
        </w:tc>
      </w:tr>
      <w:tr w:rsidR="00D61457" w:rsidRPr="00E37EE8" w14:paraId="56BCFFA1" w14:textId="77777777" w:rsidTr="00D6145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shd w:val="clear" w:color="auto" w:fill="E6E6E6" w:themeFill="background2"/>
          </w:tcPr>
          <w:p w14:paraId="24756060" w14:textId="1EC0F9FB" w:rsidR="00D61457" w:rsidRPr="00E37EE8" w:rsidRDefault="00933087" w:rsidP="00E37EE8">
            <w:pPr>
              <w:pStyle w:val="Tabletextleft"/>
              <w:rPr>
                <w:rFonts w:cs="Arial"/>
                <w:sz w:val="17"/>
                <w:szCs w:val="17"/>
                <w:lang w:eastAsia="en-AU"/>
              </w:rPr>
            </w:pPr>
            <w:r w:rsidRPr="00E37EE8">
              <w:rPr>
                <w:rFonts w:cs="Arial"/>
                <w:b/>
                <w:bCs/>
                <w:sz w:val="17"/>
                <w:szCs w:val="17"/>
                <w:lang w:eastAsia="en-AU"/>
              </w:rPr>
              <w:t>Queensland</w:t>
            </w:r>
          </w:p>
        </w:tc>
        <w:tc>
          <w:tcPr>
            <w:tcW w:w="927" w:type="dxa"/>
            <w:shd w:val="clear" w:color="auto" w:fill="E6E6E6" w:themeFill="background2"/>
          </w:tcPr>
          <w:p w14:paraId="45FF1991"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6684AF95"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0B50D427"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36E79AA9"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6E250B9A"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67" w:type="dxa"/>
            <w:shd w:val="clear" w:color="auto" w:fill="E6E6E6" w:themeFill="background2"/>
          </w:tcPr>
          <w:p w14:paraId="1E3AF45B"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r>
      <w:tr w:rsidR="00E37EE8" w:rsidRPr="00E37EE8" w14:paraId="14629EC7" w14:textId="77777777" w:rsidTr="001C42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4200712F" w14:textId="77777777" w:rsidR="00E37EE8" w:rsidRPr="00E37EE8" w:rsidRDefault="00E37EE8" w:rsidP="00E37EE8">
            <w:pPr>
              <w:pStyle w:val="Tabletextleft"/>
              <w:rPr>
                <w:rFonts w:cs="Arial"/>
                <w:sz w:val="17"/>
                <w:szCs w:val="17"/>
              </w:rPr>
            </w:pPr>
            <w:r w:rsidRPr="00E37EE8">
              <w:rPr>
                <w:rFonts w:cs="Arial"/>
                <w:sz w:val="17"/>
                <w:szCs w:val="17"/>
                <w:lang w:eastAsia="en-AU"/>
              </w:rPr>
              <w:t>Brisbane North</w:t>
            </w:r>
          </w:p>
        </w:tc>
        <w:tc>
          <w:tcPr>
            <w:tcW w:w="927" w:type="dxa"/>
          </w:tcPr>
          <w:p w14:paraId="2602ED6B" w14:textId="653E4002"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lang w:eastAsia="en-AU"/>
              </w:rPr>
            </w:pPr>
            <w:r w:rsidRPr="00B72F14">
              <w:rPr>
                <w:rFonts w:cs="Arial"/>
                <w:color w:val="000000"/>
                <w:sz w:val="17"/>
                <w:szCs w:val="17"/>
                <w:lang w:eastAsia="en-AU"/>
              </w:rPr>
              <w:t>84.7</w:t>
            </w:r>
          </w:p>
        </w:tc>
        <w:tc>
          <w:tcPr>
            <w:tcW w:w="935" w:type="dxa"/>
          </w:tcPr>
          <w:p w14:paraId="595AF770" w14:textId="202A6FB6"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83.5</w:t>
            </w:r>
          </w:p>
        </w:tc>
        <w:tc>
          <w:tcPr>
            <w:tcW w:w="935" w:type="dxa"/>
          </w:tcPr>
          <w:p w14:paraId="11D36E2A" w14:textId="170C4A93"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96.3</w:t>
            </w:r>
          </w:p>
        </w:tc>
        <w:tc>
          <w:tcPr>
            <w:tcW w:w="935" w:type="dxa"/>
          </w:tcPr>
          <w:p w14:paraId="7735F900" w14:textId="78280138"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186</w:t>
            </w:r>
          </w:p>
        </w:tc>
        <w:tc>
          <w:tcPr>
            <w:tcW w:w="935" w:type="dxa"/>
          </w:tcPr>
          <w:p w14:paraId="6C9E7A98" w14:textId="7F03BD2B"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155.2</w:t>
            </w:r>
          </w:p>
        </w:tc>
        <w:tc>
          <w:tcPr>
            <w:tcW w:w="967" w:type="dxa"/>
          </w:tcPr>
          <w:p w14:paraId="16D21454" w14:textId="4D7D0518"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87.5</w:t>
            </w:r>
          </w:p>
        </w:tc>
      </w:tr>
      <w:tr w:rsidR="00E37EE8" w:rsidRPr="00E37EE8" w14:paraId="586E53C0"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2671FDFA" w14:textId="77777777" w:rsidR="00E37EE8" w:rsidRPr="00E37EE8" w:rsidRDefault="00E37EE8" w:rsidP="00E37EE8">
            <w:pPr>
              <w:pStyle w:val="Tabletextleft"/>
              <w:rPr>
                <w:rFonts w:cs="Arial"/>
                <w:sz w:val="17"/>
                <w:szCs w:val="17"/>
              </w:rPr>
            </w:pPr>
            <w:r w:rsidRPr="00E37EE8">
              <w:rPr>
                <w:rFonts w:cs="Arial"/>
                <w:sz w:val="17"/>
                <w:szCs w:val="17"/>
                <w:lang w:eastAsia="en-AU"/>
              </w:rPr>
              <w:t>Brisbane South</w:t>
            </w:r>
          </w:p>
        </w:tc>
        <w:tc>
          <w:tcPr>
            <w:tcW w:w="927" w:type="dxa"/>
          </w:tcPr>
          <w:p w14:paraId="7E2936CF" w14:textId="31C3A9A5"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75</w:t>
            </w:r>
          </w:p>
        </w:tc>
        <w:tc>
          <w:tcPr>
            <w:tcW w:w="935" w:type="dxa"/>
          </w:tcPr>
          <w:p w14:paraId="0E289EFC" w14:textId="40884F1F"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72.6</w:t>
            </w:r>
          </w:p>
        </w:tc>
        <w:tc>
          <w:tcPr>
            <w:tcW w:w="935" w:type="dxa"/>
          </w:tcPr>
          <w:p w14:paraId="4767DFB8" w14:textId="485028CF"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72.3</w:t>
            </w:r>
          </w:p>
        </w:tc>
        <w:tc>
          <w:tcPr>
            <w:tcW w:w="935" w:type="dxa"/>
          </w:tcPr>
          <w:p w14:paraId="76FE7C31" w14:textId="463A7127"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84.8</w:t>
            </w:r>
          </w:p>
        </w:tc>
        <w:tc>
          <w:tcPr>
            <w:tcW w:w="935" w:type="dxa"/>
          </w:tcPr>
          <w:p w14:paraId="1BEF68A7" w14:textId="4B13CAD8"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83.7</w:t>
            </w:r>
          </w:p>
        </w:tc>
        <w:tc>
          <w:tcPr>
            <w:tcW w:w="967" w:type="dxa"/>
          </w:tcPr>
          <w:p w14:paraId="4A8E8417" w14:textId="5159ACF7"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71.5</w:t>
            </w:r>
          </w:p>
        </w:tc>
      </w:tr>
      <w:tr w:rsidR="00E37EE8" w:rsidRPr="00E37EE8" w14:paraId="4E44749F" w14:textId="77777777" w:rsidTr="001C42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1B8FCE16" w14:textId="77777777" w:rsidR="00E37EE8" w:rsidRPr="00E37EE8" w:rsidRDefault="00E37EE8" w:rsidP="00E37EE8">
            <w:pPr>
              <w:pStyle w:val="Tabletextleft"/>
              <w:rPr>
                <w:rFonts w:cs="Arial"/>
                <w:sz w:val="17"/>
                <w:szCs w:val="17"/>
              </w:rPr>
            </w:pPr>
            <w:r w:rsidRPr="00E37EE8">
              <w:rPr>
                <w:rFonts w:cs="Arial"/>
                <w:sz w:val="17"/>
                <w:szCs w:val="17"/>
                <w:lang w:eastAsia="en-AU"/>
              </w:rPr>
              <w:t>Central Queensland, Wide Bay, Sunshine Coast</w:t>
            </w:r>
          </w:p>
        </w:tc>
        <w:tc>
          <w:tcPr>
            <w:tcW w:w="927" w:type="dxa"/>
          </w:tcPr>
          <w:p w14:paraId="76E1D397" w14:textId="784D5A2A"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lang w:eastAsia="en-AU"/>
              </w:rPr>
            </w:pPr>
            <w:r w:rsidRPr="00B72F14">
              <w:rPr>
                <w:rFonts w:cs="Arial"/>
                <w:color w:val="000000"/>
                <w:sz w:val="17"/>
                <w:szCs w:val="17"/>
                <w:lang w:eastAsia="en-AU"/>
              </w:rPr>
              <w:t>125.2</w:t>
            </w:r>
          </w:p>
        </w:tc>
        <w:tc>
          <w:tcPr>
            <w:tcW w:w="935" w:type="dxa"/>
          </w:tcPr>
          <w:p w14:paraId="507F5180" w14:textId="3A4FF2C9"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123</w:t>
            </w:r>
          </w:p>
        </w:tc>
        <w:tc>
          <w:tcPr>
            <w:tcW w:w="935" w:type="dxa"/>
          </w:tcPr>
          <w:p w14:paraId="3F6668E7" w14:textId="05D1F9C9"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123.5</w:t>
            </w:r>
          </w:p>
        </w:tc>
        <w:tc>
          <w:tcPr>
            <w:tcW w:w="935" w:type="dxa"/>
          </w:tcPr>
          <w:p w14:paraId="56D331BF" w14:textId="63684CD0"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134.2</w:t>
            </w:r>
          </w:p>
        </w:tc>
        <w:tc>
          <w:tcPr>
            <w:tcW w:w="935" w:type="dxa"/>
          </w:tcPr>
          <w:p w14:paraId="7F283F54" w14:textId="3357BBA1"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131.3</w:t>
            </w:r>
          </w:p>
        </w:tc>
        <w:tc>
          <w:tcPr>
            <w:tcW w:w="967" w:type="dxa"/>
          </w:tcPr>
          <w:p w14:paraId="46127CA4" w14:textId="47C5D0D3"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119.7</w:t>
            </w:r>
          </w:p>
        </w:tc>
      </w:tr>
      <w:tr w:rsidR="00E37EE8" w:rsidRPr="00E37EE8" w14:paraId="0186F5A9"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333AD7D2" w14:textId="77777777" w:rsidR="00E37EE8" w:rsidRPr="00E37EE8" w:rsidRDefault="00E37EE8" w:rsidP="00E37EE8">
            <w:pPr>
              <w:pStyle w:val="Tabletextleft"/>
              <w:rPr>
                <w:rFonts w:cs="Arial"/>
                <w:sz w:val="17"/>
                <w:szCs w:val="17"/>
              </w:rPr>
            </w:pPr>
            <w:r w:rsidRPr="00E37EE8">
              <w:rPr>
                <w:rFonts w:cs="Arial"/>
                <w:sz w:val="17"/>
                <w:szCs w:val="17"/>
                <w:lang w:eastAsia="en-AU"/>
              </w:rPr>
              <w:lastRenderedPageBreak/>
              <w:t>Darling Downs and West Moreton</w:t>
            </w:r>
          </w:p>
        </w:tc>
        <w:tc>
          <w:tcPr>
            <w:tcW w:w="927" w:type="dxa"/>
          </w:tcPr>
          <w:p w14:paraId="737667E1" w14:textId="0AE9177B"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56.6</w:t>
            </w:r>
          </w:p>
        </w:tc>
        <w:tc>
          <w:tcPr>
            <w:tcW w:w="935" w:type="dxa"/>
          </w:tcPr>
          <w:p w14:paraId="207C25B7" w14:textId="2B368195"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54.2</w:t>
            </w:r>
          </w:p>
        </w:tc>
        <w:tc>
          <w:tcPr>
            <w:tcW w:w="935" w:type="dxa"/>
          </w:tcPr>
          <w:p w14:paraId="55BFA470" w14:textId="6515F7EF"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48.9</w:t>
            </w:r>
          </w:p>
        </w:tc>
        <w:tc>
          <w:tcPr>
            <w:tcW w:w="935" w:type="dxa"/>
          </w:tcPr>
          <w:p w14:paraId="3414370D" w14:textId="2821ECAD"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53</w:t>
            </w:r>
          </w:p>
        </w:tc>
        <w:tc>
          <w:tcPr>
            <w:tcW w:w="935" w:type="dxa"/>
          </w:tcPr>
          <w:p w14:paraId="0690C9D0" w14:textId="1767315E"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50.8</w:t>
            </w:r>
          </w:p>
        </w:tc>
        <w:tc>
          <w:tcPr>
            <w:tcW w:w="967" w:type="dxa"/>
          </w:tcPr>
          <w:p w14:paraId="7B9AED1A" w14:textId="6CDD9EF0"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49.8</w:t>
            </w:r>
          </w:p>
        </w:tc>
      </w:tr>
      <w:tr w:rsidR="00E37EE8" w:rsidRPr="00E37EE8" w14:paraId="38A879D5" w14:textId="77777777" w:rsidTr="001C42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318B0792" w14:textId="77777777" w:rsidR="00E37EE8" w:rsidRPr="00E37EE8" w:rsidRDefault="00E37EE8" w:rsidP="00E37EE8">
            <w:pPr>
              <w:pStyle w:val="Tabletextleft"/>
              <w:rPr>
                <w:rFonts w:cs="Arial"/>
                <w:sz w:val="17"/>
                <w:szCs w:val="17"/>
              </w:rPr>
            </w:pPr>
            <w:r w:rsidRPr="00E37EE8">
              <w:rPr>
                <w:rFonts w:cs="Arial"/>
                <w:sz w:val="17"/>
                <w:szCs w:val="17"/>
                <w:lang w:eastAsia="en-AU"/>
              </w:rPr>
              <w:t>Gold Coast</w:t>
            </w:r>
          </w:p>
        </w:tc>
        <w:tc>
          <w:tcPr>
            <w:tcW w:w="927" w:type="dxa"/>
          </w:tcPr>
          <w:p w14:paraId="3DAE4834" w14:textId="0D275B72"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lang w:eastAsia="en-AU"/>
              </w:rPr>
            </w:pPr>
            <w:r w:rsidRPr="00B72F14">
              <w:rPr>
                <w:rFonts w:cs="Arial"/>
                <w:color w:val="000000"/>
                <w:sz w:val="17"/>
                <w:szCs w:val="17"/>
                <w:lang w:eastAsia="en-AU"/>
              </w:rPr>
              <w:t>71.9</w:t>
            </w:r>
          </w:p>
        </w:tc>
        <w:tc>
          <w:tcPr>
            <w:tcW w:w="935" w:type="dxa"/>
          </w:tcPr>
          <w:p w14:paraId="6214C1E7" w14:textId="39EBDA70"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71.2</w:t>
            </w:r>
          </w:p>
        </w:tc>
        <w:tc>
          <w:tcPr>
            <w:tcW w:w="935" w:type="dxa"/>
          </w:tcPr>
          <w:p w14:paraId="515F9654" w14:textId="388172A7"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90</w:t>
            </w:r>
          </w:p>
        </w:tc>
        <w:tc>
          <w:tcPr>
            <w:tcW w:w="935" w:type="dxa"/>
          </w:tcPr>
          <w:p w14:paraId="5B17056E" w14:textId="1ADA732D"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182.1</w:t>
            </w:r>
          </w:p>
        </w:tc>
        <w:tc>
          <w:tcPr>
            <w:tcW w:w="935" w:type="dxa"/>
          </w:tcPr>
          <w:p w14:paraId="1D3842E7" w14:textId="498139F2"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168.1</w:t>
            </w:r>
          </w:p>
        </w:tc>
        <w:tc>
          <w:tcPr>
            <w:tcW w:w="967" w:type="dxa"/>
          </w:tcPr>
          <w:p w14:paraId="126B47A7" w14:textId="7D98E662"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60.4</w:t>
            </w:r>
          </w:p>
        </w:tc>
      </w:tr>
      <w:tr w:rsidR="00E37EE8" w:rsidRPr="00E37EE8" w14:paraId="14B5971E"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3256A1A5" w14:textId="77777777" w:rsidR="00E37EE8" w:rsidRPr="00E37EE8" w:rsidRDefault="00E37EE8" w:rsidP="00E37EE8">
            <w:pPr>
              <w:pStyle w:val="Tabletextleft"/>
              <w:rPr>
                <w:rFonts w:cs="Arial"/>
                <w:sz w:val="17"/>
                <w:szCs w:val="17"/>
              </w:rPr>
            </w:pPr>
            <w:r w:rsidRPr="00E37EE8">
              <w:rPr>
                <w:rFonts w:cs="Arial"/>
                <w:sz w:val="17"/>
                <w:szCs w:val="17"/>
                <w:lang w:eastAsia="en-AU"/>
              </w:rPr>
              <w:t>Northern Queensland</w:t>
            </w:r>
          </w:p>
        </w:tc>
        <w:tc>
          <w:tcPr>
            <w:tcW w:w="927" w:type="dxa"/>
          </w:tcPr>
          <w:p w14:paraId="4083F26F" w14:textId="6DCB25E6"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71.1</w:t>
            </w:r>
          </w:p>
        </w:tc>
        <w:tc>
          <w:tcPr>
            <w:tcW w:w="935" w:type="dxa"/>
          </w:tcPr>
          <w:p w14:paraId="20F86EB5" w14:textId="2579E2C4"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76.2</w:t>
            </w:r>
          </w:p>
        </w:tc>
        <w:tc>
          <w:tcPr>
            <w:tcW w:w="935" w:type="dxa"/>
          </w:tcPr>
          <w:p w14:paraId="75BBDC2F" w14:textId="4FFD3692"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73.5</w:t>
            </w:r>
          </w:p>
        </w:tc>
        <w:tc>
          <w:tcPr>
            <w:tcW w:w="935" w:type="dxa"/>
          </w:tcPr>
          <w:p w14:paraId="42FAED63" w14:textId="40234FD0"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83.4</w:t>
            </w:r>
          </w:p>
        </w:tc>
        <w:tc>
          <w:tcPr>
            <w:tcW w:w="935" w:type="dxa"/>
          </w:tcPr>
          <w:p w14:paraId="2F71C19D" w14:textId="25B9B10F"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80.8</w:t>
            </w:r>
          </w:p>
        </w:tc>
        <w:tc>
          <w:tcPr>
            <w:tcW w:w="967" w:type="dxa"/>
          </w:tcPr>
          <w:p w14:paraId="3A1D64EC" w14:textId="5FCA65C3"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76.3</w:t>
            </w:r>
          </w:p>
        </w:tc>
      </w:tr>
      <w:tr w:rsidR="00E37EE8" w:rsidRPr="00E37EE8" w14:paraId="2D86CFAE" w14:textId="77777777" w:rsidTr="001C42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15730429" w14:textId="77777777" w:rsidR="00E37EE8" w:rsidRPr="00E37EE8" w:rsidRDefault="00E37EE8" w:rsidP="00E37EE8">
            <w:pPr>
              <w:pStyle w:val="Tabletextleft"/>
              <w:rPr>
                <w:rFonts w:cs="Arial"/>
                <w:sz w:val="17"/>
                <w:szCs w:val="17"/>
              </w:rPr>
            </w:pPr>
            <w:r w:rsidRPr="00E37EE8">
              <w:rPr>
                <w:rFonts w:cs="Arial"/>
                <w:sz w:val="17"/>
                <w:szCs w:val="17"/>
                <w:lang w:eastAsia="en-AU"/>
              </w:rPr>
              <w:t>Western Queensland</w:t>
            </w:r>
          </w:p>
        </w:tc>
        <w:tc>
          <w:tcPr>
            <w:tcW w:w="927" w:type="dxa"/>
          </w:tcPr>
          <w:p w14:paraId="78735D73" w14:textId="72AED775"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lang w:eastAsia="en-AU"/>
              </w:rPr>
            </w:pPr>
            <w:r w:rsidRPr="00B72F14">
              <w:rPr>
                <w:rFonts w:cs="Arial"/>
                <w:color w:val="000000"/>
                <w:sz w:val="17"/>
                <w:szCs w:val="17"/>
                <w:lang w:eastAsia="en-AU"/>
              </w:rPr>
              <w:t>210.2</w:t>
            </w:r>
          </w:p>
        </w:tc>
        <w:tc>
          <w:tcPr>
            <w:tcW w:w="935" w:type="dxa"/>
          </w:tcPr>
          <w:p w14:paraId="7CD50CB2" w14:textId="388C99BE"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223.1</w:t>
            </w:r>
          </w:p>
        </w:tc>
        <w:tc>
          <w:tcPr>
            <w:tcW w:w="935" w:type="dxa"/>
          </w:tcPr>
          <w:p w14:paraId="1454F5B0" w14:textId="04F2D9C8"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233.9</w:t>
            </w:r>
          </w:p>
        </w:tc>
        <w:tc>
          <w:tcPr>
            <w:tcW w:w="935" w:type="dxa"/>
          </w:tcPr>
          <w:p w14:paraId="1A621F81" w14:textId="73997344"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269.6</w:t>
            </w:r>
          </w:p>
        </w:tc>
        <w:tc>
          <w:tcPr>
            <w:tcW w:w="935" w:type="dxa"/>
          </w:tcPr>
          <w:p w14:paraId="415F650A" w14:textId="60E7FEF2"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244.5</w:t>
            </w:r>
          </w:p>
        </w:tc>
        <w:tc>
          <w:tcPr>
            <w:tcW w:w="967" w:type="dxa"/>
          </w:tcPr>
          <w:p w14:paraId="03B40DEC" w14:textId="3F2C84DF"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226.3</w:t>
            </w:r>
          </w:p>
        </w:tc>
      </w:tr>
      <w:tr w:rsidR="00D61457" w:rsidRPr="00E37EE8" w14:paraId="3BB3A0B0" w14:textId="77777777" w:rsidTr="00D6145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shd w:val="clear" w:color="auto" w:fill="E6E6E6" w:themeFill="background2"/>
          </w:tcPr>
          <w:p w14:paraId="1AE2470B" w14:textId="41D4992C" w:rsidR="00D61457" w:rsidRPr="00E37EE8" w:rsidRDefault="00933087" w:rsidP="00E37EE8">
            <w:pPr>
              <w:pStyle w:val="Tabletextleft"/>
              <w:rPr>
                <w:rFonts w:cs="Arial"/>
                <w:sz w:val="17"/>
                <w:szCs w:val="17"/>
                <w:lang w:eastAsia="en-AU"/>
              </w:rPr>
            </w:pPr>
            <w:r w:rsidRPr="00E37EE8">
              <w:rPr>
                <w:rFonts w:cs="Arial"/>
                <w:b/>
                <w:bCs/>
                <w:sz w:val="17"/>
                <w:szCs w:val="17"/>
                <w:lang w:eastAsia="en-AU"/>
              </w:rPr>
              <w:t>South Australia</w:t>
            </w:r>
          </w:p>
        </w:tc>
        <w:tc>
          <w:tcPr>
            <w:tcW w:w="927" w:type="dxa"/>
            <w:shd w:val="clear" w:color="auto" w:fill="E6E6E6" w:themeFill="background2"/>
          </w:tcPr>
          <w:p w14:paraId="75CC2944"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3457FF5A"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2EEBFE08"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2E7D46AF"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170D6FE2"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c>
          <w:tcPr>
            <w:tcW w:w="967" w:type="dxa"/>
            <w:shd w:val="clear" w:color="auto" w:fill="E6E6E6" w:themeFill="background2"/>
          </w:tcPr>
          <w:p w14:paraId="7989EF70" w14:textId="77777777" w:rsidR="00D61457" w:rsidRPr="00B72F14" w:rsidRDefault="00D61457"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000000"/>
                <w:sz w:val="17"/>
                <w:szCs w:val="17"/>
                <w:lang w:eastAsia="en-AU"/>
              </w:rPr>
            </w:pPr>
          </w:p>
        </w:tc>
      </w:tr>
      <w:tr w:rsidR="00E37EE8" w:rsidRPr="00E37EE8" w14:paraId="4DA69E96" w14:textId="77777777" w:rsidTr="001C42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2B0E3D75" w14:textId="77777777" w:rsidR="00E37EE8" w:rsidRPr="00E37EE8" w:rsidRDefault="00E37EE8" w:rsidP="00E37EE8">
            <w:pPr>
              <w:pStyle w:val="Tabletextleft"/>
              <w:rPr>
                <w:rFonts w:cs="Arial"/>
                <w:sz w:val="17"/>
                <w:szCs w:val="17"/>
              </w:rPr>
            </w:pPr>
            <w:r w:rsidRPr="00E37EE8">
              <w:rPr>
                <w:rFonts w:cs="Arial"/>
                <w:sz w:val="17"/>
                <w:szCs w:val="17"/>
                <w:lang w:eastAsia="en-AU"/>
              </w:rPr>
              <w:t>Adelaide</w:t>
            </w:r>
          </w:p>
        </w:tc>
        <w:tc>
          <w:tcPr>
            <w:tcW w:w="927" w:type="dxa"/>
          </w:tcPr>
          <w:p w14:paraId="5C5888CB" w14:textId="2AC492BA"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lang w:eastAsia="en-AU"/>
              </w:rPr>
            </w:pPr>
            <w:r w:rsidRPr="00B72F14">
              <w:rPr>
                <w:rFonts w:cs="Arial"/>
                <w:color w:val="000000"/>
                <w:sz w:val="17"/>
                <w:szCs w:val="17"/>
                <w:lang w:eastAsia="en-AU"/>
              </w:rPr>
              <w:t>89.1</w:t>
            </w:r>
          </w:p>
        </w:tc>
        <w:tc>
          <w:tcPr>
            <w:tcW w:w="935" w:type="dxa"/>
          </w:tcPr>
          <w:p w14:paraId="4B84C50A" w14:textId="523DAC55"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89.6</w:t>
            </w:r>
          </w:p>
        </w:tc>
        <w:tc>
          <w:tcPr>
            <w:tcW w:w="935" w:type="dxa"/>
          </w:tcPr>
          <w:p w14:paraId="3F87DCAF" w14:textId="59184749"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81</w:t>
            </w:r>
          </w:p>
        </w:tc>
        <w:tc>
          <w:tcPr>
            <w:tcW w:w="935" w:type="dxa"/>
          </w:tcPr>
          <w:p w14:paraId="5A2A0D6C" w14:textId="2D3718FE"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92.8</w:t>
            </w:r>
          </w:p>
        </w:tc>
        <w:tc>
          <w:tcPr>
            <w:tcW w:w="935" w:type="dxa"/>
          </w:tcPr>
          <w:p w14:paraId="1A51DF00" w14:textId="35C69633"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85.8</w:t>
            </w:r>
          </w:p>
        </w:tc>
        <w:tc>
          <w:tcPr>
            <w:tcW w:w="967" w:type="dxa"/>
          </w:tcPr>
          <w:p w14:paraId="51E4B2A7" w14:textId="1E7CF8C6"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85.6</w:t>
            </w:r>
          </w:p>
        </w:tc>
      </w:tr>
      <w:tr w:rsidR="00E37EE8" w:rsidRPr="00E37EE8" w14:paraId="2F1B01F2"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0C1ECC3E" w14:textId="77777777" w:rsidR="00E37EE8" w:rsidRPr="00E37EE8" w:rsidRDefault="00E37EE8" w:rsidP="00E37EE8">
            <w:pPr>
              <w:pStyle w:val="Tabletextleft"/>
              <w:rPr>
                <w:rFonts w:cs="Arial"/>
                <w:sz w:val="17"/>
                <w:szCs w:val="17"/>
              </w:rPr>
            </w:pPr>
            <w:r w:rsidRPr="00E37EE8">
              <w:rPr>
                <w:rFonts w:cs="Arial"/>
                <w:sz w:val="17"/>
                <w:szCs w:val="17"/>
                <w:lang w:eastAsia="en-AU"/>
              </w:rPr>
              <w:t>Country SA</w:t>
            </w:r>
          </w:p>
        </w:tc>
        <w:tc>
          <w:tcPr>
            <w:tcW w:w="927" w:type="dxa"/>
          </w:tcPr>
          <w:p w14:paraId="148E21A5" w14:textId="3B607A07"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114.2</w:t>
            </w:r>
          </w:p>
        </w:tc>
        <w:tc>
          <w:tcPr>
            <w:tcW w:w="935" w:type="dxa"/>
          </w:tcPr>
          <w:p w14:paraId="2BAD767B" w14:textId="7F363DEC"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111.9</w:t>
            </w:r>
          </w:p>
        </w:tc>
        <w:tc>
          <w:tcPr>
            <w:tcW w:w="935" w:type="dxa"/>
          </w:tcPr>
          <w:p w14:paraId="38A727B9" w14:textId="5EF28FB4"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126.7</w:t>
            </w:r>
          </w:p>
        </w:tc>
        <w:tc>
          <w:tcPr>
            <w:tcW w:w="935" w:type="dxa"/>
          </w:tcPr>
          <w:p w14:paraId="7FABB247" w14:textId="1A7FC7BB"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142.5</w:t>
            </w:r>
          </w:p>
        </w:tc>
        <w:tc>
          <w:tcPr>
            <w:tcW w:w="935" w:type="dxa"/>
          </w:tcPr>
          <w:p w14:paraId="78E35855" w14:textId="331E1485"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153.3</w:t>
            </w:r>
          </w:p>
        </w:tc>
        <w:tc>
          <w:tcPr>
            <w:tcW w:w="967" w:type="dxa"/>
          </w:tcPr>
          <w:p w14:paraId="44C0AF89" w14:textId="24060603"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163.8</w:t>
            </w:r>
          </w:p>
        </w:tc>
      </w:tr>
      <w:tr w:rsidR="00D61457" w:rsidRPr="00E37EE8" w14:paraId="1824C717" w14:textId="77777777" w:rsidTr="00D614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shd w:val="clear" w:color="auto" w:fill="E6E6E6" w:themeFill="background2"/>
          </w:tcPr>
          <w:p w14:paraId="46E1D49D" w14:textId="4E6C4089" w:rsidR="00D61457" w:rsidRPr="00E37EE8" w:rsidRDefault="00933087" w:rsidP="00E37EE8">
            <w:pPr>
              <w:pStyle w:val="Tabletextleft"/>
              <w:rPr>
                <w:rFonts w:cs="Arial"/>
                <w:sz w:val="17"/>
                <w:szCs w:val="17"/>
                <w:lang w:eastAsia="en-AU"/>
              </w:rPr>
            </w:pPr>
            <w:r w:rsidRPr="00E37EE8">
              <w:rPr>
                <w:rFonts w:cs="Arial"/>
                <w:b/>
                <w:bCs/>
                <w:sz w:val="17"/>
                <w:szCs w:val="17"/>
                <w:lang w:eastAsia="en-AU"/>
              </w:rPr>
              <w:t>Western Australia</w:t>
            </w:r>
          </w:p>
        </w:tc>
        <w:tc>
          <w:tcPr>
            <w:tcW w:w="927" w:type="dxa"/>
            <w:shd w:val="clear" w:color="auto" w:fill="E6E6E6" w:themeFill="background2"/>
          </w:tcPr>
          <w:p w14:paraId="60A657AF"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687ECDCE"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63AA53FE"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1865104A"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782EB8A0"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67" w:type="dxa"/>
            <w:shd w:val="clear" w:color="auto" w:fill="E6E6E6" w:themeFill="background2"/>
          </w:tcPr>
          <w:p w14:paraId="336DD8D9"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r>
      <w:tr w:rsidR="00E37EE8" w:rsidRPr="00E37EE8" w14:paraId="441D82B6"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0871A6BE" w14:textId="77777777" w:rsidR="00E37EE8" w:rsidRPr="00E37EE8" w:rsidRDefault="00E37EE8" w:rsidP="00E37EE8">
            <w:pPr>
              <w:pStyle w:val="Tabletextleft"/>
              <w:rPr>
                <w:rFonts w:cs="Arial"/>
                <w:sz w:val="17"/>
                <w:szCs w:val="17"/>
              </w:rPr>
            </w:pPr>
            <w:r w:rsidRPr="00E37EE8">
              <w:rPr>
                <w:rFonts w:cs="Arial"/>
                <w:sz w:val="17"/>
                <w:szCs w:val="17"/>
                <w:lang w:eastAsia="en-AU"/>
              </w:rPr>
              <w:t>Country WA</w:t>
            </w:r>
          </w:p>
        </w:tc>
        <w:tc>
          <w:tcPr>
            <w:tcW w:w="927" w:type="dxa"/>
          </w:tcPr>
          <w:p w14:paraId="0B1685E4" w14:textId="442BE4AB"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200.9</w:t>
            </w:r>
          </w:p>
        </w:tc>
        <w:tc>
          <w:tcPr>
            <w:tcW w:w="935" w:type="dxa"/>
          </w:tcPr>
          <w:p w14:paraId="7A1B3E83" w14:textId="62F055E7"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270.2</w:t>
            </w:r>
          </w:p>
        </w:tc>
        <w:tc>
          <w:tcPr>
            <w:tcW w:w="935" w:type="dxa"/>
          </w:tcPr>
          <w:p w14:paraId="023A1AC2" w14:textId="391C5A55"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273.9</w:t>
            </w:r>
          </w:p>
        </w:tc>
        <w:tc>
          <w:tcPr>
            <w:tcW w:w="935" w:type="dxa"/>
          </w:tcPr>
          <w:p w14:paraId="0A213F00" w14:textId="0FC23970"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291.7</w:t>
            </w:r>
          </w:p>
        </w:tc>
        <w:tc>
          <w:tcPr>
            <w:tcW w:w="935" w:type="dxa"/>
          </w:tcPr>
          <w:p w14:paraId="387A9129" w14:textId="292226E6"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273.3</w:t>
            </w:r>
          </w:p>
        </w:tc>
        <w:tc>
          <w:tcPr>
            <w:tcW w:w="967" w:type="dxa"/>
          </w:tcPr>
          <w:p w14:paraId="511F982B" w14:textId="1E3B1BA6"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268.8</w:t>
            </w:r>
          </w:p>
        </w:tc>
      </w:tr>
      <w:tr w:rsidR="00E37EE8" w:rsidRPr="00E37EE8" w14:paraId="393757DC" w14:textId="77777777" w:rsidTr="001C42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3B2C58D5" w14:textId="77777777" w:rsidR="00E37EE8" w:rsidRPr="00E37EE8" w:rsidRDefault="00E37EE8" w:rsidP="00E37EE8">
            <w:pPr>
              <w:pStyle w:val="Tabletextleft"/>
              <w:rPr>
                <w:rFonts w:cs="Arial"/>
                <w:sz w:val="17"/>
                <w:szCs w:val="17"/>
              </w:rPr>
            </w:pPr>
            <w:r w:rsidRPr="00E37EE8">
              <w:rPr>
                <w:rFonts w:cs="Arial"/>
                <w:sz w:val="17"/>
                <w:szCs w:val="17"/>
                <w:lang w:eastAsia="en-AU"/>
              </w:rPr>
              <w:t>Perth North</w:t>
            </w:r>
          </w:p>
        </w:tc>
        <w:tc>
          <w:tcPr>
            <w:tcW w:w="927" w:type="dxa"/>
          </w:tcPr>
          <w:p w14:paraId="2F58BF9E" w14:textId="5CA07DD4"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lang w:eastAsia="en-AU"/>
              </w:rPr>
            </w:pPr>
            <w:r w:rsidRPr="00B72F14">
              <w:rPr>
                <w:rFonts w:cs="Arial"/>
                <w:color w:val="000000"/>
                <w:sz w:val="17"/>
                <w:szCs w:val="17"/>
                <w:lang w:eastAsia="en-AU"/>
              </w:rPr>
              <w:t>102.4</w:t>
            </w:r>
          </w:p>
        </w:tc>
        <w:tc>
          <w:tcPr>
            <w:tcW w:w="935" w:type="dxa"/>
          </w:tcPr>
          <w:p w14:paraId="7ABBDAE0" w14:textId="140815A5"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108.7</w:t>
            </w:r>
          </w:p>
        </w:tc>
        <w:tc>
          <w:tcPr>
            <w:tcW w:w="935" w:type="dxa"/>
          </w:tcPr>
          <w:p w14:paraId="13C8B259" w14:textId="15331670"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101.4</w:t>
            </w:r>
          </w:p>
        </w:tc>
        <w:tc>
          <w:tcPr>
            <w:tcW w:w="935" w:type="dxa"/>
          </w:tcPr>
          <w:p w14:paraId="156EB443" w14:textId="63F082B4"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107.7</w:t>
            </w:r>
          </w:p>
        </w:tc>
        <w:tc>
          <w:tcPr>
            <w:tcW w:w="935" w:type="dxa"/>
          </w:tcPr>
          <w:p w14:paraId="53061D18" w14:textId="1CD32030"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96.9</w:t>
            </w:r>
          </w:p>
        </w:tc>
        <w:tc>
          <w:tcPr>
            <w:tcW w:w="967" w:type="dxa"/>
          </w:tcPr>
          <w:p w14:paraId="2C9708BF" w14:textId="6A86A162" w:rsidR="00E37EE8" w:rsidRPr="00E37EE8" w:rsidRDefault="00E37EE8"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B72F14">
              <w:rPr>
                <w:rFonts w:cs="Arial"/>
                <w:color w:val="000000"/>
                <w:sz w:val="17"/>
                <w:szCs w:val="17"/>
                <w:lang w:eastAsia="en-AU"/>
              </w:rPr>
              <w:t>88.8</w:t>
            </w:r>
          </w:p>
        </w:tc>
      </w:tr>
      <w:tr w:rsidR="00E37EE8" w:rsidRPr="00E37EE8" w14:paraId="1BA88C7D"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1B326FE9" w14:textId="77777777" w:rsidR="00E37EE8" w:rsidRPr="00E37EE8" w:rsidRDefault="00E37EE8" w:rsidP="00E37EE8">
            <w:pPr>
              <w:pStyle w:val="Tabletextleft"/>
              <w:rPr>
                <w:rFonts w:cs="Arial"/>
                <w:sz w:val="17"/>
                <w:szCs w:val="17"/>
              </w:rPr>
            </w:pPr>
            <w:r w:rsidRPr="00E37EE8">
              <w:rPr>
                <w:rFonts w:cs="Arial"/>
                <w:sz w:val="17"/>
                <w:szCs w:val="17"/>
                <w:lang w:eastAsia="en-AU"/>
              </w:rPr>
              <w:t>Perth South</w:t>
            </w:r>
          </w:p>
        </w:tc>
        <w:tc>
          <w:tcPr>
            <w:tcW w:w="927" w:type="dxa"/>
          </w:tcPr>
          <w:p w14:paraId="78FC0114" w14:textId="49EA2589"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118.3</w:t>
            </w:r>
          </w:p>
        </w:tc>
        <w:tc>
          <w:tcPr>
            <w:tcW w:w="935" w:type="dxa"/>
          </w:tcPr>
          <w:p w14:paraId="76C24862" w14:textId="36AED90E"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120.8</w:t>
            </w:r>
          </w:p>
        </w:tc>
        <w:tc>
          <w:tcPr>
            <w:tcW w:w="935" w:type="dxa"/>
          </w:tcPr>
          <w:p w14:paraId="165FDC01" w14:textId="6CC9B138"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111.8</w:t>
            </w:r>
          </w:p>
        </w:tc>
        <w:tc>
          <w:tcPr>
            <w:tcW w:w="935" w:type="dxa"/>
          </w:tcPr>
          <w:p w14:paraId="7687C456" w14:textId="10A0A7F5"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119.8</w:t>
            </w:r>
          </w:p>
        </w:tc>
        <w:tc>
          <w:tcPr>
            <w:tcW w:w="935" w:type="dxa"/>
          </w:tcPr>
          <w:p w14:paraId="51841D5D" w14:textId="13739476"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117</w:t>
            </w:r>
          </w:p>
        </w:tc>
        <w:tc>
          <w:tcPr>
            <w:tcW w:w="967" w:type="dxa"/>
          </w:tcPr>
          <w:p w14:paraId="54675805" w14:textId="17563DAA"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107.9</w:t>
            </w:r>
          </w:p>
        </w:tc>
      </w:tr>
      <w:tr w:rsidR="00D61457" w:rsidRPr="00E37EE8" w14:paraId="4DB168CE" w14:textId="77777777" w:rsidTr="00D614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shd w:val="clear" w:color="auto" w:fill="E6E6E6" w:themeFill="background2"/>
          </w:tcPr>
          <w:p w14:paraId="5CA830A5" w14:textId="34AD0936" w:rsidR="00D61457" w:rsidRPr="00E37EE8" w:rsidRDefault="00933087" w:rsidP="00E37EE8">
            <w:pPr>
              <w:pStyle w:val="Tabletextleft"/>
              <w:rPr>
                <w:rFonts w:cs="Arial"/>
                <w:sz w:val="17"/>
                <w:szCs w:val="17"/>
                <w:lang w:eastAsia="en-AU"/>
              </w:rPr>
            </w:pPr>
            <w:r w:rsidRPr="00E37EE8">
              <w:rPr>
                <w:rFonts w:cs="Arial"/>
                <w:b/>
                <w:bCs/>
                <w:sz w:val="17"/>
                <w:szCs w:val="17"/>
                <w:lang w:eastAsia="en-AU"/>
              </w:rPr>
              <w:t>Tasmania</w:t>
            </w:r>
          </w:p>
        </w:tc>
        <w:tc>
          <w:tcPr>
            <w:tcW w:w="927" w:type="dxa"/>
            <w:shd w:val="clear" w:color="auto" w:fill="E6E6E6" w:themeFill="background2"/>
          </w:tcPr>
          <w:p w14:paraId="3B5F23C7"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4BEC4A1B"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42E3CC38"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381E5517"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7EB31789"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67" w:type="dxa"/>
            <w:shd w:val="clear" w:color="auto" w:fill="E6E6E6" w:themeFill="background2"/>
          </w:tcPr>
          <w:p w14:paraId="379AEE36"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r>
      <w:tr w:rsidR="00E37EE8" w:rsidRPr="00E37EE8" w14:paraId="39F28365"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1C29B5E5" w14:textId="77777777" w:rsidR="00E37EE8" w:rsidRPr="00E37EE8" w:rsidRDefault="00E37EE8" w:rsidP="00E37EE8">
            <w:pPr>
              <w:pStyle w:val="Tabletextleft"/>
              <w:rPr>
                <w:rFonts w:cs="Arial"/>
                <w:sz w:val="17"/>
                <w:szCs w:val="17"/>
              </w:rPr>
            </w:pPr>
            <w:r w:rsidRPr="00E37EE8">
              <w:rPr>
                <w:rFonts w:cs="Arial"/>
                <w:sz w:val="17"/>
                <w:szCs w:val="17"/>
                <w:lang w:eastAsia="en-AU"/>
              </w:rPr>
              <w:t>Tasmania</w:t>
            </w:r>
          </w:p>
        </w:tc>
        <w:tc>
          <w:tcPr>
            <w:tcW w:w="927" w:type="dxa"/>
          </w:tcPr>
          <w:p w14:paraId="0733C466" w14:textId="54133DA5"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125</w:t>
            </w:r>
          </w:p>
        </w:tc>
        <w:tc>
          <w:tcPr>
            <w:tcW w:w="935" w:type="dxa"/>
          </w:tcPr>
          <w:p w14:paraId="680224FD" w14:textId="18FE6D2A"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124.6</w:t>
            </w:r>
          </w:p>
        </w:tc>
        <w:tc>
          <w:tcPr>
            <w:tcW w:w="935" w:type="dxa"/>
          </w:tcPr>
          <w:p w14:paraId="3551F6FF" w14:textId="73AEA0DF"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108.2</w:t>
            </w:r>
          </w:p>
        </w:tc>
        <w:tc>
          <w:tcPr>
            <w:tcW w:w="935" w:type="dxa"/>
          </w:tcPr>
          <w:p w14:paraId="247D5C7F" w14:textId="0D5E8932"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119.9</w:t>
            </w:r>
          </w:p>
        </w:tc>
        <w:tc>
          <w:tcPr>
            <w:tcW w:w="935" w:type="dxa"/>
          </w:tcPr>
          <w:p w14:paraId="78522F07" w14:textId="7EC1F224"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110.6</w:t>
            </w:r>
          </w:p>
        </w:tc>
        <w:tc>
          <w:tcPr>
            <w:tcW w:w="967" w:type="dxa"/>
          </w:tcPr>
          <w:p w14:paraId="03E316E8" w14:textId="71734B02"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103.4</w:t>
            </w:r>
          </w:p>
        </w:tc>
      </w:tr>
      <w:tr w:rsidR="00D61457" w:rsidRPr="00E37EE8" w14:paraId="3AB6DA9A" w14:textId="77777777" w:rsidTr="00D614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shd w:val="clear" w:color="auto" w:fill="E6E6E6" w:themeFill="background2"/>
          </w:tcPr>
          <w:p w14:paraId="56690592" w14:textId="261BEB8A" w:rsidR="00D61457" w:rsidRPr="00E37EE8" w:rsidRDefault="00933087" w:rsidP="00E37EE8">
            <w:pPr>
              <w:pStyle w:val="Tabletextleft"/>
              <w:rPr>
                <w:rFonts w:cs="Arial"/>
                <w:sz w:val="17"/>
                <w:szCs w:val="17"/>
                <w:lang w:eastAsia="en-AU"/>
              </w:rPr>
            </w:pPr>
            <w:r w:rsidRPr="00E37EE8">
              <w:rPr>
                <w:rFonts w:cs="Arial"/>
                <w:b/>
                <w:bCs/>
                <w:sz w:val="17"/>
                <w:szCs w:val="17"/>
                <w:lang w:eastAsia="en-AU"/>
              </w:rPr>
              <w:t>Northern Territory</w:t>
            </w:r>
          </w:p>
        </w:tc>
        <w:tc>
          <w:tcPr>
            <w:tcW w:w="927" w:type="dxa"/>
            <w:shd w:val="clear" w:color="auto" w:fill="E6E6E6" w:themeFill="background2"/>
          </w:tcPr>
          <w:p w14:paraId="160788BC"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3A154DD8"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5E581E20"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7588967A"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1401B2E5"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67" w:type="dxa"/>
            <w:shd w:val="clear" w:color="auto" w:fill="E6E6E6" w:themeFill="background2"/>
          </w:tcPr>
          <w:p w14:paraId="2038B650"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r>
      <w:tr w:rsidR="00E37EE8" w:rsidRPr="00E37EE8" w14:paraId="3E8E0486"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63101D4A" w14:textId="77777777" w:rsidR="00E37EE8" w:rsidRPr="00E37EE8" w:rsidRDefault="00E37EE8" w:rsidP="00E37EE8">
            <w:pPr>
              <w:pStyle w:val="Tabletextleft"/>
              <w:rPr>
                <w:rFonts w:cs="Arial"/>
                <w:sz w:val="17"/>
                <w:szCs w:val="17"/>
              </w:rPr>
            </w:pPr>
            <w:r w:rsidRPr="00E37EE8">
              <w:rPr>
                <w:rFonts w:cs="Arial"/>
                <w:sz w:val="17"/>
                <w:szCs w:val="17"/>
                <w:lang w:eastAsia="en-AU"/>
              </w:rPr>
              <w:t>Northern Territory</w:t>
            </w:r>
          </w:p>
        </w:tc>
        <w:tc>
          <w:tcPr>
            <w:tcW w:w="927" w:type="dxa"/>
          </w:tcPr>
          <w:p w14:paraId="7C409D3C" w14:textId="6616923C"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224.2</w:t>
            </w:r>
          </w:p>
        </w:tc>
        <w:tc>
          <w:tcPr>
            <w:tcW w:w="935" w:type="dxa"/>
          </w:tcPr>
          <w:p w14:paraId="55DD0294" w14:textId="0AF4FCB0"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241.7</w:t>
            </w:r>
          </w:p>
        </w:tc>
        <w:tc>
          <w:tcPr>
            <w:tcW w:w="935" w:type="dxa"/>
          </w:tcPr>
          <w:p w14:paraId="1AB8C44E" w14:textId="0130C76D"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236</w:t>
            </w:r>
          </w:p>
        </w:tc>
        <w:tc>
          <w:tcPr>
            <w:tcW w:w="935" w:type="dxa"/>
          </w:tcPr>
          <w:p w14:paraId="3D4FA453" w14:textId="43975F62"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256.4</w:t>
            </w:r>
          </w:p>
        </w:tc>
        <w:tc>
          <w:tcPr>
            <w:tcW w:w="935" w:type="dxa"/>
          </w:tcPr>
          <w:p w14:paraId="335FE2A3" w14:textId="21331522"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253.3</w:t>
            </w:r>
          </w:p>
        </w:tc>
        <w:tc>
          <w:tcPr>
            <w:tcW w:w="967" w:type="dxa"/>
          </w:tcPr>
          <w:p w14:paraId="008662EE" w14:textId="3FBE8DB9"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266.8</w:t>
            </w:r>
          </w:p>
        </w:tc>
      </w:tr>
      <w:tr w:rsidR="00D61457" w:rsidRPr="00E37EE8" w14:paraId="4BDC8083" w14:textId="77777777" w:rsidTr="00D614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shd w:val="clear" w:color="auto" w:fill="E6E6E6" w:themeFill="background2"/>
          </w:tcPr>
          <w:p w14:paraId="6FB35E67" w14:textId="3AEF6EBF" w:rsidR="00D61457" w:rsidRPr="00E37EE8" w:rsidRDefault="00933087" w:rsidP="00E37EE8">
            <w:pPr>
              <w:pStyle w:val="Tabletextleft"/>
              <w:rPr>
                <w:rFonts w:cs="Arial"/>
                <w:sz w:val="17"/>
                <w:szCs w:val="17"/>
                <w:lang w:eastAsia="en-AU"/>
              </w:rPr>
            </w:pPr>
            <w:r w:rsidRPr="00E37EE8">
              <w:rPr>
                <w:rFonts w:cs="Arial"/>
                <w:b/>
                <w:bCs/>
                <w:sz w:val="17"/>
                <w:szCs w:val="17"/>
                <w:lang w:eastAsia="en-AU"/>
              </w:rPr>
              <w:t>Australian Capital Territory</w:t>
            </w:r>
          </w:p>
        </w:tc>
        <w:tc>
          <w:tcPr>
            <w:tcW w:w="927" w:type="dxa"/>
            <w:shd w:val="clear" w:color="auto" w:fill="E6E6E6" w:themeFill="background2"/>
          </w:tcPr>
          <w:p w14:paraId="4F398A61"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6D7E99E8"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2CE33DFD"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24CDCB2F"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35" w:type="dxa"/>
            <w:shd w:val="clear" w:color="auto" w:fill="E6E6E6" w:themeFill="background2"/>
          </w:tcPr>
          <w:p w14:paraId="05F88D5D"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c>
          <w:tcPr>
            <w:tcW w:w="967" w:type="dxa"/>
            <w:shd w:val="clear" w:color="auto" w:fill="E6E6E6" w:themeFill="background2"/>
          </w:tcPr>
          <w:p w14:paraId="2B53E09C" w14:textId="77777777" w:rsidR="00D61457" w:rsidRPr="00B72F14" w:rsidRDefault="00D61457" w:rsidP="00E37EE8">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000000"/>
                <w:sz w:val="17"/>
                <w:szCs w:val="17"/>
                <w:lang w:eastAsia="en-AU"/>
              </w:rPr>
            </w:pPr>
          </w:p>
        </w:tc>
      </w:tr>
      <w:tr w:rsidR="00E37EE8" w:rsidRPr="00E37EE8" w14:paraId="4BCD96AB" w14:textId="77777777" w:rsidTr="001C421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76" w:type="dxa"/>
          </w:tcPr>
          <w:p w14:paraId="3F430191" w14:textId="77777777" w:rsidR="00E37EE8" w:rsidRPr="00E37EE8" w:rsidRDefault="00E37EE8" w:rsidP="00E37EE8">
            <w:pPr>
              <w:pStyle w:val="Tabletextleft"/>
              <w:rPr>
                <w:rFonts w:cs="Arial"/>
                <w:sz w:val="17"/>
                <w:szCs w:val="17"/>
              </w:rPr>
            </w:pPr>
            <w:r w:rsidRPr="00E37EE8">
              <w:rPr>
                <w:rFonts w:cs="Arial"/>
                <w:sz w:val="17"/>
                <w:szCs w:val="17"/>
                <w:lang w:eastAsia="en-AU"/>
              </w:rPr>
              <w:t>Australian Capital Territory</w:t>
            </w:r>
          </w:p>
        </w:tc>
        <w:tc>
          <w:tcPr>
            <w:tcW w:w="927" w:type="dxa"/>
          </w:tcPr>
          <w:p w14:paraId="089FE8E7" w14:textId="7FF8FD25"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lang w:eastAsia="en-AU"/>
              </w:rPr>
            </w:pPr>
            <w:r w:rsidRPr="00B72F14">
              <w:rPr>
                <w:rFonts w:cs="Arial"/>
                <w:color w:val="000000"/>
                <w:sz w:val="17"/>
                <w:szCs w:val="17"/>
                <w:lang w:eastAsia="en-AU"/>
              </w:rPr>
              <w:t>126.4</w:t>
            </w:r>
          </w:p>
        </w:tc>
        <w:tc>
          <w:tcPr>
            <w:tcW w:w="935" w:type="dxa"/>
          </w:tcPr>
          <w:p w14:paraId="79B6957F" w14:textId="0E146417"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117.8</w:t>
            </w:r>
          </w:p>
        </w:tc>
        <w:tc>
          <w:tcPr>
            <w:tcW w:w="935" w:type="dxa"/>
          </w:tcPr>
          <w:p w14:paraId="6C921016" w14:textId="3F506C58"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101.2</w:t>
            </w:r>
          </w:p>
        </w:tc>
        <w:tc>
          <w:tcPr>
            <w:tcW w:w="935" w:type="dxa"/>
          </w:tcPr>
          <w:p w14:paraId="3A800C03" w14:textId="0B594955"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117.3</w:t>
            </w:r>
          </w:p>
        </w:tc>
        <w:tc>
          <w:tcPr>
            <w:tcW w:w="935" w:type="dxa"/>
          </w:tcPr>
          <w:p w14:paraId="5D5997D8" w14:textId="7B5F01CA"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110.9</w:t>
            </w:r>
          </w:p>
        </w:tc>
        <w:tc>
          <w:tcPr>
            <w:tcW w:w="967" w:type="dxa"/>
          </w:tcPr>
          <w:p w14:paraId="5123219E" w14:textId="06D4A044" w:rsidR="00E37EE8" w:rsidRPr="00E37EE8" w:rsidRDefault="00E37EE8" w:rsidP="00E37EE8">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B72F14">
              <w:rPr>
                <w:rFonts w:cs="Arial"/>
                <w:color w:val="000000"/>
                <w:sz w:val="17"/>
                <w:szCs w:val="17"/>
                <w:lang w:eastAsia="en-AU"/>
              </w:rPr>
              <w:t>101.9</w:t>
            </w:r>
          </w:p>
        </w:tc>
      </w:tr>
    </w:tbl>
    <w:p w14:paraId="4219B296" w14:textId="77777777" w:rsidR="008C590A" w:rsidRDefault="008C590A" w:rsidP="008C590A"/>
    <w:p w14:paraId="7267821B" w14:textId="14EAC68C" w:rsidR="0031073F" w:rsidRPr="00A90806" w:rsidRDefault="00FD4DCA" w:rsidP="00FD4DCA">
      <w:pPr>
        <w:pStyle w:val="Heading3"/>
      </w:pPr>
      <w:r>
        <w:t>MH1 –</w:t>
      </w:r>
      <w:r w:rsidR="005A7DFE">
        <w:t xml:space="preserve"> </w:t>
      </w:r>
      <w:r w:rsidR="000E3903">
        <w:t>L</w:t>
      </w:r>
      <w:r w:rsidRPr="00427467">
        <w:t>ow</w:t>
      </w:r>
      <w:r w:rsidR="00320208">
        <w:t>-</w:t>
      </w:r>
      <w:r w:rsidRPr="00427467">
        <w:t xml:space="preserve">intensity </w:t>
      </w:r>
      <w:r w:rsidR="00BE494A">
        <w:t>P</w:t>
      </w:r>
      <w:r w:rsidRPr="00427467">
        <w:t xml:space="preserve">sychological </w:t>
      </w:r>
      <w:r w:rsidR="00BE494A">
        <w:t>I</w:t>
      </w:r>
      <w:r w:rsidRPr="00427467">
        <w:t>nterventions</w:t>
      </w:r>
    </w:p>
    <w:p w14:paraId="1806E659" w14:textId="5EDCA3B1" w:rsidR="00277471" w:rsidRDefault="00E24392" w:rsidP="00E24392">
      <w:r>
        <w:rPr>
          <w:lang w:val="en-GB"/>
        </w:rPr>
        <w:t>Increasing access to low</w:t>
      </w:r>
      <w:r w:rsidR="00320208">
        <w:rPr>
          <w:lang w:val="en-GB"/>
        </w:rPr>
        <w:t>-</w:t>
      </w:r>
      <w:r>
        <w:rPr>
          <w:lang w:val="en-GB"/>
        </w:rPr>
        <w:t>intensity mental health services is fundamental to</w:t>
      </w:r>
      <w:r w:rsidR="00D02D62">
        <w:rPr>
          <w:lang w:val="en-GB"/>
        </w:rPr>
        <w:t xml:space="preserve"> an integrated stepped care system of mental health service delivery</w:t>
      </w:r>
      <w:r>
        <w:rPr>
          <w:lang w:val="en-GB"/>
        </w:rPr>
        <w:t xml:space="preserve">. </w:t>
      </w:r>
      <w:r w:rsidRPr="00E24392">
        <w:t xml:space="preserve">These services should </w:t>
      </w:r>
      <w:r>
        <w:t>provide</w:t>
      </w:r>
      <w:r w:rsidRPr="00E24392">
        <w:t xml:space="preserve"> </w:t>
      </w:r>
      <w:r>
        <w:t>patients</w:t>
      </w:r>
      <w:r w:rsidRPr="00E24392">
        <w:t xml:space="preserve"> who are at risk of mental illness</w:t>
      </w:r>
      <w:r>
        <w:t>,</w:t>
      </w:r>
      <w:r w:rsidRPr="00E24392">
        <w:t xml:space="preserve"> or </w:t>
      </w:r>
      <w:r>
        <w:t xml:space="preserve">who </w:t>
      </w:r>
      <w:r w:rsidRPr="00E24392">
        <w:t>have mild mental illness</w:t>
      </w:r>
      <w:r>
        <w:t xml:space="preserve">, </w:t>
      </w:r>
      <w:r w:rsidR="00D02D62">
        <w:t>with easy to access</w:t>
      </w:r>
      <w:r w:rsidR="00B878B0">
        <w:t xml:space="preserve"> </w:t>
      </w:r>
      <w:r>
        <w:t>appropriate mental health services without the need to engage with mo</w:t>
      </w:r>
      <w:r w:rsidRPr="00E24392">
        <w:t>re intensive psychological interventions.</w:t>
      </w:r>
      <w:r>
        <w:t xml:space="preserve"> PHNs are responsible for </w:t>
      </w:r>
      <w:r w:rsidR="00F64B27">
        <w:t xml:space="preserve">commissioning services based on the needs of their region, </w:t>
      </w:r>
      <w:r w:rsidR="00F24A99">
        <w:t>including for identified priority areas, providing easy access to high-quality, low</w:t>
      </w:r>
      <w:r w:rsidR="00602F83">
        <w:t>-</w:t>
      </w:r>
      <w:r w:rsidR="00F24A99">
        <w:t xml:space="preserve">cost services, with or without referral. </w:t>
      </w:r>
    </w:p>
    <w:p w14:paraId="616623E7" w14:textId="78729D10" w:rsidR="00277471" w:rsidRDefault="00856065" w:rsidP="00E24392">
      <w:r>
        <w:t>D</w:t>
      </w:r>
      <w:r w:rsidR="00D0787A">
        <w:t>ata for PHNs</w:t>
      </w:r>
      <w:r>
        <w:t xml:space="preserve"> </w:t>
      </w:r>
      <w:r w:rsidR="00D0787A">
        <w:t>shows complex changes</w:t>
      </w:r>
      <w:r>
        <w:t xml:space="preserve"> in reporting </w:t>
      </w:r>
      <w:r w:rsidR="00564180">
        <w:t>of</w:t>
      </w:r>
      <w:r>
        <w:t xml:space="preserve"> services provided</w:t>
      </w:r>
      <w:r w:rsidR="00D0787A">
        <w:t xml:space="preserve">. </w:t>
      </w:r>
      <w:r w:rsidR="00876C1E">
        <w:t>While some PHN regions have shown growth, others have declined</w:t>
      </w:r>
      <w:r w:rsidR="0097082C">
        <w:t xml:space="preserve"> between 2022-23 and 2023-24</w:t>
      </w:r>
      <w:r w:rsidR="00876C1E">
        <w:t xml:space="preserve">. </w:t>
      </w:r>
      <w:r w:rsidR="00254CF4">
        <w:t xml:space="preserve">As a result, </w:t>
      </w:r>
      <w:r w:rsidR="00564180">
        <w:t xml:space="preserve">the </w:t>
      </w:r>
      <w:r w:rsidR="00254CF4">
        <w:t>overall assessment across PHNs provides mixed results</w:t>
      </w:r>
      <w:r w:rsidR="00564180">
        <w:t xml:space="preserve">. </w:t>
      </w:r>
    </w:p>
    <w:p w14:paraId="5292A0A8" w14:textId="19DD9004" w:rsidR="00277471" w:rsidRDefault="004149F6" w:rsidP="00E24392">
      <w:bookmarkStart w:id="18" w:name="_Hlk212648214"/>
      <w:r>
        <w:t xml:space="preserve">Data </w:t>
      </w:r>
      <w:r w:rsidR="00477FFA">
        <w:t xml:space="preserve">are not comparable across PHNs or over time. </w:t>
      </w:r>
      <w:r w:rsidR="008837FC">
        <w:t xml:space="preserve">There is notable variability in the data across PHNs and over time as some services are delivered under the Mental Health Flexible Funding Stream which allows PHNs to have a high degree of flexibility in how they deploy this funding (guided by detailed, evidence-based needs assessments). PHNs plan, commission and report on a broad range of mental health and suicide prevention services including low-intensity mental health services, child and youth services, psychological therapies for underserviced groups, services for people with severe mental illness, suicide prevention services and mental health services for First Nations people. Services are delivered in partnership with state and territory governments, general practitioners, non-government organisations and other related services, organisations and providers. </w:t>
      </w:r>
    </w:p>
    <w:bookmarkEnd w:id="18"/>
    <w:p w14:paraId="2A85FAA3" w14:textId="77777777" w:rsidR="008837FC" w:rsidRDefault="008837FC" w:rsidP="00E24392"/>
    <w:p w14:paraId="30C3AFC1" w14:textId="492BD720" w:rsidR="00AF3A1B" w:rsidRDefault="00AF3A1B" w:rsidP="00AF3A1B">
      <w:pPr>
        <w:pStyle w:val="FigureTitle"/>
      </w:pPr>
      <w:r>
        <w:rPr>
          <w:lang w:val="en-GB"/>
        </w:rPr>
        <w:lastRenderedPageBreak/>
        <w:t xml:space="preserve">Table </w:t>
      </w:r>
      <w:r w:rsidR="00E145CE">
        <w:rPr>
          <w:lang w:val="en-GB"/>
        </w:rPr>
        <w:t>4</w:t>
      </w:r>
      <w:r>
        <w:rPr>
          <w:lang w:val="en-GB"/>
        </w:rPr>
        <w:t>:</w:t>
      </w:r>
      <w:r w:rsidR="002D375C">
        <w:rPr>
          <w:lang w:val="en-GB"/>
        </w:rPr>
        <w:t xml:space="preserve"> </w:t>
      </w:r>
      <w:r w:rsidR="002D375C">
        <w:t>Population receiving PHN commissioned low intensity psychological interventions, per 100,000 population, by PHN</w:t>
      </w:r>
      <w:r w:rsidR="007A003B" w:rsidRPr="7F43BA72">
        <w:rPr>
          <w:rStyle w:val="FootnoteReference"/>
          <w:lang w:val="en-GB"/>
        </w:rPr>
        <w:footnoteReference w:id="35"/>
      </w:r>
    </w:p>
    <w:tbl>
      <w:tblPr>
        <w:tblStyle w:val="DepartmentofHealthtable"/>
        <w:tblW w:w="5000" w:type="pct"/>
        <w:tblLook w:val="04A0" w:firstRow="1" w:lastRow="0" w:firstColumn="1" w:lastColumn="0" w:noHBand="0" w:noVBand="1"/>
        <w:tblCaption w:val="Table 4: Population receiving PHN commissioned low intensity psychological interventions, per 100,000 population, by PHN"/>
        <w:tblDescription w:val="The table shows the rate per 100,000 population receiving PHN commissioned low intensity psychological interventions, by PHN region sorted by state and territory for each of the six years 2018-19 to 2023-24."/>
      </w:tblPr>
      <w:tblGrid>
        <w:gridCol w:w="4335"/>
        <w:gridCol w:w="2368"/>
        <w:gridCol w:w="2367"/>
      </w:tblGrid>
      <w:tr w:rsidR="0097082C" w:rsidRPr="00935776" w14:paraId="582879C3" w14:textId="77777777" w:rsidTr="00667B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9" w:type="pct"/>
          </w:tcPr>
          <w:p w14:paraId="2EBBCBD1" w14:textId="77777777" w:rsidR="0097082C" w:rsidRPr="00935776" w:rsidRDefault="0097082C" w:rsidP="001C4212">
            <w:pPr>
              <w:pStyle w:val="TableHeaderWhite"/>
              <w:rPr>
                <w:sz w:val="18"/>
                <w:szCs w:val="18"/>
              </w:rPr>
            </w:pPr>
            <w:r w:rsidRPr="00935776">
              <w:rPr>
                <w:sz w:val="18"/>
                <w:szCs w:val="18"/>
              </w:rPr>
              <w:t>PHN</w:t>
            </w:r>
          </w:p>
        </w:tc>
        <w:tc>
          <w:tcPr>
            <w:tcW w:w="1305" w:type="pct"/>
          </w:tcPr>
          <w:p w14:paraId="5A991508" w14:textId="77777777" w:rsidR="0097082C" w:rsidRPr="00935776" w:rsidRDefault="0097082C" w:rsidP="001C4212">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2022–23</w:t>
            </w:r>
          </w:p>
        </w:tc>
        <w:tc>
          <w:tcPr>
            <w:tcW w:w="1305" w:type="pct"/>
          </w:tcPr>
          <w:p w14:paraId="3DC8B730" w14:textId="77777777" w:rsidR="0097082C" w:rsidRPr="00935776" w:rsidRDefault="0097082C" w:rsidP="001C4212">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2023–24</w:t>
            </w:r>
          </w:p>
        </w:tc>
      </w:tr>
      <w:tr w:rsidR="0097082C" w:rsidRPr="007B269C" w14:paraId="595FCF57"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shd w:val="clear" w:color="auto" w:fill="E6E6E6" w:themeFill="background2"/>
          </w:tcPr>
          <w:p w14:paraId="54C5FCF7" w14:textId="466FB5E3" w:rsidR="0097082C" w:rsidRPr="007B269C" w:rsidRDefault="0097082C" w:rsidP="007B269C">
            <w:pPr>
              <w:pStyle w:val="Tabletextleft"/>
              <w:rPr>
                <w:rFonts w:cs="Arial"/>
                <w:sz w:val="17"/>
                <w:szCs w:val="17"/>
                <w:lang w:eastAsia="en-AU"/>
              </w:rPr>
            </w:pPr>
            <w:r w:rsidRPr="007B269C">
              <w:rPr>
                <w:rFonts w:cs="Arial"/>
                <w:b/>
                <w:bCs/>
                <w:sz w:val="17"/>
                <w:szCs w:val="17"/>
                <w:lang w:eastAsia="en-AU"/>
              </w:rPr>
              <w:t>New South Wales</w:t>
            </w:r>
          </w:p>
        </w:tc>
        <w:tc>
          <w:tcPr>
            <w:tcW w:w="1305" w:type="pct"/>
            <w:shd w:val="clear" w:color="auto" w:fill="E6E6E6" w:themeFill="background2"/>
            <w:vAlign w:val="bottom"/>
          </w:tcPr>
          <w:p w14:paraId="5F1E7DB4" w14:textId="77777777"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c>
          <w:tcPr>
            <w:tcW w:w="1305" w:type="pct"/>
            <w:shd w:val="clear" w:color="auto" w:fill="E6E6E6" w:themeFill="background2"/>
            <w:vAlign w:val="bottom"/>
          </w:tcPr>
          <w:p w14:paraId="2FC9521C" w14:textId="77777777"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r>
      <w:tr w:rsidR="0097082C" w:rsidRPr="007B269C" w14:paraId="6560B301"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119C0121" w14:textId="77777777" w:rsidR="0097082C" w:rsidRPr="007B269C" w:rsidRDefault="0097082C" w:rsidP="007B269C">
            <w:pPr>
              <w:pStyle w:val="Tabletextleft"/>
              <w:rPr>
                <w:rFonts w:cs="Arial"/>
                <w:sz w:val="17"/>
                <w:szCs w:val="17"/>
              </w:rPr>
            </w:pPr>
            <w:r w:rsidRPr="007B269C">
              <w:rPr>
                <w:rFonts w:cs="Arial"/>
                <w:sz w:val="17"/>
                <w:szCs w:val="17"/>
                <w:lang w:eastAsia="en-AU"/>
              </w:rPr>
              <w:t>Central and Eastern Sydney</w:t>
            </w:r>
          </w:p>
        </w:tc>
        <w:tc>
          <w:tcPr>
            <w:tcW w:w="1305" w:type="pct"/>
            <w:vAlign w:val="bottom"/>
          </w:tcPr>
          <w:p w14:paraId="73E836D6" w14:textId="0E72742A"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76.9</w:t>
            </w:r>
          </w:p>
        </w:tc>
        <w:tc>
          <w:tcPr>
            <w:tcW w:w="1305" w:type="pct"/>
            <w:vAlign w:val="bottom"/>
          </w:tcPr>
          <w:p w14:paraId="2E8CA9F4" w14:textId="57DF1E63"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70.7</w:t>
            </w:r>
          </w:p>
        </w:tc>
      </w:tr>
      <w:tr w:rsidR="0097082C" w:rsidRPr="007B269C" w14:paraId="3BDAED9B"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49C02480" w14:textId="77777777" w:rsidR="0097082C" w:rsidRPr="007B269C" w:rsidRDefault="0097082C" w:rsidP="007B269C">
            <w:pPr>
              <w:pStyle w:val="Tabletextleft"/>
              <w:rPr>
                <w:rFonts w:cs="Arial"/>
                <w:sz w:val="17"/>
                <w:szCs w:val="17"/>
              </w:rPr>
            </w:pPr>
            <w:r w:rsidRPr="007B269C">
              <w:rPr>
                <w:rFonts w:cs="Arial"/>
                <w:sz w:val="17"/>
                <w:szCs w:val="17"/>
                <w:lang w:eastAsia="en-AU"/>
              </w:rPr>
              <w:t>Hunter New England and Central Coast</w:t>
            </w:r>
          </w:p>
        </w:tc>
        <w:tc>
          <w:tcPr>
            <w:tcW w:w="1305" w:type="pct"/>
            <w:vAlign w:val="bottom"/>
          </w:tcPr>
          <w:p w14:paraId="56F50090" w14:textId="050E047B"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112.8</w:t>
            </w:r>
          </w:p>
        </w:tc>
        <w:tc>
          <w:tcPr>
            <w:tcW w:w="1305" w:type="pct"/>
            <w:vAlign w:val="bottom"/>
          </w:tcPr>
          <w:p w14:paraId="102378B8" w14:textId="2CBF2A62"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121</w:t>
            </w:r>
          </w:p>
        </w:tc>
      </w:tr>
      <w:tr w:rsidR="0097082C" w:rsidRPr="007B269C" w14:paraId="3D5BB889"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58DA2714" w14:textId="77777777" w:rsidR="0097082C" w:rsidRPr="007B269C" w:rsidRDefault="0097082C" w:rsidP="007B269C">
            <w:pPr>
              <w:pStyle w:val="Tabletextleft"/>
              <w:rPr>
                <w:rFonts w:cs="Arial"/>
                <w:sz w:val="17"/>
                <w:szCs w:val="17"/>
              </w:rPr>
            </w:pPr>
            <w:r w:rsidRPr="007B269C">
              <w:rPr>
                <w:rFonts w:cs="Arial"/>
                <w:sz w:val="17"/>
                <w:szCs w:val="17"/>
                <w:lang w:eastAsia="en-AU"/>
              </w:rPr>
              <w:t>Murrumbidgee</w:t>
            </w:r>
          </w:p>
        </w:tc>
        <w:tc>
          <w:tcPr>
            <w:tcW w:w="1305" w:type="pct"/>
            <w:vAlign w:val="bottom"/>
          </w:tcPr>
          <w:p w14:paraId="45F87DEA" w14:textId="3CC9B3C4"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304</w:t>
            </w:r>
          </w:p>
        </w:tc>
        <w:tc>
          <w:tcPr>
            <w:tcW w:w="1305" w:type="pct"/>
            <w:vAlign w:val="bottom"/>
          </w:tcPr>
          <w:p w14:paraId="6903442F" w14:textId="50E51E0D"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319.8</w:t>
            </w:r>
          </w:p>
        </w:tc>
      </w:tr>
      <w:tr w:rsidR="0097082C" w:rsidRPr="007B269C" w14:paraId="6C7CECD9"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02C3241C" w14:textId="77777777" w:rsidR="0097082C" w:rsidRPr="007B269C" w:rsidRDefault="0097082C" w:rsidP="007B269C">
            <w:pPr>
              <w:pStyle w:val="Tabletextleft"/>
              <w:rPr>
                <w:rFonts w:cs="Arial"/>
                <w:sz w:val="17"/>
                <w:szCs w:val="17"/>
              </w:rPr>
            </w:pPr>
            <w:r w:rsidRPr="007B269C">
              <w:rPr>
                <w:rFonts w:cs="Arial"/>
                <w:sz w:val="17"/>
                <w:szCs w:val="17"/>
                <w:lang w:eastAsia="en-AU"/>
              </w:rPr>
              <w:t>Nepean Blue Mountains</w:t>
            </w:r>
          </w:p>
        </w:tc>
        <w:tc>
          <w:tcPr>
            <w:tcW w:w="1305" w:type="pct"/>
            <w:vAlign w:val="bottom"/>
          </w:tcPr>
          <w:p w14:paraId="223AD4B7" w14:textId="4E1E6B88"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246.6</w:t>
            </w:r>
          </w:p>
        </w:tc>
        <w:tc>
          <w:tcPr>
            <w:tcW w:w="1305" w:type="pct"/>
            <w:vAlign w:val="bottom"/>
          </w:tcPr>
          <w:p w14:paraId="45FF4167" w14:textId="00102DCE"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311.2</w:t>
            </w:r>
          </w:p>
        </w:tc>
      </w:tr>
      <w:tr w:rsidR="0097082C" w:rsidRPr="007B269C" w14:paraId="6BE9C273"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0F973845" w14:textId="77777777" w:rsidR="0097082C" w:rsidRPr="007B269C" w:rsidRDefault="0097082C" w:rsidP="007B269C">
            <w:pPr>
              <w:pStyle w:val="Tabletextleft"/>
              <w:rPr>
                <w:rFonts w:cs="Arial"/>
                <w:sz w:val="17"/>
                <w:szCs w:val="17"/>
              </w:rPr>
            </w:pPr>
            <w:r w:rsidRPr="007B269C">
              <w:rPr>
                <w:rFonts w:cs="Arial"/>
                <w:sz w:val="17"/>
                <w:szCs w:val="17"/>
                <w:lang w:eastAsia="en-AU"/>
              </w:rPr>
              <w:t>North Coast</w:t>
            </w:r>
          </w:p>
        </w:tc>
        <w:tc>
          <w:tcPr>
            <w:tcW w:w="1305" w:type="pct"/>
            <w:vAlign w:val="bottom"/>
          </w:tcPr>
          <w:p w14:paraId="53C8E105" w14:textId="673F9E76"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189.8</w:t>
            </w:r>
          </w:p>
        </w:tc>
        <w:tc>
          <w:tcPr>
            <w:tcW w:w="1305" w:type="pct"/>
            <w:vAlign w:val="bottom"/>
          </w:tcPr>
          <w:p w14:paraId="5C6D65DD" w14:textId="0EAF11B3"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163.2</w:t>
            </w:r>
          </w:p>
        </w:tc>
      </w:tr>
      <w:tr w:rsidR="0097082C" w:rsidRPr="007B269C" w14:paraId="42FBA6DE"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01D59697" w14:textId="77777777" w:rsidR="0097082C" w:rsidRPr="007B269C" w:rsidRDefault="0097082C" w:rsidP="007B269C">
            <w:pPr>
              <w:pStyle w:val="Tabletextleft"/>
              <w:rPr>
                <w:rFonts w:cs="Arial"/>
                <w:sz w:val="17"/>
                <w:szCs w:val="17"/>
              </w:rPr>
            </w:pPr>
            <w:r w:rsidRPr="007B269C">
              <w:rPr>
                <w:rFonts w:cs="Arial"/>
                <w:sz w:val="17"/>
                <w:szCs w:val="17"/>
                <w:lang w:eastAsia="en-AU"/>
              </w:rPr>
              <w:t>Northern Sydney</w:t>
            </w:r>
          </w:p>
        </w:tc>
        <w:tc>
          <w:tcPr>
            <w:tcW w:w="1305" w:type="pct"/>
            <w:vAlign w:val="bottom"/>
          </w:tcPr>
          <w:p w14:paraId="1ACBA6E7" w14:textId="332DEBE1"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67.1</w:t>
            </w:r>
          </w:p>
        </w:tc>
        <w:tc>
          <w:tcPr>
            <w:tcW w:w="1305" w:type="pct"/>
            <w:vAlign w:val="bottom"/>
          </w:tcPr>
          <w:p w14:paraId="11CEBB7F" w14:textId="03BEF00F"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82.8</w:t>
            </w:r>
          </w:p>
        </w:tc>
      </w:tr>
      <w:tr w:rsidR="0097082C" w:rsidRPr="007B269C" w14:paraId="77B5A745"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4B3D612C" w14:textId="77777777" w:rsidR="0097082C" w:rsidRPr="007B269C" w:rsidRDefault="0097082C" w:rsidP="007B269C">
            <w:pPr>
              <w:pStyle w:val="Tabletextleft"/>
              <w:rPr>
                <w:rFonts w:cs="Arial"/>
                <w:sz w:val="17"/>
                <w:szCs w:val="17"/>
              </w:rPr>
            </w:pPr>
            <w:proofErr w:type="gramStart"/>
            <w:r w:rsidRPr="007B269C">
              <w:rPr>
                <w:rFonts w:cs="Arial"/>
                <w:sz w:val="17"/>
                <w:szCs w:val="17"/>
                <w:lang w:eastAsia="en-AU"/>
              </w:rPr>
              <w:t>South Eastern</w:t>
            </w:r>
            <w:proofErr w:type="gramEnd"/>
            <w:r w:rsidRPr="007B269C">
              <w:rPr>
                <w:rFonts w:cs="Arial"/>
                <w:sz w:val="17"/>
                <w:szCs w:val="17"/>
                <w:lang w:eastAsia="en-AU"/>
              </w:rPr>
              <w:t xml:space="preserve"> NSW</w:t>
            </w:r>
          </w:p>
        </w:tc>
        <w:tc>
          <w:tcPr>
            <w:tcW w:w="1305" w:type="pct"/>
            <w:vAlign w:val="bottom"/>
          </w:tcPr>
          <w:p w14:paraId="6689B9DA" w14:textId="2B9989AD"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41.9</w:t>
            </w:r>
          </w:p>
        </w:tc>
        <w:tc>
          <w:tcPr>
            <w:tcW w:w="1305" w:type="pct"/>
            <w:vAlign w:val="bottom"/>
          </w:tcPr>
          <w:p w14:paraId="4CABD921" w14:textId="6F27B22E"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61</w:t>
            </w:r>
          </w:p>
        </w:tc>
      </w:tr>
      <w:tr w:rsidR="0097082C" w:rsidRPr="007B269C" w14:paraId="3BE0FC5E"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0EDEEB92" w14:textId="77777777" w:rsidR="0097082C" w:rsidRPr="007B269C" w:rsidRDefault="0097082C" w:rsidP="007B269C">
            <w:pPr>
              <w:pStyle w:val="Tabletextleft"/>
              <w:rPr>
                <w:rFonts w:cs="Arial"/>
                <w:sz w:val="17"/>
                <w:szCs w:val="17"/>
              </w:rPr>
            </w:pPr>
            <w:proofErr w:type="gramStart"/>
            <w:r w:rsidRPr="007B269C">
              <w:rPr>
                <w:rFonts w:cs="Arial"/>
                <w:sz w:val="17"/>
                <w:szCs w:val="17"/>
                <w:lang w:eastAsia="en-AU"/>
              </w:rPr>
              <w:t>South Western</w:t>
            </w:r>
            <w:proofErr w:type="gramEnd"/>
            <w:r w:rsidRPr="007B269C">
              <w:rPr>
                <w:rFonts w:cs="Arial"/>
                <w:sz w:val="17"/>
                <w:szCs w:val="17"/>
                <w:lang w:eastAsia="en-AU"/>
              </w:rPr>
              <w:t xml:space="preserve"> Sydney</w:t>
            </w:r>
          </w:p>
        </w:tc>
        <w:tc>
          <w:tcPr>
            <w:tcW w:w="1305" w:type="pct"/>
            <w:vAlign w:val="bottom"/>
          </w:tcPr>
          <w:p w14:paraId="46588A3B" w14:textId="7BBE5B84"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60.8</w:t>
            </w:r>
          </w:p>
        </w:tc>
        <w:tc>
          <w:tcPr>
            <w:tcW w:w="1305" w:type="pct"/>
            <w:vAlign w:val="bottom"/>
          </w:tcPr>
          <w:p w14:paraId="4DBBE22F" w14:textId="50C9DFEC"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52.5</w:t>
            </w:r>
          </w:p>
        </w:tc>
      </w:tr>
      <w:tr w:rsidR="0097082C" w:rsidRPr="007B269C" w14:paraId="29F050AB"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413E6D14" w14:textId="77777777" w:rsidR="0097082C" w:rsidRPr="007B269C" w:rsidRDefault="0097082C" w:rsidP="007B269C">
            <w:pPr>
              <w:pStyle w:val="Tabletextleft"/>
              <w:rPr>
                <w:rFonts w:cs="Arial"/>
                <w:sz w:val="17"/>
                <w:szCs w:val="17"/>
              </w:rPr>
            </w:pPr>
            <w:r w:rsidRPr="007B269C">
              <w:rPr>
                <w:rFonts w:cs="Arial"/>
                <w:sz w:val="17"/>
                <w:szCs w:val="17"/>
                <w:lang w:eastAsia="en-AU"/>
              </w:rPr>
              <w:t>Western NSW</w:t>
            </w:r>
          </w:p>
        </w:tc>
        <w:tc>
          <w:tcPr>
            <w:tcW w:w="1305" w:type="pct"/>
            <w:vAlign w:val="bottom"/>
          </w:tcPr>
          <w:p w14:paraId="62BD67B7" w14:textId="3AB5CCBE"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52.1</w:t>
            </w:r>
          </w:p>
        </w:tc>
        <w:tc>
          <w:tcPr>
            <w:tcW w:w="1305" w:type="pct"/>
            <w:vAlign w:val="bottom"/>
          </w:tcPr>
          <w:p w14:paraId="1740BF1C" w14:textId="6B7C6784"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9.8</w:t>
            </w:r>
          </w:p>
        </w:tc>
      </w:tr>
      <w:tr w:rsidR="0097082C" w:rsidRPr="007B269C" w14:paraId="08E3B759"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03536C25" w14:textId="77777777" w:rsidR="0097082C" w:rsidRPr="007B269C" w:rsidRDefault="0097082C" w:rsidP="007B269C">
            <w:pPr>
              <w:pStyle w:val="Tabletextleft"/>
              <w:rPr>
                <w:rFonts w:cs="Arial"/>
                <w:sz w:val="17"/>
                <w:szCs w:val="17"/>
              </w:rPr>
            </w:pPr>
            <w:r w:rsidRPr="007B269C">
              <w:rPr>
                <w:rFonts w:cs="Arial"/>
                <w:sz w:val="17"/>
                <w:szCs w:val="17"/>
                <w:lang w:eastAsia="en-AU"/>
              </w:rPr>
              <w:t>Western Sydney</w:t>
            </w:r>
          </w:p>
        </w:tc>
        <w:tc>
          <w:tcPr>
            <w:tcW w:w="1305" w:type="pct"/>
            <w:vAlign w:val="bottom"/>
          </w:tcPr>
          <w:p w14:paraId="35AC4D6B" w14:textId="242D590F"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70</w:t>
            </w:r>
          </w:p>
        </w:tc>
        <w:tc>
          <w:tcPr>
            <w:tcW w:w="1305" w:type="pct"/>
            <w:vAlign w:val="bottom"/>
          </w:tcPr>
          <w:p w14:paraId="2E22D21F" w14:textId="5BECDCB0"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105.4</w:t>
            </w:r>
          </w:p>
        </w:tc>
      </w:tr>
      <w:tr w:rsidR="0097082C" w:rsidRPr="007B269C" w14:paraId="3979347B"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shd w:val="clear" w:color="auto" w:fill="E6E6E6" w:themeFill="background2"/>
          </w:tcPr>
          <w:p w14:paraId="0993343A" w14:textId="1EC3F097" w:rsidR="0097082C" w:rsidRPr="007B269C" w:rsidRDefault="0097082C" w:rsidP="007B269C">
            <w:pPr>
              <w:pStyle w:val="Tabletextleft"/>
              <w:rPr>
                <w:rFonts w:cs="Arial"/>
                <w:sz w:val="17"/>
                <w:szCs w:val="17"/>
                <w:lang w:eastAsia="en-AU"/>
              </w:rPr>
            </w:pPr>
            <w:r w:rsidRPr="007B269C">
              <w:rPr>
                <w:rFonts w:cs="Arial"/>
                <w:b/>
                <w:bCs/>
                <w:sz w:val="17"/>
                <w:szCs w:val="17"/>
                <w:lang w:eastAsia="en-AU"/>
              </w:rPr>
              <w:t>Victoria</w:t>
            </w:r>
          </w:p>
        </w:tc>
        <w:tc>
          <w:tcPr>
            <w:tcW w:w="1305" w:type="pct"/>
            <w:shd w:val="clear" w:color="auto" w:fill="E6E6E6" w:themeFill="background2"/>
            <w:vAlign w:val="bottom"/>
          </w:tcPr>
          <w:p w14:paraId="168601CA" w14:textId="77777777"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05" w:type="pct"/>
            <w:shd w:val="clear" w:color="auto" w:fill="E6E6E6" w:themeFill="background2"/>
            <w:vAlign w:val="bottom"/>
          </w:tcPr>
          <w:p w14:paraId="2DFF62AC" w14:textId="77777777"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97082C" w:rsidRPr="007B269C" w14:paraId="67EFCE33"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6284390D" w14:textId="77777777" w:rsidR="0097082C" w:rsidRPr="007B269C" w:rsidRDefault="0097082C" w:rsidP="007B269C">
            <w:pPr>
              <w:pStyle w:val="Tabletextleft"/>
              <w:rPr>
                <w:rFonts w:cs="Arial"/>
                <w:sz w:val="17"/>
                <w:szCs w:val="17"/>
              </w:rPr>
            </w:pPr>
            <w:r w:rsidRPr="007B269C">
              <w:rPr>
                <w:rFonts w:cs="Arial"/>
                <w:sz w:val="17"/>
                <w:szCs w:val="17"/>
                <w:lang w:eastAsia="en-AU"/>
              </w:rPr>
              <w:t>Eastern Melbourne</w:t>
            </w:r>
          </w:p>
        </w:tc>
        <w:tc>
          <w:tcPr>
            <w:tcW w:w="1305" w:type="pct"/>
            <w:vAlign w:val="bottom"/>
          </w:tcPr>
          <w:p w14:paraId="3FA4470F" w14:textId="373C706F"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73.3</w:t>
            </w:r>
          </w:p>
        </w:tc>
        <w:tc>
          <w:tcPr>
            <w:tcW w:w="1305" w:type="pct"/>
            <w:vAlign w:val="bottom"/>
          </w:tcPr>
          <w:p w14:paraId="1C46EC9C" w14:textId="24B21B88"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57.1</w:t>
            </w:r>
          </w:p>
        </w:tc>
      </w:tr>
      <w:tr w:rsidR="0097082C" w:rsidRPr="007B269C" w14:paraId="57F01260"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75C656D6" w14:textId="77777777" w:rsidR="0097082C" w:rsidRPr="007B269C" w:rsidRDefault="0097082C" w:rsidP="007B269C">
            <w:pPr>
              <w:pStyle w:val="Tabletextleft"/>
              <w:rPr>
                <w:rFonts w:cs="Arial"/>
                <w:sz w:val="17"/>
                <w:szCs w:val="17"/>
              </w:rPr>
            </w:pPr>
            <w:r w:rsidRPr="007B269C">
              <w:rPr>
                <w:rFonts w:cs="Arial"/>
                <w:sz w:val="17"/>
                <w:szCs w:val="17"/>
                <w:lang w:eastAsia="en-AU"/>
              </w:rPr>
              <w:t>Gippsland</w:t>
            </w:r>
          </w:p>
        </w:tc>
        <w:tc>
          <w:tcPr>
            <w:tcW w:w="1305" w:type="pct"/>
            <w:vAlign w:val="bottom"/>
          </w:tcPr>
          <w:p w14:paraId="1A4C0839" w14:textId="7ABE4F7D"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375</w:t>
            </w:r>
          </w:p>
        </w:tc>
        <w:tc>
          <w:tcPr>
            <w:tcW w:w="1305" w:type="pct"/>
            <w:vAlign w:val="bottom"/>
          </w:tcPr>
          <w:p w14:paraId="71E421C2" w14:textId="32EED60F"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548.8</w:t>
            </w:r>
          </w:p>
        </w:tc>
      </w:tr>
      <w:tr w:rsidR="0097082C" w:rsidRPr="007B269C" w14:paraId="06DD6E81"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2FFDD34E" w14:textId="77777777" w:rsidR="0097082C" w:rsidRPr="007B269C" w:rsidRDefault="0097082C" w:rsidP="007B269C">
            <w:pPr>
              <w:pStyle w:val="Tabletextleft"/>
              <w:rPr>
                <w:rFonts w:cs="Arial"/>
                <w:sz w:val="17"/>
                <w:szCs w:val="17"/>
              </w:rPr>
            </w:pPr>
            <w:r w:rsidRPr="007B269C">
              <w:rPr>
                <w:rFonts w:cs="Arial"/>
                <w:sz w:val="17"/>
                <w:szCs w:val="17"/>
                <w:lang w:eastAsia="en-AU"/>
              </w:rPr>
              <w:t>Murray</w:t>
            </w:r>
          </w:p>
        </w:tc>
        <w:tc>
          <w:tcPr>
            <w:tcW w:w="1305" w:type="pct"/>
            <w:vAlign w:val="bottom"/>
          </w:tcPr>
          <w:p w14:paraId="33B938B5" w14:textId="4CCFAEFD"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0.5</w:t>
            </w:r>
          </w:p>
        </w:tc>
        <w:tc>
          <w:tcPr>
            <w:tcW w:w="1305" w:type="pct"/>
            <w:vAlign w:val="bottom"/>
          </w:tcPr>
          <w:p w14:paraId="63C13A10" w14:textId="5678F135"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22.7</w:t>
            </w:r>
          </w:p>
        </w:tc>
      </w:tr>
      <w:tr w:rsidR="0097082C" w:rsidRPr="007B269C" w14:paraId="41902EBA"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77E4F38C" w14:textId="77777777" w:rsidR="0097082C" w:rsidRPr="007B269C" w:rsidRDefault="0097082C" w:rsidP="007B269C">
            <w:pPr>
              <w:pStyle w:val="Tabletextleft"/>
              <w:rPr>
                <w:rFonts w:cs="Arial"/>
                <w:sz w:val="17"/>
                <w:szCs w:val="17"/>
              </w:rPr>
            </w:pPr>
            <w:proofErr w:type="gramStart"/>
            <w:r w:rsidRPr="007B269C">
              <w:rPr>
                <w:rFonts w:cs="Arial"/>
                <w:sz w:val="17"/>
                <w:szCs w:val="17"/>
                <w:lang w:eastAsia="en-AU"/>
              </w:rPr>
              <w:t>North Western</w:t>
            </w:r>
            <w:proofErr w:type="gramEnd"/>
            <w:r w:rsidRPr="007B269C">
              <w:rPr>
                <w:rFonts w:cs="Arial"/>
                <w:sz w:val="17"/>
                <w:szCs w:val="17"/>
                <w:lang w:eastAsia="en-AU"/>
              </w:rPr>
              <w:t xml:space="preserve"> Melbourne</w:t>
            </w:r>
          </w:p>
        </w:tc>
        <w:tc>
          <w:tcPr>
            <w:tcW w:w="1305" w:type="pct"/>
            <w:vAlign w:val="bottom"/>
          </w:tcPr>
          <w:p w14:paraId="4A5E0D3E" w14:textId="7400CA75"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111.9</w:t>
            </w:r>
          </w:p>
        </w:tc>
        <w:tc>
          <w:tcPr>
            <w:tcW w:w="1305" w:type="pct"/>
            <w:vAlign w:val="bottom"/>
          </w:tcPr>
          <w:p w14:paraId="152EDAE5" w14:textId="5D63EA55"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136.7</w:t>
            </w:r>
          </w:p>
        </w:tc>
      </w:tr>
      <w:tr w:rsidR="0097082C" w:rsidRPr="007B269C" w14:paraId="7B2597AC"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535D5D80" w14:textId="77777777" w:rsidR="0097082C" w:rsidRPr="007B269C" w:rsidRDefault="0097082C" w:rsidP="007B269C">
            <w:pPr>
              <w:pStyle w:val="Tabletextleft"/>
              <w:rPr>
                <w:rFonts w:cs="Arial"/>
                <w:sz w:val="17"/>
                <w:szCs w:val="17"/>
              </w:rPr>
            </w:pPr>
            <w:proofErr w:type="gramStart"/>
            <w:r w:rsidRPr="007B269C">
              <w:rPr>
                <w:rFonts w:cs="Arial"/>
                <w:sz w:val="17"/>
                <w:szCs w:val="17"/>
                <w:lang w:eastAsia="en-AU"/>
              </w:rPr>
              <w:t>South Eastern</w:t>
            </w:r>
            <w:proofErr w:type="gramEnd"/>
            <w:r w:rsidRPr="007B269C">
              <w:rPr>
                <w:rFonts w:cs="Arial"/>
                <w:sz w:val="17"/>
                <w:szCs w:val="17"/>
                <w:lang w:eastAsia="en-AU"/>
              </w:rPr>
              <w:t xml:space="preserve"> Melbourne</w:t>
            </w:r>
          </w:p>
        </w:tc>
        <w:tc>
          <w:tcPr>
            <w:tcW w:w="1305" w:type="pct"/>
            <w:vAlign w:val="bottom"/>
          </w:tcPr>
          <w:p w14:paraId="73959E71" w14:textId="52846AB9"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36.5</w:t>
            </w:r>
          </w:p>
        </w:tc>
        <w:tc>
          <w:tcPr>
            <w:tcW w:w="1305" w:type="pct"/>
            <w:vAlign w:val="bottom"/>
          </w:tcPr>
          <w:p w14:paraId="4DEC3E79" w14:textId="3CFF12B9"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28.3</w:t>
            </w:r>
          </w:p>
        </w:tc>
      </w:tr>
      <w:tr w:rsidR="0097082C" w:rsidRPr="007B269C" w14:paraId="50E0AFAA"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6C389B04" w14:textId="77777777" w:rsidR="0097082C" w:rsidRPr="007B269C" w:rsidRDefault="0097082C" w:rsidP="007B269C">
            <w:pPr>
              <w:pStyle w:val="Tabletextleft"/>
              <w:rPr>
                <w:rFonts w:cs="Arial"/>
                <w:sz w:val="17"/>
                <w:szCs w:val="17"/>
              </w:rPr>
            </w:pPr>
            <w:r w:rsidRPr="007B269C">
              <w:rPr>
                <w:rFonts w:cs="Arial"/>
                <w:sz w:val="17"/>
                <w:szCs w:val="17"/>
                <w:lang w:eastAsia="en-AU"/>
              </w:rPr>
              <w:t>Western Victoria</w:t>
            </w:r>
          </w:p>
        </w:tc>
        <w:tc>
          <w:tcPr>
            <w:tcW w:w="1305" w:type="pct"/>
            <w:vAlign w:val="bottom"/>
          </w:tcPr>
          <w:p w14:paraId="1F27A149" w14:textId="3EBD2704"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35.7</w:t>
            </w:r>
          </w:p>
        </w:tc>
        <w:tc>
          <w:tcPr>
            <w:tcW w:w="1305" w:type="pct"/>
            <w:vAlign w:val="bottom"/>
          </w:tcPr>
          <w:p w14:paraId="4E6341D0" w14:textId="798E91A0"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76.3</w:t>
            </w:r>
          </w:p>
        </w:tc>
      </w:tr>
      <w:tr w:rsidR="0097082C" w:rsidRPr="007B269C" w14:paraId="603351CD"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shd w:val="clear" w:color="auto" w:fill="E6E6E6" w:themeFill="background2"/>
          </w:tcPr>
          <w:p w14:paraId="131290AC" w14:textId="7FF5F367" w:rsidR="0097082C" w:rsidRPr="007B269C" w:rsidRDefault="0097082C" w:rsidP="007B269C">
            <w:pPr>
              <w:pStyle w:val="Tabletextleft"/>
              <w:rPr>
                <w:rFonts w:cs="Arial"/>
                <w:sz w:val="17"/>
                <w:szCs w:val="17"/>
                <w:lang w:eastAsia="en-AU"/>
              </w:rPr>
            </w:pPr>
            <w:r w:rsidRPr="007B269C">
              <w:rPr>
                <w:rFonts w:cs="Arial"/>
                <w:b/>
                <w:bCs/>
                <w:sz w:val="17"/>
                <w:szCs w:val="17"/>
                <w:lang w:eastAsia="en-AU"/>
              </w:rPr>
              <w:t>Queensland</w:t>
            </w:r>
          </w:p>
        </w:tc>
        <w:tc>
          <w:tcPr>
            <w:tcW w:w="1305" w:type="pct"/>
            <w:shd w:val="clear" w:color="auto" w:fill="E6E6E6" w:themeFill="background2"/>
            <w:vAlign w:val="bottom"/>
          </w:tcPr>
          <w:p w14:paraId="56835779" w14:textId="77777777"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c>
          <w:tcPr>
            <w:tcW w:w="1305" w:type="pct"/>
            <w:shd w:val="clear" w:color="auto" w:fill="E6E6E6" w:themeFill="background2"/>
            <w:vAlign w:val="bottom"/>
          </w:tcPr>
          <w:p w14:paraId="07BFB299" w14:textId="77777777"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r>
      <w:tr w:rsidR="0097082C" w:rsidRPr="007B269C" w14:paraId="6B96362B"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60195380" w14:textId="77777777" w:rsidR="0097082C" w:rsidRPr="007B269C" w:rsidRDefault="0097082C" w:rsidP="007B269C">
            <w:pPr>
              <w:pStyle w:val="Tabletextleft"/>
              <w:rPr>
                <w:rFonts w:cs="Arial"/>
                <w:sz w:val="17"/>
                <w:szCs w:val="17"/>
              </w:rPr>
            </w:pPr>
            <w:r w:rsidRPr="007B269C">
              <w:rPr>
                <w:rFonts w:cs="Arial"/>
                <w:sz w:val="17"/>
                <w:szCs w:val="17"/>
                <w:lang w:eastAsia="en-AU"/>
              </w:rPr>
              <w:t>Brisbane North</w:t>
            </w:r>
          </w:p>
        </w:tc>
        <w:tc>
          <w:tcPr>
            <w:tcW w:w="1305" w:type="pct"/>
            <w:vAlign w:val="bottom"/>
          </w:tcPr>
          <w:p w14:paraId="1B61B16B" w14:textId="4AEBE62C"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60.4</w:t>
            </w:r>
          </w:p>
        </w:tc>
        <w:tc>
          <w:tcPr>
            <w:tcW w:w="1305" w:type="pct"/>
            <w:vAlign w:val="bottom"/>
          </w:tcPr>
          <w:p w14:paraId="0DE0291F" w14:textId="56E9F389"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58.8</w:t>
            </w:r>
          </w:p>
        </w:tc>
      </w:tr>
      <w:tr w:rsidR="0097082C" w:rsidRPr="007B269C" w14:paraId="62C94123"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7CA8FA64" w14:textId="77777777" w:rsidR="0097082C" w:rsidRPr="007B269C" w:rsidRDefault="0097082C" w:rsidP="007B269C">
            <w:pPr>
              <w:pStyle w:val="Tabletextleft"/>
              <w:rPr>
                <w:rFonts w:cs="Arial"/>
                <w:sz w:val="17"/>
                <w:szCs w:val="17"/>
              </w:rPr>
            </w:pPr>
            <w:r w:rsidRPr="007B269C">
              <w:rPr>
                <w:rFonts w:cs="Arial"/>
                <w:sz w:val="17"/>
                <w:szCs w:val="17"/>
                <w:lang w:eastAsia="en-AU"/>
              </w:rPr>
              <w:t>Brisbane South</w:t>
            </w:r>
          </w:p>
        </w:tc>
        <w:tc>
          <w:tcPr>
            <w:tcW w:w="1305" w:type="pct"/>
            <w:vAlign w:val="bottom"/>
          </w:tcPr>
          <w:p w14:paraId="57DD6190" w14:textId="3EC3E2C3"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470.9</w:t>
            </w:r>
          </w:p>
        </w:tc>
        <w:tc>
          <w:tcPr>
            <w:tcW w:w="1305" w:type="pct"/>
            <w:vAlign w:val="bottom"/>
          </w:tcPr>
          <w:p w14:paraId="62F4C227" w14:textId="7BDF3A63"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467.8</w:t>
            </w:r>
          </w:p>
        </w:tc>
      </w:tr>
      <w:tr w:rsidR="0097082C" w:rsidRPr="007B269C" w14:paraId="300494E0"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5DD4B5ED" w14:textId="77777777" w:rsidR="0097082C" w:rsidRPr="007B269C" w:rsidRDefault="0097082C" w:rsidP="007B269C">
            <w:pPr>
              <w:pStyle w:val="Tabletextleft"/>
              <w:rPr>
                <w:rFonts w:cs="Arial"/>
                <w:sz w:val="17"/>
                <w:szCs w:val="17"/>
              </w:rPr>
            </w:pPr>
            <w:r w:rsidRPr="007B269C">
              <w:rPr>
                <w:rFonts w:cs="Arial"/>
                <w:sz w:val="17"/>
                <w:szCs w:val="17"/>
                <w:lang w:eastAsia="en-AU"/>
              </w:rPr>
              <w:t>Central Queensland, Wide Bay, Sunshine Coast</w:t>
            </w:r>
          </w:p>
        </w:tc>
        <w:tc>
          <w:tcPr>
            <w:tcW w:w="1305" w:type="pct"/>
            <w:vAlign w:val="center"/>
          </w:tcPr>
          <w:p w14:paraId="4F227FDE" w14:textId="40723E3F"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111.3</w:t>
            </w:r>
          </w:p>
        </w:tc>
        <w:tc>
          <w:tcPr>
            <w:tcW w:w="1305" w:type="pct"/>
            <w:vAlign w:val="center"/>
          </w:tcPr>
          <w:p w14:paraId="79904DC6" w14:textId="79CAD8D1"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103.7</w:t>
            </w:r>
          </w:p>
        </w:tc>
      </w:tr>
      <w:tr w:rsidR="0097082C" w:rsidRPr="007B269C" w14:paraId="048906FE"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3AD0173D" w14:textId="77777777" w:rsidR="0097082C" w:rsidRPr="007B269C" w:rsidRDefault="0097082C" w:rsidP="007B269C">
            <w:pPr>
              <w:pStyle w:val="Tabletextleft"/>
              <w:rPr>
                <w:rFonts w:cs="Arial"/>
                <w:sz w:val="17"/>
                <w:szCs w:val="17"/>
              </w:rPr>
            </w:pPr>
            <w:r w:rsidRPr="007B269C">
              <w:rPr>
                <w:rFonts w:cs="Arial"/>
                <w:sz w:val="17"/>
                <w:szCs w:val="17"/>
                <w:lang w:eastAsia="en-AU"/>
              </w:rPr>
              <w:t>Darling Downs and West Moreton</w:t>
            </w:r>
          </w:p>
        </w:tc>
        <w:tc>
          <w:tcPr>
            <w:tcW w:w="1305" w:type="pct"/>
            <w:vAlign w:val="bottom"/>
          </w:tcPr>
          <w:p w14:paraId="41526CDD" w14:textId="27D70D65"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165.7</w:t>
            </w:r>
          </w:p>
        </w:tc>
        <w:tc>
          <w:tcPr>
            <w:tcW w:w="1305" w:type="pct"/>
            <w:vAlign w:val="bottom"/>
          </w:tcPr>
          <w:p w14:paraId="122730D5" w14:textId="00299A09"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196.6</w:t>
            </w:r>
          </w:p>
        </w:tc>
      </w:tr>
      <w:tr w:rsidR="0097082C" w:rsidRPr="007B269C" w14:paraId="1DCEA363"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17DDE6D0" w14:textId="77777777" w:rsidR="0097082C" w:rsidRPr="007B269C" w:rsidRDefault="0097082C" w:rsidP="007B269C">
            <w:pPr>
              <w:pStyle w:val="Tabletextleft"/>
              <w:rPr>
                <w:rFonts w:cs="Arial"/>
                <w:sz w:val="17"/>
                <w:szCs w:val="17"/>
              </w:rPr>
            </w:pPr>
            <w:r w:rsidRPr="007B269C">
              <w:rPr>
                <w:rFonts w:cs="Arial"/>
                <w:sz w:val="17"/>
                <w:szCs w:val="17"/>
                <w:lang w:eastAsia="en-AU"/>
              </w:rPr>
              <w:t>Gold Coast</w:t>
            </w:r>
          </w:p>
        </w:tc>
        <w:tc>
          <w:tcPr>
            <w:tcW w:w="1305" w:type="pct"/>
            <w:vAlign w:val="bottom"/>
          </w:tcPr>
          <w:p w14:paraId="398B9B6A" w14:textId="79EE6440"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64.2</w:t>
            </w:r>
          </w:p>
        </w:tc>
        <w:tc>
          <w:tcPr>
            <w:tcW w:w="1305" w:type="pct"/>
            <w:vAlign w:val="bottom"/>
          </w:tcPr>
          <w:p w14:paraId="3BD60D72" w14:textId="4988F0C6"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92.2</w:t>
            </w:r>
          </w:p>
        </w:tc>
      </w:tr>
      <w:tr w:rsidR="0097082C" w:rsidRPr="007B269C" w14:paraId="38FC1485"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1B5EBFB2" w14:textId="77777777" w:rsidR="0097082C" w:rsidRPr="007B269C" w:rsidRDefault="0097082C" w:rsidP="007B269C">
            <w:pPr>
              <w:pStyle w:val="Tabletextleft"/>
              <w:rPr>
                <w:rFonts w:cs="Arial"/>
                <w:sz w:val="17"/>
                <w:szCs w:val="17"/>
              </w:rPr>
            </w:pPr>
            <w:r w:rsidRPr="007B269C">
              <w:rPr>
                <w:rFonts w:cs="Arial"/>
                <w:sz w:val="17"/>
                <w:szCs w:val="17"/>
                <w:lang w:eastAsia="en-AU"/>
              </w:rPr>
              <w:t>Northern Queensland</w:t>
            </w:r>
          </w:p>
        </w:tc>
        <w:tc>
          <w:tcPr>
            <w:tcW w:w="1305" w:type="pct"/>
            <w:vAlign w:val="bottom"/>
          </w:tcPr>
          <w:p w14:paraId="73367C8D" w14:textId="1C7D5C7E"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179.2</w:t>
            </w:r>
          </w:p>
        </w:tc>
        <w:tc>
          <w:tcPr>
            <w:tcW w:w="1305" w:type="pct"/>
            <w:vAlign w:val="bottom"/>
          </w:tcPr>
          <w:p w14:paraId="0C5521BD" w14:textId="1052175B"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238.8</w:t>
            </w:r>
          </w:p>
        </w:tc>
      </w:tr>
      <w:tr w:rsidR="0097082C" w:rsidRPr="007B269C" w14:paraId="4F898688"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39AC0962" w14:textId="77777777" w:rsidR="0097082C" w:rsidRPr="007B269C" w:rsidRDefault="0097082C" w:rsidP="007B269C">
            <w:pPr>
              <w:pStyle w:val="Tabletextleft"/>
              <w:rPr>
                <w:rFonts w:cs="Arial"/>
                <w:sz w:val="17"/>
                <w:szCs w:val="17"/>
              </w:rPr>
            </w:pPr>
            <w:r w:rsidRPr="007B269C">
              <w:rPr>
                <w:rFonts w:cs="Arial"/>
                <w:sz w:val="17"/>
                <w:szCs w:val="17"/>
                <w:lang w:eastAsia="en-AU"/>
              </w:rPr>
              <w:t>Western Queensland</w:t>
            </w:r>
          </w:p>
        </w:tc>
        <w:tc>
          <w:tcPr>
            <w:tcW w:w="1305" w:type="pct"/>
            <w:vAlign w:val="bottom"/>
          </w:tcPr>
          <w:p w14:paraId="0EF8EA80" w14:textId="398C1687"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787.2</w:t>
            </w:r>
          </w:p>
        </w:tc>
        <w:tc>
          <w:tcPr>
            <w:tcW w:w="1305" w:type="pct"/>
            <w:vAlign w:val="bottom"/>
          </w:tcPr>
          <w:p w14:paraId="7E48F26F" w14:textId="4E48FEF3"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842.4</w:t>
            </w:r>
          </w:p>
        </w:tc>
      </w:tr>
      <w:tr w:rsidR="0097082C" w:rsidRPr="007B269C" w14:paraId="4A532D84"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shd w:val="clear" w:color="auto" w:fill="E6E6E6" w:themeFill="background2"/>
          </w:tcPr>
          <w:p w14:paraId="2F816AD0" w14:textId="2415FDA4" w:rsidR="0097082C" w:rsidRPr="007B269C" w:rsidRDefault="0097082C" w:rsidP="00813F3E">
            <w:pPr>
              <w:pStyle w:val="Tabletextleft"/>
              <w:keepNext/>
              <w:rPr>
                <w:rFonts w:cs="Arial"/>
                <w:sz w:val="17"/>
                <w:szCs w:val="17"/>
                <w:lang w:eastAsia="en-AU"/>
              </w:rPr>
            </w:pPr>
            <w:r w:rsidRPr="007B269C">
              <w:rPr>
                <w:rFonts w:cs="Arial"/>
                <w:b/>
                <w:bCs/>
                <w:sz w:val="17"/>
                <w:szCs w:val="17"/>
                <w:lang w:eastAsia="en-AU"/>
              </w:rPr>
              <w:t>South Australia</w:t>
            </w:r>
          </w:p>
        </w:tc>
        <w:tc>
          <w:tcPr>
            <w:tcW w:w="1305" w:type="pct"/>
            <w:shd w:val="clear" w:color="auto" w:fill="E6E6E6" w:themeFill="background2"/>
            <w:vAlign w:val="bottom"/>
          </w:tcPr>
          <w:p w14:paraId="78C3428F" w14:textId="77777777" w:rsidR="0097082C" w:rsidRPr="007B269C" w:rsidRDefault="0097082C" w:rsidP="00813F3E">
            <w:pPr>
              <w:pStyle w:val="Tabletextleft"/>
              <w:keepNex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c>
          <w:tcPr>
            <w:tcW w:w="1305" w:type="pct"/>
            <w:shd w:val="clear" w:color="auto" w:fill="E6E6E6" w:themeFill="background2"/>
            <w:vAlign w:val="bottom"/>
          </w:tcPr>
          <w:p w14:paraId="75DD6AB2" w14:textId="77777777" w:rsidR="0097082C" w:rsidRPr="007B269C" w:rsidRDefault="0097082C" w:rsidP="00813F3E">
            <w:pPr>
              <w:pStyle w:val="Tabletextleft"/>
              <w:keepNex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r>
      <w:tr w:rsidR="0097082C" w:rsidRPr="007B269C" w14:paraId="616A0F31"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6758CBE7" w14:textId="77777777" w:rsidR="0097082C" w:rsidRPr="007B269C" w:rsidRDefault="0097082C" w:rsidP="00813F3E">
            <w:pPr>
              <w:pStyle w:val="Tabletextleft"/>
              <w:keepNext/>
              <w:rPr>
                <w:rFonts w:cs="Arial"/>
                <w:sz w:val="17"/>
                <w:szCs w:val="17"/>
              </w:rPr>
            </w:pPr>
            <w:r w:rsidRPr="007B269C">
              <w:rPr>
                <w:rFonts w:cs="Arial"/>
                <w:sz w:val="17"/>
                <w:szCs w:val="17"/>
                <w:lang w:eastAsia="en-AU"/>
              </w:rPr>
              <w:t>Adelaide</w:t>
            </w:r>
          </w:p>
        </w:tc>
        <w:tc>
          <w:tcPr>
            <w:tcW w:w="1305" w:type="pct"/>
            <w:vAlign w:val="bottom"/>
          </w:tcPr>
          <w:p w14:paraId="6414EA6C" w14:textId="327FD5E7" w:rsidR="0097082C" w:rsidRPr="007B269C" w:rsidRDefault="0097082C" w:rsidP="00813F3E">
            <w:pPr>
              <w:pStyle w:val="Tabletextleft"/>
              <w:keepNex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35.4</w:t>
            </w:r>
          </w:p>
        </w:tc>
        <w:tc>
          <w:tcPr>
            <w:tcW w:w="1305" w:type="pct"/>
            <w:vAlign w:val="bottom"/>
          </w:tcPr>
          <w:p w14:paraId="11721A5D" w14:textId="6D3DC965" w:rsidR="0097082C" w:rsidRPr="007B269C" w:rsidRDefault="0097082C" w:rsidP="00813F3E">
            <w:pPr>
              <w:pStyle w:val="Tabletextleft"/>
              <w:keepNex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52.2</w:t>
            </w:r>
          </w:p>
        </w:tc>
      </w:tr>
      <w:tr w:rsidR="0097082C" w:rsidRPr="007B269C" w14:paraId="0639E450"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3CD5A77D" w14:textId="77777777" w:rsidR="0097082C" w:rsidRPr="007B269C" w:rsidRDefault="0097082C" w:rsidP="00813F3E">
            <w:pPr>
              <w:pStyle w:val="Tabletextleft"/>
              <w:keepNext/>
              <w:rPr>
                <w:rFonts w:cs="Arial"/>
                <w:sz w:val="17"/>
                <w:szCs w:val="17"/>
              </w:rPr>
            </w:pPr>
            <w:r w:rsidRPr="007B269C">
              <w:rPr>
                <w:rFonts w:cs="Arial"/>
                <w:sz w:val="17"/>
                <w:szCs w:val="17"/>
                <w:lang w:eastAsia="en-AU"/>
              </w:rPr>
              <w:t>Country SA</w:t>
            </w:r>
          </w:p>
        </w:tc>
        <w:tc>
          <w:tcPr>
            <w:tcW w:w="1305" w:type="pct"/>
            <w:vAlign w:val="bottom"/>
          </w:tcPr>
          <w:p w14:paraId="4CFA292B" w14:textId="785A1EBF" w:rsidR="0097082C" w:rsidRPr="007B269C" w:rsidRDefault="0097082C" w:rsidP="00813F3E">
            <w:pPr>
              <w:pStyle w:val="Tabletextleft"/>
              <w:keepNex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90.9</w:t>
            </w:r>
          </w:p>
        </w:tc>
        <w:tc>
          <w:tcPr>
            <w:tcW w:w="1305" w:type="pct"/>
            <w:vAlign w:val="bottom"/>
          </w:tcPr>
          <w:p w14:paraId="340A3256" w14:textId="345A84FE" w:rsidR="0097082C" w:rsidRPr="007B269C" w:rsidRDefault="0097082C" w:rsidP="00813F3E">
            <w:pPr>
              <w:pStyle w:val="Tabletextleft"/>
              <w:keepNex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207.8</w:t>
            </w:r>
          </w:p>
        </w:tc>
      </w:tr>
      <w:tr w:rsidR="0097082C" w:rsidRPr="007B269C" w14:paraId="257CB0D1"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shd w:val="clear" w:color="auto" w:fill="E6E6E6" w:themeFill="background2"/>
          </w:tcPr>
          <w:p w14:paraId="5C0FEEE8" w14:textId="040F1ADE" w:rsidR="0097082C" w:rsidRPr="007B269C" w:rsidRDefault="0097082C" w:rsidP="007B269C">
            <w:pPr>
              <w:pStyle w:val="Tabletextleft"/>
              <w:rPr>
                <w:rFonts w:cs="Arial"/>
                <w:sz w:val="17"/>
                <w:szCs w:val="17"/>
                <w:lang w:eastAsia="en-AU"/>
              </w:rPr>
            </w:pPr>
            <w:r w:rsidRPr="007B269C">
              <w:rPr>
                <w:rFonts w:cs="Arial"/>
                <w:b/>
                <w:bCs/>
                <w:sz w:val="17"/>
                <w:szCs w:val="17"/>
                <w:lang w:eastAsia="en-AU"/>
              </w:rPr>
              <w:t>Western Australia</w:t>
            </w:r>
          </w:p>
        </w:tc>
        <w:tc>
          <w:tcPr>
            <w:tcW w:w="1305" w:type="pct"/>
            <w:shd w:val="clear" w:color="auto" w:fill="E6E6E6" w:themeFill="background2"/>
            <w:vAlign w:val="bottom"/>
          </w:tcPr>
          <w:p w14:paraId="0CB19B73" w14:textId="77777777"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05" w:type="pct"/>
            <w:shd w:val="clear" w:color="auto" w:fill="E6E6E6" w:themeFill="background2"/>
            <w:vAlign w:val="bottom"/>
          </w:tcPr>
          <w:p w14:paraId="14A55363" w14:textId="77777777"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97082C" w:rsidRPr="007B269C" w14:paraId="7468FBBD"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2A1E8F82" w14:textId="77777777" w:rsidR="0097082C" w:rsidRPr="007B269C" w:rsidRDefault="0097082C" w:rsidP="007B269C">
            <w:pPr>
              <w:pStyle w:val="Tabletextleft"/>
              <w:rPr>
                <w:rFonts w:cs="Arial"/>
                <w:sz w:val="17"/>
                <w:szCs w:val="17"/>
              </w:rPr>
            </w:pPr>
            <w:r w:rsidRPr="007B269C">
              <w:rPr>
                <w:rFonts w:cs="Arial"/>
                <w:sz w:val="17"/>
                <w:szCs w:val="17"/>
                <w:lang w:eastAsia="en-AU"/>
              </w:rPr>
              <w:t>Country WA</w:t>
            </w:r>
          </w:p>
        </w:tc>
        <w:tc>
          <w:tcPr>
            <w:tcW w:w="1305" w:type="pct"/>
            <w:vAlign w:val="bottom"/>
          </w:tcPr>
          <w:p w14:paraId="7D950400" w14:textId="2349069B"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323.9</w:t>
            </w:r>
          </w:p>
        </w:tc>
        <w:tc>
          <w:tcPr>
            <w:tcW w:w="1305" w:type="pct"/>
            <w:vAlign w:val="bottom"/>
          </w:tcPr>
          <w:p w14:paraId="58C7648B" w14:textId="438F1C9C"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268.9</w:t>
            </w:r>
          </w:p>
        </w:tc>
      </w:tr>
      <w:tr w:rsidR="0097082C" w:rsidRPr="007B269C" w14:paraId="5D2D31EC"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7A8E7A4B" w14:textId="77777777" w:rsidR="0097082C" w:rsidRPr="007B269C" w:rsidRDefault="0097082C" w:rsidP="007B269C">
            <w:pPr>
              <w:pStyle w:val="Tabletextleft"/>
              <w:rPr>
                <w:rFonts w:cs="Arial"/>
                <w:sz w:val="17"/>
                <w:szCs w:val="17"/>
              </w:rPr>
            </w:pPr>
            <w:r w:rsidRPr="007B269C">
              <w:rPr>
                <w:rFonts w:cs="Arial"/>
                <w:sz w:val="17"/>
                <w:szCs w:val="17"/>
                <w:lang w:eastAsia="en-AU"/>
              </w:rPr>
              <w:lastRenderedPageBreak/>
              <w:t>Perth North</w:t>
            </w:r>
          </w:p>
        </w:tc>
        <w:tc>
          <w:tcPr>
            <w:tcW w:w="1305" w:type="pct"/>
            <w:vAlign w:val="bottom"/>
          </w:tcPr>
          <w:p w14:paraId="5C19D3BC" w14:textId="09460A02"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168.3</w:t>
            </w:r>
          </w:p>
        </w:tc>
        <w:tc>
          <w:tcPr>
            <w:tcW w:w="1305" w:type="pct"/>
            <w:vAlign w:val="bottom"/>
          </w:tcPr>
          <w:p w14:paraId="65DCA830" w14:textId="5EFA9A55"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7B269C">
              <w:rPr>
                <w:rFonts w:cs="Arial"/>
                <w:color w:val="auto"/>
                <w:sz w:val="17"/>
                <w:szCs w:val="17"/>
                <w:lang w:eastAsia="en-AU"/>
              </w:rPr>
              <w:t>116.9</w:t>
            </w:r>
          </w:p>
        </w:tc>
      </w:tr>
      <w:tr w:rsidR="0097082C" w:rsidRPr="007B269C" w14:paraId="48C1EF63"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29E10792" w14:textId="77777777" w:rsidR="0097082C" w:rsidRPr="007B269C" w:rsidRDefault="0097082C" w:rsidP="007B269C">
            <w:pPr>
              <w:pStyle w:val="Tabletextleft"/>
              <w:rPr>
                <w:rFonts w:cs="Arial"/>
                <w:sz w:val="17"/>
                <w:szCs w:val="17"/>
              </w:rPr>
            </w:pPr>
            <w:r w:rsidRPr="007B269C">
              <w:rPr>
                <w:rFonts w:cs="Arial"/>
                <w:sz w:val="17"/>
                <w:szCs w:val="17"/>
                <w:lang w:eastAsia="en-AU"/>
              </w:rPr>
              <w:t>Perth South</w:t>
            </w:r>
          </w:p>
        </w:tc>
        <w:tc>
          <w:tcPr>
            <w:tcW w:w="1305" w:type="pct"/>
            <w:vAlign w:val="bottom"/>
          </w:tcPr>
          <w:p w14:paraId="20ED995B" w14:textId="1BE8DDF9"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295.8</w:t>
            </w:r>
          </w:p>
        </w:tc>
        <w:tc>
          <w:tcPr>
            <w:tcW w:w="1305" w:type="pct"/>
            <w:vAlign w:val="bottom"/>
          </w:tcPr>
          <w:p w14:paraId="5620F0C7" w14:textId="4F984F1B"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190.2</w:t>
            </w:r>
          </w:p>
        </w:tc>
      </w:tr>
      <w:tr w:rsidR="0097082C" w:rsidRPr="007B269C" w14:paraId="651EC05B"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shd w:val="clear" w:color="auto" w:fill="E6E6E6" w:themeFill="background2"/>
          </w:tcPr>
          <w:p w14:paraId="366E907B" w14:textId="027299EA" w:rsidR="0097082C" w:rsidRPr="007B269C" w:rsidRDefault="0097082C" w:rsidP="007B269C">
            <w:pPr>
              <w:pStyle w:val="Tabletextleft"/>
              <w:rPr>
                <w:rFonts w:cs="Arial"/>
                <w:sz w:val="17"/>
                <w:szCs w:val="17"/>
                <w:lang w:eastAsia="en-AU"/>
              </w:rPr>
            </w:pPr>
            <w:r w:rsidRPr="007B269C">
              <w:rPr>
                <w:rFonts w:cs="Arial"/>
                <w:b/>
                <w:bCs/>
                <w:sz w:val="17"/>
                <w:szCs w:val="17"/>
                <w:lang w:eastAsia="en-AU"/>
              </w:rPr>
              <w:t>Tasmania</w:t>
            </w:r>
          </w:p>
        </w:tc>
        <w:tc>
          <w:tcPr>
            <w:tcW w:w="1305" w:type="pct"/>
            <w:shd w:val="clear" w:color="auto" w:fill="E6E6E6" w:themeFill="background2"/>
            <w:vAlign w:val="bottom"/>
          </w:tcPr>
          <w:p w14:paraId="0821131B" w14:textId="77777777"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05" w:type="pct"/>
            <w:shd w:val="clear" w:color="auto" w:fill="E6E6E6" w:themeFill="background2"/>
            <w:vAlign w:val="bottom"/>
          </w:tcPr>
          <w:p w14:paraId="77E69CEA" w14:textId="77777777"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97082C" w:rsidRPr="007B269C" w14:paraId="1B7823BC"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0D939C61" w14:textId="77777777" w:rsidR="0097082C" w:rsidRPr="007B269C" w:rsidRDefault="0097082C" w:rsidP="007B269C">
            <w:pPr>
              <w:pStyle w:val="Tabletextleft"/>
              <w:rPr>
                <w:rFonts w:cs="Arial"/>
                <w:sz w:val="17"/>
                <w:szCs w:val="17"/>
              </w:rPr>
            </w:pPr>
            <w:r w:rsidRPr="007B269C">
              <w:rPr>
                <w:rFonts w:cs="Arial"/>
                <w:sz w:val="17"/>
                <w:szCs w:val="17"/>
                <w:lang w:eastAsia="en-AU"/>
              </w:rPr>
              <w:t>Tasmania</w:t>
            </w:r>
          </w:p>
        </w:tc>
        <w:tc>
          <w:tcPr>
            <w:tcW w:w="1305" w:type="pct"/>
            <w:vAlign w:val="bottom"/>
          </w:tcPr>
          <w:p w14:paraId="4B0E01BD" w14:textId="000D81EC"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60</w:t>
            </w:r>
          </w:p>
        </w:tc>
        <w:tc>
          <w:tcPr>
            <w:tcW w:w="1305" w:type="pct"/>
            <w:vAlign w:val="bottom"/>
          </w:tcPr>
          <w:p w14:paraId="736597A9" w14:textId="7C77F3C4"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47.9</w:t>
            </w:r>
          </w:p>
        </w:tc>
      </w:tr>
      <w:tr w:rsidR="0097082C" w:rsidRPr="007B269C" w14:paraId="0CEBDEF9"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shd w:val="clear" w:color="auto" w:fill="E6E6E6" w:themeFill="background2"/>
          </w:tcPr>
          <w:p w14:paraId="005F1DB6" w14:textId="59B9CD3C" w:rsidR="0097082C" w:rsidRPr="007B269C" w:rsidRDefault="0097082C" w:rsidP="007B269C">
            <w:pPr>
              <w:pStyle w:val="Tabletextleft"/>
              <w:rPr>
                <w:rFonts w:cs="Arial"/>
                <w:sz w:val="17"/>
                <w:szCs w:val="17"/>
                <w:lang w:eastAsia="en-AU"/>
              </w:rPr>
            </w:pPr>
            <w:r w:rsidRPr="007B269C">
              <w:rPr>
                <w:rFonts w:cs="Arial"/>
                <w:b/>
                <w:bCs/>
                <w:sz w:val="17"/>
                <w:szCs w:val="17"/>
                <w:lang w:eastAsia="en-AU"/>
              </w:rPr>
              <w:t>Northern Territory</w:t>
            </w:r>
          </w:p>
        </w:tc>
        <w:tc>
          <w:tcPr>
            <w:tcW w:w="1305" w:type="pct"/>
            <w:shd w:val="clear" w:color="auto" w:fill="E6E6E6" w:themeFill="background2"/>
            <w:vAlign w:val="bottom"/>
          </w:tcPr>
          <w:p w14:paraId="4CBFC954" w14:textId="77777777"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05" w:type="pct"/>
            <w:shd w:val="clear" w:color="auto" w:fill="E6E6E6" w:themeFill="background2"/>
            <w:vAlign w:val="bottom"/>
          </w:tcPr>
          <w:p w14:paraId="749B828A" w14:textId="77777777"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97082C" w:rsidRPr="007B269C" w14:paraId="556AB135"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565C131E" w14:textId="77777777" w:rsidR="0097082C" w:rsidRPr="007B269C" w:rsidRDefault="0097082C" w:rsidP="007B269C">
            <w:pPr>
              <w:pStyle w:val="Tabletextleft"/>
              <w:rPr>
                <w:rFonts w:cs="Arial"/>
                <w:sz w:val="17"/>
                <w:szCs w:val="17"/>
              </w:rPr>
            </w:pPr>
            <w:r w:rsidRPr="007B269C">
              <w:rPr>
                <w:rFonts w:cs="Arial"/>
                <w:sz w:val="17"/>
                <w:szCs w:val="17"/>
                <w:lang w:eastAsia="en-AU"/>
              </w:rPr>
              <w:t>Northern Territory</w:t>
            </w:r>
          </w:p>
        </w:tc>
        <w:tc>
          <w:tcPr>
            <w:tcW w:w="1305" w:type="pct"/>
            <w:vAlign w:val="bottom"/>
          </w:tcPr>
          <w:p w14:paraId="371398F0" w14:textId="213DEE10"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248</w:t>
            </w:r>
          </w:p>
        </w:tc>
        <w:tc>
          <w:tcPr>
            <w:tcW w:w="1305" w:type="pct"/>
            <w:vAlign w:val="bottom"/>
          </w:tcPr>
          <w:p w14:paraId="05DEF507" w14:textId="758336D8"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779.4</w:t>
            </w:r>
          </w:p>
        </w:tc>
      </w:tr>
      <w:tr w:rsidR="0097082C" w:rsidRPr="007B269C" w14:paraId="53374ABB" w14:textId="77777777" w:rsidTr="00667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shd w:val="clear" w:color="auto" w:fill="E6E6E6" w:themeFill="background2"/>
          </w:tcPr>
          <w:p w14:paraId="7B1997A0" w14:textId="4676A1C2" w:rsidR="0097082C" w:rsidRPr="007B269C" w:rsidRDefault="0097082C" w:rsidP="007B269C">
            <w:pPr>
              <w:pStyle w:val="Tabletextleft"/>
              <w:rPr>
                <w:rFonts w:cs="Arial"/>
                <w:sz w:val="17"/>
                <w:szCs w:val="17"/>
                <w:lang w:eastAsia="en-AU"/>
              </w:rPr>
            </w:pPr>
            <w:r w:rsidRPr="007B269C">
              <w:rPr>
                <w:rFonts w:cs="Arial"/>
                <w:b/>
                <w:bCs/>
                <w:sz w:val="17"/>
                <w:szCs w:val="17"/>
                <w:lang w:eastAsia="en-AU"/>
              </w:rPr>
              <w:t>Australian Capital Territory</w:t>
            </w:r>
          </w:p>
        </w:tc>
        <w:tc>
          <w:tcPr>
            <w:tcW w:w="1305" w:type="pct"/>
            <w:shd w:val="clear" w:color="auto" w:fill="E6E6E6" w:themeFill="background2"/>
            <w:vAlign w:val="bottom"/>
          </w:tcPr>
          <w:p w14:paraId="45A7CCD2" w14:textId="77777777"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05" w:type="pct"/>
            <w:shd w:val="clear" w:color="auto" w:fill="E6E6E6" w:themeFill="background2"/>
            <w:vAlign w:val="bottom"/>
          </w:tcPr>
          <w:p w14:paraId="5169643D" w14:textId="77777777" w:rsidR="0097082C" w:rsidRPr="007B269C" w:rsidRDefault="0097082C" w:rsidP="007B269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97082C" w:rsidRPr="007B269C" w14:paraId="274D6073" w14:textId="77777777" w:rsidTr="00667BF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89" w:type="pct"/>
          </w:tcPr>
          <w:p w14:paraId="0347CE11" w14:textId="77777777" w:rsidR="0097082C" w:rsidRPr="007B269C" w:rsidRDefault="0097082C" w:rsidP="007B269C">
            <w:pPr>
              <w:pStyle w:val="Tabletextleft"/>
              <w:rPr>
                <w:rFonts w:cs="Arial"/>
                <w:sz w:val="17"/>
                <w:szCs w:val="17"/>
              </w:rPr>
            </w:pPr>
            <w:r w:rsidRPr="007B269C">
              <w:rPr>
                <w:rFonts w:cs="Arial"/>
                <w:sz w:val="17"/>
                <w:szCs w:val="17"/>
                <w:lang w:eastAsia="en-AU"/>
              </w:rPr>
              <w:t>Australian Capital Territory</w:t>
            </w:r>
          </w:p>
        </w:tc>
        <w:tc>
          <w:tcPr>
            <w:tcW w:w="1305" w:type="pct"/>
            <w:vAlign w:val="bottom"/>
          </w:tcPr>
          <w:p w14:paraId="1E5D9C9B" w14:textId="4B05450B"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144.6</w:t>
            </w:r>
          </w:p>
        </w:tc>
        <w:tc>
          <w:tcPr>
            <w:tcW w:w="1305" w:type="pct"/>
            <w:vAlign w:val="bottom"/>
          </w:tcPr>
          <w:p w14:paraId="084DAF5E" w14:textId="24369F60" w:rsidR="0097082C" w:rsidRPr="007B269C" w:rsidRDefault="0097082C" w:rsidP="007B269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7B269C">
              <w:rPr>
                <w:rFonts w:cs="Arial"/>
                <w:color w:val="auto"/>
                <w:sz w:val="17"/>
                <w:szCs w:val="17"/>
                <w:lang w:eastAsia="en-AU"/>
              </w:rPr>
              <w:t>118.9</w:t>
            </w:r>
          </w:p>
        </w:tc>
      </w:tr>
    </w:tbl>
    <w:p w14:paraId="609134EA" w14:textId="77777777" w:rsidR="00083D28" w:rsidRDefault="00083D28" w:rsidP="008C590A"/>
    <w:p w14:paraId="117E1A7F" w14:textId="3654961B" w:rsidR="00E24392" w:rsidRDefault="00F24A99" w:rsidP="00F24A99">
      <w:pPr>
        <w:pStyle w:val="Heading3"/>
        <w:rPr>
          <w:lang w:val="en-GB"/>
        </w:rPr>
      </w:pPr>
      <w:r>
        <w:rPr>
          <w:lang w:val="en-GB"/>
        </w:rPr>
        <w:t xml:space="preserve">MH2 – </w:t>
      </w:r>
      <w:r w:rsidR="000E3903">
        <w:t>P</w:t>
      </w:r>
      <w:r w:rsidRPr="00427467">
        <w:t xml:space="preserve">sychological </w:t>
      </w:r>
      <w:r w:rsidR="00BE494A">
        <w:t>T</w:t>
      </w:r>
      <w:r w:rsidRPr="00427467">
        <w:t xml:space="preserve">herapies </w:t>
      </w:r>
    </w:p>
    <w:p w14:paraId="49CA2EEE" w14:textId="616FD0C7" w:rsidR="00C71FFC" w:rsidRPr="00C71FFC" w:rsidRDefault="00C71FFC" w:rsidP="00C71FFC">
      <w:pPr>
        <w:rPr>
          <w:rFonts w:cs="Arial"/>
          <w:szCs w:val="22"/>
          <w:lang w:eastAsia="en-AU"/>
        </w:rPr>
      </w:pPr>
      <w:r>
        <w:rPr>
          <w:lang w:val="en-GB"/>
        </w:rPr>
        <w:t>PHN</w:t>
      </w:r>
      <w:r w:rsidR="007A003B">
        <w:rPr>
          <w:lang w:val="en-GB"/>
        </w:rPr>
        <w:t xml:space="preserve">s are required to </w:t>
      </w:r>
      <w:r>
        <w:rPr>
          <w:lang w:val="en-GB"/>
        </w:rPr>
        <w:t xml:space="preserve">commission psychological </w:t>
      </w:r>
      <w:r w:rsidR="007A003B">
        <w:rPr>
          <w:lang w:val="en-GB"/>
        </w:rPr>
        <w:t>therapies</w:t>
      </w:r>
      <w:r>
        <w:rPr>
          <w:lang w:val="en-GB"/>
        </w:rPr>
        <w:t>, to provide mental health services</w:t>
      </w:r>
      <w:r w:rsidR="007A003B">
        <w:rPr>
          <w:lang w:val="en-GB"/>
        </w:rPr>
        <w:t xml:space="preserve"> where there are limited or not easily accessible </w:t>
      </w:r>
      <w:r w:rsidR="00FC787E">
        <w:t>Medicare Benefits Schedule</w:t>
      </w:r>
      <w:r w:rsidR="007A003B">
        <w:rPr>
          <w:lang w:val="en-GB"/>
        </w:rPr>
        <w:t xml:space="preserve"> subsidised psychological services</w:t>
      </w:r>
      <w:r w:rsidR="00920910">
        <w:rPr>
          <w:lang w:val="en-GB"/>
        </w:rPr>
        <w:t>,</w:t>
      </w:r>
      <w:r w:rsidR="007A003B">
        <w:rPr>
          <w:lang w:val="en-GB"/>
        </w:rPr>
        <w:t xml:space="preserve"> or to </w:t>
      </w:r>
      <w:proofErr w:type="gramStart"/>
      <w:r w:rsidR="007A003B">
        <w:rPr>
          <w:lang w:val="en-GB"/>
        </w:rPr>
        <w:t>particular sub</w:t>
      </w:r>
      <w:r w:rsidR="00920910">
        <w:rPr>
          <w:lang w:val="en-GB"/>
        </w:rPr>
        <w:t>-</w:t>
      </w:r>
      <w:proofErr w:type="gramEnd"/>
      <w:r w:rsidR="007A003B">
        <w:rPr>
          <w:lang w:val="en-GB"/>
        </w:rPr>
        <w:t>populations that are not accessing available services to the same extent as the general population</w:t>
      </w:r>
      <w:r>
        <w:rPr>
          <w:lang w:val="en-GB"/>
        </w:rPr>
        <w:t>. Targeted groups may include people experiencing or at risk of homelessness,</w:t>
      </w:r>
      <w:r w:rsidRPr="00C71FFC">
        <w:rPr>
          <w:rFonts w:cs="Arial"/>
          <w:szCs w:val="22"/>
          <w:lang w:eastAsia="en-AU"/>
        </w:rPr>
        <w:t xml:space="preserve"> people living in remote communities</w:t>
      </w:r>
      <w:r>
        <w:rPr>
          <w:rFonts w:cs="Arial"/>
          <w:szCs w:val="22"/>
          <w:lang w:eastAsia="en-AU"/>
        </w:rPr>
        <w:t>,</w:t>
      </w:r>
      <w:r w:rsidRPr="00C71FFC">
        <w:rPr>
          <w:rFonts w:cs="Arial"/>
          <w:szCs w:val="22"/>
          <w:lang w:eastAsia="en-AU"/>
        </w:rPr>
        <w:t xml:space="preserve"> </w:t>
      </w:r>
      <w:r w:rsidR="002D1DA2">
        <w:t>Aboriginal and Torres Strait Islander people</w:t>
      </w:r>
      <w:r w:rsidRPr="00C71FFC">
        <w:rPr>
          <w:rFonts w:cs="Arial"/>
          <w:szCs w:val="22"/>
          <w:lang w:eastAsia="en-AU"/>
        </w:rPr>
        <w:t xml:space="preserve">, Culturally and Linguistically Diverse people, those who have experienced trauma or abuse, and women experiencing perinatal depression. </w:t>
      </w:r>
      <w:r>
        <w:rPr>
          <w:rFonts w:cs="Arial"/>
          <w:szCs w:val="22"/>
          <w:lang w:eastAsia="en-AU"/>
        </w:rPr>
        <w:t>T</w:t>
      </w:r>
      <w:r w:rsidRPr="00C71FFC">
        <w:rPr>
          <w:rFonts w:cs="Arial"/>
          <w:szCs w:val="22"/>
          <w:lang w:eastAsia="en-AU"/>
        </w:rPr>
        <w:t xml:space="preserve">arget groups </w:t>
      </w:r>
      <w:r>
        <w:rPr>
          <w:rFonts w:cs="Arial"/>
          <w:szCs w:val="22"/>
          <w:lang w:eastAsia="en-AU"/>
        </w:rPr>
        <w:t>are determined by PHNs based on</w:t>
      </w:r>
      <w:r w:rsidRPr="00C71FFC">
        <w:rPr>
          <w:rFonts w:cs="Arial"/>
          <w:szCs w:val="22"/>
          <w:lang w:eastAsia="en-AU"/>
        </w:rPr>
        <w:t xml:space="preserve"> local needs. </w:t>
      </w:r>
    </w:p>
    <w:p w14:paraId="30223422" w14:textId="7E149FEB" w:rsidR="00F64B27" w:rsidRDefault="0098720C" w:rsidP="00C71FFC">
      <w:pPr>
        <w:rPr>
          <w:lang w:val="en-GB"/>
        </w:rPr>
      </w:pPr>
      <w:r>
        <w:rPr>
          <w:lang w:val="en-GB"/>
        </w:rPr>
        <w:t>As with indicator MH1, assessment of PHN performance for this indicator requires consideration of changes in uptake of services over a broader period to understand the delivery of services</w:t>
      </w:r>
      <w:r w:rsidR="00564180">
        <w:rPr>
          <w:lang w:val="en-GB"/>
        </w:rPr>
        <w:t xml:space="preserve">. </w:t>
      </w:r>
      <w:r w:rsidR="008837FC">
        <w:rPr>
          <w:lang w:val="en-GB"/>
        </w:rPr>
        <w:t>Please also refer to MH1 (page 34) for a statement on data variability</w:t>
      </w:r>
      <w:r w:rsidR="003D1B23">
        <w:rPr>
          <w:lang w:val="en-GB"/>
        </w:rPr>
        <w:t xml:space="preserve"> and inability to compare figures across PHNs or over time</w:t>
      </w:r>
      <w:r w:rsidR="008837FC">
        <w:rPr>
          <w:lang w:val="en-GB"/>
        </w:rPr>
        <w:t xml:space="preserve">. </w:t>
      </w:r>
    </w:p>
    <w:p w14:paraId="64B116B2" w14:textId="77777777" w:rsidR="009D5389" w:rsidRDefault="009D5389" w:rsidP="00C71FFC">
      <w:pPr>
        <w:rPr>
          <w:lang w:val="en-GB"/>
        </w:rPr>
      </w:pPr>
    </w:p>
    <w:p w14:paraId="00749F93" w14:textId="77777777" w:rsidR="004C3A4B" w:rsidRDefault="004C3A4B">
      <w:pPr>
        <w:spacing w:before="0" w:after="0" w:line="240" w:lineRule="auto"/>
        <w:rPr>
          <w:rFonts w:cs="Arial"/>
          <w:b/>
          <w:bCs/>
          <w:iCs/>
          <w:szCs w:val="22"/>
          <w:lang w:val="en-GB"/>
        </w:rPr>
      </w:pPr>
      <w:r>
        <w:rPr>
          <w:lang w:val="en-GB"/>
        </w:rPr>
        <w:br w:type="page"/>
      </w:r>
    </w:p>
    <w:p w14:paraId="5F3E3933" w14:textId="3665F4FF" w:rsidR="002D375C" w:rsidRDefault="00AF3A1B" w:rsidP="002D375C">
      <w:pPr>
        <w:pStyle w:val="FigureTitle"/>
        <w:rPr>
          <w:lang w:val="en-GB"/>
        </w:rPr>
      </w:pPr>
      <w:r>
        <w:rPr>
          <w:lang w:val="en-GB"/>
        </w:rPr>
        <w:lastRenderedPageBreak/>
        <w:t xml:space="preserve">Table </w:t>
      </w:r>
      <w:r w:rsidR="00E145CE">
        <w:rPr>
          <w:lang w:val="en-GB"/>
        </w:rPr>
        <w:t>5</w:t>
      </w:r>
      <w:r>
        <w:rPr>
          <w:lang w:val="en-GB"/>
        </w:rPr>
        <w:t>:</w:t>
      </w:r>
      <w:r w:rsidR="002D375C">
        <w:rPr>
          <w:lang w:val="en-GB"/>
        </w:rPr>
        <w:t xml:space="preserve"> </w:t>
      </w:r>
      <w:r w:rsidR="002D375C">
        <w:t>Population receiving PHN commissioned psychological therapies delivered by mental health professional, per 100,000 population, by PHN</w:t>
      </w:r>
      <w:r w:rsidR="00C110A9">
        <w:rPr>
          <w:rStyle w:val="FootnoteReference"/>
        </w:rPr>
        <w:footnoteReference w:id="36"/>
      </w:r>
    </w:p>
    <w:tbl>
      <w:tblPr>
        <w:tblStyle w:val="DepartmentofHealthtable"/>
        <w:tblW w:w="5000" w:type="pct"/>
        <w:tblLook w:val="04A0" w:firstRow="1" w:lastRow="0" w:firstColumn="1" w:lastColumn="0" w:noHBand="0" w:noVBand="1"/>
        <w:tblCaption w:val="Table 5: Population receiving PHN commissioned psychological therapies delivered by mental health professional, per 100,000 population, by PHN"/>
        <w:tblDescription w:val="The table shows the rate per 100,000 population receiving PHN commissioned psychological therapies delivered by a mental health professional, by PHN region sorted by state and territory for each of the six years 2018-19 to 2023-24."/>
      </w:tblPr>
      <w:tblGrid>
        <w:gridCol w:w="4276"/>
        <w:gridCol w:w="2398"/>
        <w:gridCol w:w="2396"/>
      </w:tblGrid>
      <w:tr w:rsidR="003D1B23" w:rsidRPr="00935776" w14:paraId="5075CD47" w14:textId="77777777" w:rsidTr="00CB64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7" w:type="pct"/>
          </w:tcPr>
          <w:p w14:paraId="71F31A23" w14:textId="77777777" w:rsidR="003D1B23" w:rsidRPr="00935776" w:rsidRDefault="003D1B23" w:rsidP="001C4212">
            <w:pPr>
              <w:pStyle w:val="TableHeaderWhite"/>
              <w:rPr>
                <w:sz w:val="18"/>
                <w:szCs w:val="18"/>
              </w:rPr>
            </w:pPr>
            <w:r w:rsidRPr="00935776">
              <w:rPr>
                <w:sz w:val="18"/>
                <w:szCs w:val="18"/>
              </w:rPr>
              <w:t>PHN</w:t>
            </w:r>
          </w:p>
        </w:tc>
        <w:tc>
          <w:tcPr>
            <w:tcW w:w="1322" w:type="pct"/>
          </w:tcPr>
          <w:p w14:paraId="45FDE38F" w14:textId="77777777" w:rsidR="003D1B23" w:rsidRPr="00935776" w:rsidRDefault="003D1B23" w:rsidP="001C4212">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2022–23</w:t>
            </w:r>
          </w:p>
        </w:tc>
        <w:tc>
          <w:tcPr>
            <w:tcW w:w="1322" w:type="pct"/>
          </w:tcPr>
          <w:p w14:paraId="380FC7EE" w14:textId="77777777" w:rsidR="003D1B23" w:rsidRPr="00935776" w:rsidRDefault="003D1B23" w:rsidP="001C4212">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2023–24</w:t>
            </w:r>
          </w:p>
        </w:tc>
      </w:tr>
      <w:tr w:rsidR="003D1B23" w:rsidRPr="00813F3E" w14:paraId="577C10EA"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shd w:val="clear" w:color="auto" w:fill="E6E6E6" w:themeFill="background2"/>
          </w:tcPr>
          <w:p w14:paraId="37D24409" w14:textId="24587454" w:rsidR="003D1B23" w:rsidRPr="00813F3E" w:rsidRDefault="003D1B23" w:rsidP="00042BCF">
            <w:pPr>
              <w:pStyle w:val="Tabletextleft"/>
              <w:rPr>
                <w:rFonts w:cs="Arial"/>
                <w:sz w:val="17"/>
                <w:szCs w:val="17"/>
                <w:lang w:eastAsia="en-AU"/>
              </w:rPr>
            </w:pPr>
            <w:r w:rsidRPr="00813F3E">
              <w:rPr>
                <w:rFonts w:cs="Arial"/>
                <w:b/>
                <w:bCs/>
                <w:sz w:val="17"/>
                <w:szCs w:val="17"/>
                <w:lang w:eastAsia="en-AU"/>
              </w:rPr>
              <w:t>New South Wales</w:t>
            </w:r>
          </w:p>
        </w:tc>
        <w:tc>
          <w:tcPr>
            <w:tcW w:w="1322" w:type="pct"/>
            <w:shd w:val="clear" w:color="auto" w:fill="E6E6E6" w:themeFill="background2"/>
            <w:vAlign w:val="bottom"/>
          </w:tcPr>
          <w:p w14:paraId="6D38A603" w14:textId="77777777"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c>
          <w:tcPr>
            <w:tcW w:w="1322" w:type="pct"/>
            <w:shd w:val="clear" w:color="auto" w:fill="E6E6E6" w:themeFill="background2"/>
            <w:vAlign w:val="bottom"/>
          </w:tcPr>
          <w:p w14:paraId="3145A29C" w14:textId="77777777"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r>
      <w:tr w:rsidR="003D1B23" w:rsidRPr="00813F3E" w14:paraId="2F090541"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11D8FAA2" w14:textId="77777777" w:rsidR="003D1B23" w:rsidRPr="00813F3E" w:rsidRDefault="003D1B23" w:rsidP="00042BCF">
            <w:pPr>
              <w:pStyle w:val="Tabletextleft"/>
              <w:rPr>
                <w:rFonts w:cs="Arial"/>
                <w:sz w:val="17"/>
                <w:szCs w:val="17"/>
              </w:rPr>
            </w:pPr>
            <w:r w:rsidRPr="00813F3E">
              <w:rPr>
                <w:rFonts w:cs="Arial"/>
                <w:sz w:val="17"/>
                <w:szCs w:val="17"/>
                <w:lang w:eastAsia="en-AU"/>
              </w:rPr>
              <w:t>Central and Eastern Sydney</w:t>
            </w:r>
          </w:p>
        </w:tc>
        <w:tc>
          <w:tcPr>
            <w:tcW w:w="1322" w:type="pct"/>
            <w:vAlign w:val="bottom"/>
          </w:tcPr>
          <w:p w14:paraId="4203DF4F" w14:textId="252E8F4A"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304.6</w:t>
            </w:r>
          </w:p>
        </w:tc>
        <w:tc>
          <w:tcPr>
            <w:tcW w:w="1322" w:type="pct"/>
            <w:vAlign w:val="bottom"/>
          </w:tcPr>
          <w:p w14:paraId="299AB470" w14:textId="063BD03F"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175.5</w:t>
            </w:r>
          </w:p>
        </w:tc>
      </w:tr>
      <w:tr w:rsidR="003D1B23" w:rsidRPr="00813F3E" w14:paraId="0E46CE87"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081B5CEB" w14:textId="77777777" w:rsidR="003D1B23" w:rsidRPr="00813F3E" w:rsidRDefault="003D1B23" w:rsidP="00042BCF">
            <w:pPr>
              <w:pStyle w:val="Tabletextleft"/>
              <w:rPr>
                <w:rFonts w:cs="Arial"/>
                <w:sz w:val="17"/>
                <w:szCs w:val="17"/>
              </w:rPr>
            </w:pPr>
            <w:r w:rsidRPr="00813F3E">
              <w:rPr>
                <w:rFonts w:cs="Arial"/>
                <w:sz w:val="17"/>
                <w:szCs w:val="17"/>
                <w:lang w:eastAsia="en-AU"/>
              </w:rPr>
              <w:t>Hunter New England and Central Coast</w:t>
            </w:r>
          </w:p>
        </w:tc>
        <w:tc>
          <w:tcPr>
            <w:tcW w:w="1322" w:type="pct"/>
            <w:vAlign w:val="bottom"/>
          </w:tcPr>
          <w:p w14:paraId="64C498E0" w14:textId="56EBAF99"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568.5</w:t>
            </w:r>
          </w:p>
        </w:tc>
        <w:tc>
          <w:tcPr>
            <w:tcW w:w="1322" w:type="pct"/>
            <w:vAlign w:val="bottom"/>
          </w:tcPr>
          <w:p w14:paraId="6529C3BB" w14:textId="2ABC6D28"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518.5</w:t>
            </w:r>
          </w:p>
        </w:tc>
      </w:tr>
      <w:tr w:rsidR="003D1B23" w:rsidRPr="00813F3E" w14:paraId="429954DC"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4D6DD29B" w14:textId="77777777" w:rsidR="003D1B23" w:rsidRPr="00813F3E" w:rsidRDefault="003D1B23" w:rsidP="00042BCF">
            <w:pPr>
              <w:pStyle w:val="Tabletextleft"/>
              <w:rPr>
                <w:rFonts w:cs="Arial"/>
                <w:sz w:val="17"/>
                <w:szCs w:val="17"/>
              </w:rPr>
            </w:pPr>
            <w:r w:rsidRPr="00813F3E">
              <w:rPr>
                <w:rFonts w:cs="Arial"/>
                <w:sz w:val="17"/>
                <w:szCs w:val="17"/>
                <w:lang w:eastAsia="en-AU"/>
              </w:rPr>
              <w:t>Murrumbidgee</w:t>
            </w:r>
          </w:p>
        </w:tc>
        <w:tc>
          <w:tcPr>
            <w:tcW w:w="1322" w:type="pct"/>
            <w:vAlign w:val="bottom"/>
          </w:tcPr>
          <w:p w14:paraId="2ACBB28C" w14:textId="55685199"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653.6</w:t>
            </w:r>
          </w:p>
        </w:tc>
        <w:tc>
          <w:tcPr>
            <w:tcW w:w="1322" w:type="pct"/>
            <w:vAlign w:val="bottom"/>
          </w:tcPr>
          <w:p w14:paraId="638D6645" w14:textId="1E0F4369"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524.1</w:t>
            </w:r>
          </w:p>
        </w:tc>
      </w:tr>
      <w:tr w:rsidR="003D1B23" w:rsidRPr="00813F3E" w14:paraId="7D1AEE76"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0F595610" w14:textId="77777777" w:rsidR="003D1B23" w:rsidRPr="00813F3E" w:rsidRDefault="003D1B23" w:rsidP="00042BCF">
            <w:pPr>
              <w:pStyle w:val="Tabletextleft"/>
              <w:rPr>
                <w:rFonts w:cs="Arial"/>
                <w:sz w:val="17"/>
                <w:szCs w:val="17"/>
              </w:rPr>
            </w:pPr>
            <w:r w:rsidRPr="00813F3E">
              <w:rPr>
                <w:rFonts w:cs="Arial"/>
                <w:sz w:val="17"/>
                <w:szCs w:val="17"/>
                <w:lang w:eastAsia="en-AU"/>
              </w:rPr>
              <w:t>Nepean Blue Mountains</w:t>
            </w:r>
          </w:p>
        </w:tc>
        <w:tc>
          <w:tcPr>
            <w:tcW w:w="1322" w:type="pct"/>
            <w:vAlign w:val="bottom"/>
          </w:tcPr>
          <w:p w14:paraId="0B75040D" w14:textId="793B1246"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505.8</w:t>
            </w:r>
          </w:p>
        </w:tc>
        <w:tc>
          <w:tcPr>
            <w:tcW w:w="1322" w:type="pct"/>
            <w:vAlign w:val="bottom"/>
          </w:tcPr>
          <w:p w14:paraId="2329291C" w14:textId="79491C25"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636</w:t>
            </w:r>
          </w:p>
        </w:tc>
      </w:tr>
      <w:tr w:rsidR="003D1B23" w:rsidRPr="00813F3E" w14:paraId="420E3A0E"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0D3B162A" w14:textId="77777777" w:rsidR="003D1B23" w:rsidRPr="00813F3E" w:rsidRDefault="003D1B23" w:rsidP="00042BCF">
            <w:pPr>
              <w:pStyle w:val="Tabletextleft"/>
              <w:rPr>
                <w:rFonts w:cs="Arial"/>
                <w:sz w:val="17"/>
                <w:szCs w:val="17"/>
              </w:rPr>
            </w:pPr>
            <w:r w:rsidRPr="00813F3E">
              <w:rPr>
                <w:rFonts w:cs="Arial"/>
                <w:sz w:val="17"/>
                <w:szCs w:val="17"/>
                <w:lang w:eastAsia="en-AU"/>
              </w:rPr>
              <w:t>North Coast</w:t>
            </w:r>
          </w:p>
        </w:tc>
        <w:tc>
          <w:tcPr>
            <w:tcW w:w="1322" w:type="pct"/>
            <w:vAlign w:val="bottom"/>
          </w:tcPr>
          <w:p w14:paraId="09147C4A" w14:textId="141FE9BB"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612.4</w:t>
            </w:r>
          </w:p>
        </w:tc>
        <w:tc>
          <w:tcPr>
            <w:tcW w:w="1322" w:type="pct"/>
            <w:vAlign w:val="bottom"/>
          </w:tcPr>
          <w:p w14:paraId="71F0E857" w14:textId="27566FB8"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960.3</w:t>
            </w:r>
          </w:p>
        </w:tc>
      </w:tr>
      <w:tr w:rsidR="003D1B23" w:rsidRPr="00813F3E" w14:paraId="7B20AB8A"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36D60D05" w14:textId="77777777" w:rsidR="003D1B23" w:rsidRPr="00813F3E" w:rsidRDefault="003D1B23" w:rsidP="00042BCF">
            <w:pPr>
              <w:pStyle w:val="Tabletextleft"/>
              <w:rPr>
                <w:rFonts w:cs="Arial"/>
                <w:sz w:val="17"/>
                <w:szCs w:val="17"/>
              </w:rPr>
            </w:pPr>
            <w:r w:rsidRPr="00813F3E">
              <w:rPr>
                <w:rFonts w:cs="Arial"/>
                <w:sz w:val="17"/>
                <w:szCs w:val="17"/>
                <w:lang w:eastAsia="en-AU"/>
              </w:rPr>
              <w:t>Northern Sydney</w:t>
            </w:r>
          </w:p>
        </w:tc>
        <w:tc>
          <w:tcPr>
            <w:tcW w:w="1322" w:type="pct"/>
            <w:vAlign w:val="bottom"/>
          </w:tcPr>
          <w:p w14:paraId="5E56CA4F" w14:textId="5E4DB778"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340.5</w:t>
            </w:r>
          </w:p>
        </w:tc>
        <w:tc>
          <w:tcPr>
            <w:tcW w:w="1322" w:type="pct"/>
            <w:vAlign w:val="bottom"/>
          </w:tcPr>
          <w:p w14:paraId="429C2412" w14:textId="66845E11"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352.7</w:t>
            </w:r>
          </w:p>
        </w:tc>
      </w:tr>
      <w:tr w:rsidR="003D1B23" w:rsidRPr="00813F3E" w14:paraId="0EC0F99D"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2F61C7A4" w14:textId="77777777" w:rsidR="003D1B23" w:rsidRPr="00813F3E" w:rsidRDefault="003D1B23" w:rsidP="00042BCF">
            <w:pPr>
              <w:pStyle w:val="Tabletextleft"/>
              <w:rPr>
                <w:rFonts w:cs="Arial"/>
                <w:sz w:val="17"/>
                <w:szCs w:val="17"/>
              </w:rPr>
            </w:pPr>
            <w:proofErr w:type="gramStart"/>
            <w:r w:rsidRPr="00813F3E">
              <w:rPr>
                <w:rFonts w:cs="Arial"/>
                <w:sz w:val="17"/>
                <w:szCs w:val="17"/>
                <w:lang w:eastAsia="en-AU"/>
              </w:rPr>
              <w:t>South Eastern</w:t>
            </w:r>
            <w:proofErr w:type="gramEnd"/>
            <w:r w:rsidRPr="00813F3E">
              <w:rPr>
                <w:rFonts w:cs="Arial"/>
                <w:sz w:val="17"/>
                <w:szCs w:val="17"/>
                <w:lang w:eastAsia="en-AU"/>
              </w:rPr>
              <w:t xml:space="preserve"> NSW</w:t>
            </w:r>
          </w:p>
        </w:tc>
        <w:tc>
          <w:tcPr>
            <w:tcW w:w="1322" w:type="pct"/>
            <w:vAlign w:val="bottom"/>
          </w:tcPr>
          <w:p w14:paraId="7C6B3019" w14:textId="3257EAA1"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322.7</w:t>
            </w:r>
          </w:p>
        </w:tc>
        <w:tc>
          <w:tcPr>
            <w:tcW w:w="1322" w:type="pct"/>
            <w:vAlign w:val="bottom"/>
          </w:tcPr>
          <w:p w14:paraId="37212CD0" w14:textId="71D0FF79"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169.5</w:t>
            </w:r>
          </w:p>
        </w:tc>
      </w:tr>
      <w:tr w:rsidR="003D1B23" w:rsidRPr="00813F3E" w14:paraId="1EB0131A"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1C34AB8B" w14:textId="77777777" w:rsidR="003D1B23" w:rsidRPr="00813F3E" w:rsidRDefault="003D1B23" w:rsidP="00042BCF">
            <w:pPr>
              <w:pStyle w:val="Tabletextleft"/>
              <w:rPr>
                <w:rFonts w:cs="Arial"/>
                <w:sz w:val="17"/>
                <w:szCs w:val="17"/>
              </w:rPr>
            </w:pPr>
            <w:proofErr w:type="gramStart"/>
            <w:r w:rsidRPr="00813F3E">
              <w:rPr>
                <w:rFonts w:cs="Arial"/>
                <w:sz w:val="17"/>
                <w:szCs w:val="17"/>
                <w:lang w:eastAsia="en-AU"/>
              </w:rPr>
              <w:t>South Western</w:t>
            </w:r>
            <w:proofErr w:type="gramEnd"/>
            <w:r w:rsidRPr="00813F3E">
              <w:rPr>
                <w:rFonts w:cs="Arial"/>
                <w:sz w:val="17"/>
                <w:szCs w:val="17"/>
                <w:lang w:eastAsia="en-AU"/>
              </w:rPr>
              <w:t xml:space="preserve"> Sydney</w:t>
            </w:r>
          </w:p>
        </w:tc>
        <w:tc>
          <w:tcPr>
            <w:tcW w:w="1322" w:type="pct"/>
            <w:vAlign w:val="bottom"/>
          </w:tcPr>
          <w:p w14:paraId="3BE4CB3E" w14:textId="594B829A"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570.8</w:t>
            </w:r>
          </w:p>
        </w:tc>
        <w:tc>
          <w:tcPr>
            <w:tcW w:w="1322" w:type="pct"/>
            <w:vAlign w:val="bottom"/>
          </w:tcPr>
          <w:p w14:paraId="5355D3ED" w14:textId="40DE2D08"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398.3</w:t>
            </w:r>
          </w:p>
        </w:tc>
      </w:tr>
      <w:tr w:rsidR="003D1B23" w:rsidRPr="00813F3E" w14:paraId="7134710A"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63D9846A" w14:textId="77777777" w:rsidR="003D1B23" w:rsidRPr="00813F3E" w:rsidRDefault="003D1B23" w:rsidP="00042BCF">
            <w:pPr>
              <w:pStyle w:val="Tabletextleft"/>
              <w:rPr>
                <w:rFonts w:cs="Arial"/>
                <w:sz w:val="17"/>
                <w:szCs w:val="17"/>
              </w:rPr>
            </w:pPr>
            <w:r w:rsidRPr="00813F3E">
              <w:rPr>
                <w:rFonts w:cs="Arial"/>
                <w:sz w:val="17"/>
                <w:szCs w:val="17"/>
                <w:lang w:eastAsia="en-AU"/>
              </w:rPr>
              <w:t>Western NSW</w:t>
            </w:r>
          </w:p>
        </w:tc>
        <w:tc>
          <w:tcPr>
            <w:tcW w:w="1322" w:type="pct"/>
            <w:vAlign w:val="bottom"/>
          </w:tcPr>
          <w:p w14:paraId="5E0860F3" w14:textId="1D798F29"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533</w:t>
            </w:r>
          </w:p>
        </w:tc>
        <w:tc>
          <w:tcPr>
            <w:tcW w:w="1322" w:type="pct"/>
            <w:vAlign w:val="bottom"/>
          </w:tcPr>
          <w:p w14:paraId="027C2F6F" w14:textId="00F1C5B1"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484.8</w:t>
            </w:r>
          </w:p>
        </w:tc>
      </w:tr>
      <w:tr w:rsidR="003D1B23" w:rsidRPr="00813F3E" w14:paraId="34D6416C"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03E183ED" w14:textId="77777777" w:rsidR="003D1B23" w:rsidRPr="00813F3E" w:rsidRDefault="003D1B23" w:rsidP="00042BCF">
            <w:pPr>
              <w:pStyle w:val="Tabletextleft"/>
              <w:rPr>
                <w:rFonts w:cs="Arial"/>
                <w:sz w:val="17"/>
                <w:szCs w:val="17"/>
              </w:rPr>
            </w:pPr>
            <w:r w:rsidRPr="00813F3E">
              <w:rPr>
                <w:rFonts w:cs="Arial"/>
                <w:sz w:val="17"/>
                <w:szCs w:val="17"/>
                <w:lang w:eastAsia="en-AU"/>
              </w:rPr>
              <w:t>Western Sydney</w:t>
            </w:r>
          </w:p>
        </w:tc>
        <w:tc>
          <w:tcPr>
            <w:tcW w:w="1322" w:type="pct"/>
            <w:vAlign w:val="bottom"/>
          </w:tcPr>
          <w:p w14:paraId="569356B0" w14:textId="0D1BD6B8"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480.3</w:t>
            </w:r>
          </w:p>
        </w:tc>
        <w:tc>
          <w:tcPr>
            <w:tcW w:w="1322" w:type="pct"/>
            <w:vAlign w:val="bottom"/>
          </w:tcPr>
          <w:p w14:paraId="6D71765A" w14:textId="00090333"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447.3</w:t>
            </w:r>
          </w:p>
        </w:tc>
      </w:tr>
      <w:tr w:rsidR="003D1B23" w:rsidRPr="00813F3E" w14:paraId="41545951"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shd w:val="clear" w:color="auto" w:fill="E6E6E6" w:themeFill="background2"/>
          </w:tcPr>
          <w:p w14:paraId="11821C85" w14:textId="2C005184" w:rsidR="003D1B23" w:rsidRPr="00813F3E" w:rsidRDefault="003D1B23" w:rsidP="00042BCF">
            <w:pPr>
              <w:pStyle w:val="Tabletextleft"/>
              <w:rPr>
                <w:rFonts w:cs="Arial"/>
                <w:sz w:val="17"/>
                <w:szCs w:val="17"/>
                <w:lang w:eastAsia="en-AU"/>
              </w:rPr>
            </w:pPr>
            <w:r w:rsidRPr="00813F3E">
              <w:rPr>
                <w:rFonts w:cs="Arial"/>
                <w:b/>
                <w:bCs/>
                <w:sz w:val="17"/>
                <w:szCs w:val="17"/>
                <w:lang w:eastAsia="en-AU"/>
              </w:rPr>
              <w:t>Victoria</w:t>
            </w:r>
          </w:p>
        </w:tc>
        <w:tc>
          <w:tcPr>
            <w:tcW w:w="1322" w:type="pct"/>
            <w:shd w:val="clear" w:color="auto" w:fill="E6E6E6" w:themeFill="background2"/>
            <w:vAlign w:val="bottom"/>
          </w:tcPr>
          <w:p w14:paraId="7F4C1F1C" w14:textId="77777777"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22" w:type="pct"/>
            <w:shd w:val="clear" w:color="auto" w:fill="E6E6E6" w:themeFill="background2"/>
            <w:vAlign w:val="bottom"/>
          </w:tcPr>
          <w:p w14:paraId="265260B2" w14:textId="77777777"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3D1B23" w:rsidRPr="00813F3E" w14:paraId="72281BA8"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15DE970C" w14:textId="77777777" w:rsidR="003D1B23" w:rsidRPr="00813F3E" w:rsidRDefault="003D1B23" w:rsidP="00042BCF">
            <w:pPr>
              <w:pStyle w:val="Tabletextleft"/>
              <w:rPr>
                <w:rFonts w:cs="Arial"/>
                <w:sz w:val="17"/>
                <w:szCs w:val="17"/>
              </w:rPr>
            </w:pPr>
            <w:r w:rsidRPr="00813F3E">
              <w:rPr>
                <w:rFonts w:cs="Arial"/>
                <w:sz w:val="17"/>
                <w:szCs w:val="17"/>
                <w:lang w:eastAsia="en-AU"/>
              </w:rPr>
              <w:t>Eastern Melbourne</w:t>
            </w:r>
          </w:p>
        </w:tc>
        <w:tc>
          <w:tcPr>
            <w:tcW w:w="1322" w:type="pct"/>
            <w:vAlign w:val="bottom"/>
          </w:tcPr>
          <w:p w14:paraId="6FD1501A" w14:textId="44B85A33"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131.3</w:t>
            </w:r>
          </w:p>
        </w:tc>
        <w:tc>
          <w:tcPr>
            <w:tcW w:w="1322" w:type="pct"/>
            <w:vAlign w:val="bottom"/>
          </w:tcPr>
          <w:p w14:paraId="4BFADE1F" w14:textId="6F6939FE"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83.8</w:t>
            </w:r>
          </w:p>
        </w:tc>
      </w:tr>
      <w:tr w:rsidR="003D1B23" w:rsidRPr="00813F3E" w14:paraId="26E8EF40"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07B9F86A" w14:textId="77777777" w:rsidR="003D1B23" w:rsidRPr="00813F3E" w:rsidRDefault="003D1B23" w:rsidP="00042BCF">
            <w:pPr>
              <w:pStyle w:val="Tabletextleft"/>
              <w:rPr>
                <w:rFonts w:cs="Arial"/>
                <w:sz w:val="17"/>
                <w:szCs w:val="17"/>
              </w:rPr>
            </w:pPr>
            <w:r w:rsidRPr="00813F3E">
              <w:rPr>
                <w:rFonts w:cs="Arial"/>
                <w:sz w:val="17"/>
                <w:szCs w:val="17"/>
                <w:lang w:eastAsia="en-AU"/>
              </w:rPr>
              <w:t>Gippsland</w:t>
            </w:r>
          </w:p>
        </w:tc>
        <w:tc>
          <w:tcPr>
            <w:tcW w:w="1322" w:type="pct"/>
            <w:vAlign w:val="bottom"/>
          </w:tcPr>
          <w:p w14:paraId="5A2F3452" w14:textId="532AEDD2"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963.5</w:t>
            </w:r>
          </w:p>
        </w:tc>
        <w:tc>
          <w:tcPr>
            <w:tcW w:w="1322" w:type="pct"/>
            <w:vAlign w:val="bottom"/>
          </w:tcPr>
          <w:p w14:paraId="5FF7223A" w14:textId="30F273D2"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670.7</w:t>
            </w:r>
          </w:p>
        </w:tc>
      </w:tr>
      <w:tr w:rsidR="003D1B23" w:rsidRPr="00813F3E" w14:paraId="55BC330F"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512F3E78" w14:textId="77777777" w:rsidR="003D1B23" w:rsidRPr="00813F3E" w:rsidRDefault="003D1B23" w:rsidP="00042BCF">
            <w:pPr>
              <w:pStyle w:val="Tabletextleft"/>
              <w:rPr>
                <w:rFonts w:cs="Arial"/>
                <w:sz w:val="17"/>
                <w:szCs w:val="17"/>
              </w:rPr>
            </w:pPr>
            <w:r w:rsidRPr="00813F3E">
              <w:rPr>
                <w:rFonts w:cs="Arial"/>
                <w:sz w:val="17"/>
                <w:szCs w:val="17"/>
                <w:lang w:eastAsia="en-AU"/>
              </w:rPr>
              <w:t>Murray</w:t>
            </w:r>
          </w:p>
        </w:tc>
        <w:tc>
          <w:tcPr>
            <w:tcW w:w="1322" w:type="pct"/>
            <w:vAlign w:val="bottom"/>
          </w:tcPr>
          <w:p w14:paraId="24CB4851" w14:textId="3439AFB4"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904.5</w:t>
            </w:r>
          </w:p>
        </w:tc>
        <w:tc>
          <w:tcPr>
            <w:tcW w:w="1322" w:type="pct"/>
            <w:vAlign w:val="bottom"/>
          </w:tcPr>
          <w:p w14:paraId="25A212E9" w14:textId="24166063"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856.3</w:t>
            </w:r>
          </w:p>
        </w:tc>
      </w:tr>
      <w:tr w:rsidR="003D1B23" w:rsidRPr="00813F3E" w14:paraId="413DE524"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2FFFAC0E" w14:textId="77777777" w:rsidR="003D1B23" w:rsidRPr="00813F3E" w:rsidRDefault="003D1B23" w:rsidP="00042BCF">
            <w:pPr>
              <w:pStyle w:val="Tabletextleft"/>
              <w:rPr>
                <w:rFonts w:cs="Arial"/>
                <w:sz w:val="17"/>
                <w:szCs w:val="17"/>
              </w:rPr>
            </w:pPr>
            <w:proofErr w:type="gramStart"/>
            <w:r w:rsidRPr="00813F3E">
              <w:rPr>
                <w:rFonts w:cs="Arial"/>
                <w:sz w:val="17"/>
                <w:szCs w:val="17"/>
                <w:lang w:eastAsia="en-AU"/>
              </w:rPr>
              <w:t>North Western</w:t>
            </w:r>
            <w:proofErr w:type="gramEnd"/>
            <w:r w:rsidRPr="00813F3E">
              <w:rPr>
                <w:rFonts w:cs="Arial"/>
                <w:sz w:val="17"/>
                <w:szCs w:val="17"/>
                <w:lang w:eastAsia="en-AU"/>
              </w:rPr>
              <w:t xml:space="preserve"> Melbourne</w:t>
            </w:r>
          </w:p>
        </w:tc>
        <w:tc>
          <w:tcPr>
            <w:tcW w:w="1322" w:type="pct"/>
            <w:vAlign w:val="bottom"/>
          </w:tcPr>
          <w:p w14:paraId="06498D9C" w14:textId="211D8AED"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368.9</w:t>
            </w:r>
          </w:p>
        </w:tc>
        <w:tc>
          <w:tcPr>
            <w:tcW w:w="1322" w:type="pct"/>
            <w:vAlign w:val="bottom"/>
          </w:tcPr>
          <w:p w14:paraId="4ECA4820" w14:textId="0014E5FB"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485</w:t>
            </w:r>
          </w:p>
        </w:tc>
      </w:tr>
      <w:tr w:rsidR="003D1B23" w:rsidRPr="00813F3E" w14:paraId="57C99EF3"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7E8C7708" w14:textId="77777777" w:rsidR="003D1B23" w:rsidRPr="00813F3E" w:rsidRDefault="003D1B23" w:rsidP="00042BCF">
            <w:pPr>
              <w:pStyle w:val="Tabletextleft"/>
              <w:rPr>
                <w:rFonts w:cs="Arial"/>
                <w:sz w:val="17"/>
                <w:szCs w:val="17"/>
              </w:rPr>
            </w:pPr>
            <w:proofErr w:type="gramStart"/>
            <w:r w:rsidRPr="00813F3E">
              <w:rPr>
                <w:rFonts w:cs="Arial"/>
                <w:sz w:val="17"/>
                <w:szCs w:val="17"/>
                <w:lang w:eastAsia="en-AU"/>
              </w:rPr>
              <w:t>South Eastern</w:t>
            </w:r>
            <w:proofErr w:type="gramEnd"/>
            <w:r w:rsidRPr="00813F3E">
              <w:rPr>
                <w:rFonts w:cs="Arial"/>
                <w:sz w:val="17"/>
                <w:szCs w:val="17"/>
                <w:lang w:eastAsia="en-AU"/>
              </w:rPr>
              <w:t xml:space="preserve"> Melbourne</w:t>
            </w:r>
          </w:p>
        </w:tc>
        <w:tc>
          <w:tcPr>
            <w:tcW w:w="1322" w:type="pct"/>
            <w:vAlign w:val="bottom"/>
          </w:tcPr>
          <w:p w14:paraId="33CFB3C6" w14:textId="291C53F6"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220</w:t>
            </w:r>
          </w:p>
        </w:tc>
        <w:tc>
          <w:tcPr>
            <w:tcW w:w="1322" w:type="pct"/>
            <w:vAlign w:val="bottom"/>
          </w:tcPr>
          <w:p w14:paraId="42307371" w14:textId="56EAAB71"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202.1</w:t>
            </w:r>
          </w:p>
        </w:tc>
      </w:tr>
      <w:tr w:rsidR="003D1B23" w:rsidRPr="00813F3E" w14:paraId="0FD86D5D"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6CE3B581" w14:textId="77777777" w:rsidR="003D1B23" w:rsidRPr="00813F3E" w:rsidRDefault="003D1B23" w:rsidP="00042BCF">
            <w:pPr>
              <w:pStyle w:val="Tabletextleft"/>
              <w:rPr>
                <w:rFonts w:cs="Arial"/>
                <w:sz w:val="17"/>
                <w:szCs w:val="17"/>
              </w:rPr>
            </w:pPr>
            <w:r w:rsidRPr="00813F3E">
              <w:rPr>
                <w:rFonts w:cs="Arial"/>
                <w:sz w:val="17"/>
                <w:szCs w:val="17"/>
                <w:lang w:eastAsia="en-AU"/>
              </w:rPr>
              <w:t>Western Victoria</w:t>
            </w:r>
          </w:p>
        </w:tc>
        <w:tc>
          <w:tcPr>
            <w:tcW w:w="1322" w:type="pct"/>
            <w:vAlign w:val="bottom"/>
          </w:tcPr>
          <w:p w14:paraId="0D093EDB" w14:textId="19DC12D6"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660.6</w:t>
            </w:r>
          </w:p>
        </w:tc>
        <w:tc>
          <w:tcPr>
            <w:tcW w:w="1322" w:type="pct"/>
            <w:vAlign w:val="bottom"/>
          </w:tcPr>
          <w:p w14:paraId="36BD1B98" w14:textId="2ACB48C7"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473.2</w:t>
            </w:r>
          </w:p>
        </w:tc>
      </w:tr>
      <w:tr w:rsidR="003D1B23" w:rsidRPr="00813F3E" w14:paraId="26C44991"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shd w:val="clear" w:color="auto" w:fill="E6E6E6" w:themeFill="background2"/>
          </w:tcPr>
          <w:p w14:paraId="3C99F702" w14:textId="71EC4241" w:rsidR="003D1B23" w:rsidRPr="00813F3E" w:rsidRDefault="003D1B23" w:rsidP="00042BCF">
            <w:pPr>
              <w:pStyle w:val="Tabletextleft"/>
              <w:rPr>
                <w:rFonts w:cs="Arial"/>
                <w:sz w:val="17"/>
                <w:szCs w:val="17"/>
                <w:lang w:eastAsia="en-AU"/>
              </w:rPr>
            </w:pPr>
            <w:r w:rsidRPr="00813F3E">
              <w:rPr>
                <w:rFonts w:cs="Arial"/>
                <w:b/>
                <w:bCs/>
                <w:sz w:val="17"/>
                <w:szCs w:val="17"/>
                <w:lang w:eastAsia="en-AU"/>
              </w:rPr>
              <w:t>Queensland</w:t>
            </w:r>
          </w:p>
        </w:tc>
        <w:tc>
          <w:tcPr>
            <w:tcW w:w="1322" w:type="pct"/>
            <w:shd w:val="clear" w:color="auto" w:fill="E6E6E6" w:themeFill="background2"/>
            <w:vAlign w:val="bottom"/>
          </w:tcPr>
          <w:p w14:paraId="016915C7" w14:textId="77777777"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c>
          <w:tcPr>
            <w:tcW w:w="1322" w:type="pct"/>
            <w:shd w:val="clear" w:color="auto" w:fill="E6E6E6" w:themeFill="background2"/>
            <w:vAlign w:val="bottom"/>
          </w:tcPr>
          <w:p w14:paraId="377536CE" w14:textId="77777777"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r>
      <w:tr w:rsidR="003D1B23" w:rsidRPr="00813F3E" w14:paraId="539B66D8"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5694DCAB" w14:textId="77777777" w:rsidR="003D1B23" w:rsidRPr="00813F3E" w:rsidRDefault="003D1B23" w:rsidP="00042BCF">
            <w:pPr>
              <w:pStyle w:val="Tabletextleft"/>
              <w:rPr>
                <w:rFonts w:cs="Arial"/>
                <w:sz w:val="17"/>
                <w:szCs w:val="17"/>
              </w:rPr>
            </w:pPr>
            <w:r w:rsidRPr="00813F3E">
              <w:rPr>
                <w:rFonts w:cs="Arial"/>
                <w:sz w:val="17"/>
                <w:szCs w:val="17"/>
                <w:lang w:eastAsia="en-AU"/>
              </w:rPr>
              <w:t>Brisbane North</w:t>
            </w:r>
          </w:p>
        </w:tc>
        <w:tc>
          <w:tcPr>
            <w:tcW w:w="1322" w:type="pct"/>
            <w:vAlign w:val="bottom"/>
          </w:tcPr>
          <w:p w14:paraId="2BE3AF6A" w14:textId="076BDF53"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284.1</w:t>
            </w:r>
          </w:p>
        </w:tc>
        <w:tc>
          <w:tcPr>
            <w:tcW w:w="1322" w:type="pct"/>
            <w:vAlign w:val="bottom"/>
          </w:tcPr>
          <w:p w14:paraId="58CD35F2" w14:textId="50631608"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262.7</w:t>
            </w:r>
          </w:p>
        </w:tc>
      </w:tr>
      <w:tr w:rsidR="003D1B23" w:rsidRPr="00813F3E" w14:paraId="35709E44"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0BC555D2" w14:textId="77777777" w:rsidR="003D1B23" w:rsidRPr="00813F3E" w:rsidRDefault="003D1B23" w:rsidP="00042BCF">
            <w:pPr>
              <w:pStyle w:val="Tabletextleft"/>
              <w:rPr>
                <w:rFonts w:cs="Arial"/>
                <w:sz w:val="17"/>
                <w:szCs w:val="17"/>
              </w:rPr>
            </w:pPr>
            <w:r w:rsidRPr="00813F3E">
              <w:rPr>
                <w:rFonts w:cs="Arial"/>
                <w:sz w:val="17"/>
                <w:szCs w:val="17"/>
                <w:lang w:eastAsia="en-AU"/>
              </w:rPr>
              <w:t>Brisbane South</w:t>
            </w:r>
          </w:p>
        </w:tc>
        <w:tc>
          <w:tcPr>
            <w:tcW w:w="1322" w:type="pct"/>
            <w:vAlign w:val="bottom"/>
          </w:tcPr>
          <w:p w14:paraId="060229C8" w14:textId="591E3861"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378.1</w:t>
            </w:r>
          </w:p>
        </w:tc>
        <w:tc>
          <w:tcPr>
            <w:tcW w:w="1322" w:type="pct"/>
            <w:vAlign w:val="bottom"/>
          </w:tcPr>
          <w:p w14:paraId="1C098CF0" w14:textId="7765C770"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391.1</w:t>
            </w:r>
          </w:p>
        </w:tc>
      </w:tr>
      <w:tr w:rsidR="003D1B23" w:rsidRPr="00813F3E" w14:paraId="5CD7A7A7"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3C7470B1" w14:textId="77777777" w:rsidR="003D1B23" w:rsidRPr="00813F3E" w:rsidRDefault="003D1B23" w:rsidP="00042BCF">
            <w:pPr>
              <w:pStyle w:val="Tabletextleft"/>
              <w:rPr>
                <w:rFonts w:cs="Arial"/>
                <w:sz w:val="17"/>
                <w:szCs w:val="17"/>
              </w:rPr>
            </w:pPr>
            <w:r w:rsidRPr="00813F3E">
              <w:rPr>
                <w:rFonts w:cs="Arial"/>
                <w:sz w:val="17"/>
                <w:szCs w:val="17"/>
                <w:lang w:eastAsia="en-AU"/>
              </w:rPr>
              <w:t>Central Queensland, Wide Bay, Sunshine Coast</w:t>
            </w:r>
          </w:p>
        </w:tc>
        <w:tc>
          <w:tcPr>
            <w:tcW w:w="1322" w:type="pct"/>
            <w:vAlign w:val="center"/>
          </w:tcPr>
          <w:p w14:paraId="3214BF81" w14:textId="04BA464A"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305.3</w:t>
            </w:r>
          </w:p>
        </w:tc>
        <w:tc>
          <w:tcPr>
            <w:tcW w:w="1322" w:type="pct"/>
            <w:vAlign w:val="center"/>
          </w:tcPr>
          <w:p w14:paraId="61037621" w14:textId="79273E0D"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386.3</w:t>
            </w:r>
          </w:p>
        </w:tc>
      </w:tr>
      <w:tr w:rsidR="003D1B23" w:rsidRPr="00813F3E" w14:paraId="2B6BD482"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58479F70" w14:textId="77777777" w:rsidR="003D1B23" w:rsidRPr="00813F3E" w:rsidRDefault="003D1B23" w:rsidP="00042BCF">
            <w:pPr>
              <w:pStyle w:val="Tabletextleft"/>
              <w:rPr>
                <w:rFonts w:cs="Arial"/>
                <w:sz w:val="17"/>
                <w:szCs w:val="17"/>
              </w:rPr>
            </w:pPr>
            <w:r w:rsidRPr="00813F3E">
              <w:rPr>
                <w:rFonts w:cs="Arial"/>
                <w:sz w:val="17"/>
                <w:szCs w:val="17"/>
                <w:lang w:eastAsia="en-AU"/>
              </w:rPr>
              <w:t>Darling Downs and West Moreton</w:t>
            </w:r>
          </w:p>
        </w:tc>
        <w:tc>
          <w:tcPr>
            <w:tcW w:w="1322" w:type="pct"/>
            <w:vAlign w:val="bottom"/>
          </w:tcPr>
          <w:p w14:paraId="30A9198C" w14:textId="71D4793B"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25.2</w:t>
            </w:r>
          </w:p>
        </w:tc>
        <w:tc>
          <w:tcPr>
            <w:tcW w:w="1322" w:type="pct"/>
            <w:vAlign w:val="bottom"/>
          </w:tcPr>
          <w:p w14:paraId="6245D0E5" w14:textId="7F3BBDF2"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150.8</w:t>
            </w:r>
          </w:p>
        </w:tc>
      </w:tr>
      <w:tr w:rsidR="003D1B23" w:rsidRPr="00813F3E" w14:paraId="7BC637A9"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62C4479B" w14:textId="77777777" w:rsidR="003D1B23" w:rsidRPr="00813F3E" w:rsidRDefault="003D1B23" w:rsidP="00042BCF">
            <w:pPr>
              <w:pStyle w:val="Tabletextleft"/>
              <w:rPr>
                <w:rFonts w:cs="Arial"/>
                <w:sz w:val="17"/>
                <w:szCs w:val="17"/>
              </w:rPr>
            </w:pPr>
            <w:r w:rsidRPr="00813F3E">
              <w:rPr>
                <w:rFonts w:cs="Arial"/>
                <w:sz w:val="17"/>
                <w:szCs w:val="17"/>
                <w:lang w:eastAsia="en-AU"/>
              </w:rPr>
              <w:t>Gold Coast</w:t>
            </w:r>
          </w:p>
        </w:tc>
        <w:tc>
          <w:tcPr>
            <w:tcW w:w="1322" w:type="pct"/>
            <w:vAlign w:val="bottom"/>
          </w:tcPr>
          <w:p w14:paraId="7406008A" w14:textId="276C09D1"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283.6</w:t>
            </w:r>
          </w:p>
        </w:tc>
        <w:tc>
          <w:tcPr>
            <w:tcW w:w="1322" w:type="pct"/>
            <w:vAlign w:val="bottom"/>
          </w:tcPr>
          <w:p w14:paraId="254FA6FE" w14:textId="76C1702A"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227.9</w:t>
            </w:r>
          </w:p>
        </w:tc>
      </w:tr>
      <w:tr w:rsidR="003D1B23" w:rsidRPr="00813F3E" w14:paraId="405A66C8"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7E5242FB" w14:textId="77777777" w:rsidR="003D1B23" w:rsidRPr="00813F3E" w:rsidRDefault="003D1B23" w:rsidP="00042BCF">
            <w:pPr>
              <w:pStyle w:val="Tabletextleft"/>
              <w:rPr>
                <w:rFonts w:cs="Arial"/>
                <w:sz w:val="17"/>
                <w:szCs w:val="17"/>
              </w:rPr>
            </w:pPr>
            <w:r w:rsidRPr="00813F3E">
              <w:rPr>
                <w:rFonts w:cs="Arial"/>
                <w:sz w:val="17"/>
                <w:szCs w:val="17"/>
                <w:lang w:eastAsia="en-AU"/>
              </w:rPr>
              <w:t>Northern Queensland</w:t>
            </w:r>
          </w:p>
        </w:tc>
        <w:tc>
          <w:tcPr>
            <w:tcW w:w="1322" w:type="pct"/>
            <w:vAlign w:val="bottom"/>
          </w:tcPr>
          <w:p w14:paraId="33A6E25B" w14:textId="78263D80"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1183.3</w:t>
            </w:r>
          </w:p>
        </w:tc>
        <w:tc>
          <w:tcPr>
            <w:tcW w:w="1322" w:type="pct"/>
            <w:vAlign w:val="bottom"/>
          </w:tcPr>
          <w:p w14:paraId="2446849E" w14:textId="6E124917"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1313.8</w:t>
            </w:r>
          </w:p>
        </w:tc>
      </w:tr>
      <w:tr w:rsidR="003D1B23" w:rsidRPr="00813F3E" w14:paraId="7F11AEFA"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6725E823" w14:textId="77777777" w:rsidR="003D1B23" w:rsidRPr="00813F3E" w:rsidRDefault="003D1B23" w:rsidP="00042BCF">
            <w:pPr>
              <w:pStyle w:val="Tabletextleft"/>
              <w:rPr>
                <w:rFonts w:cs="Arial"/>
                <w:sz w:val="17"/>
                <w:szCs w:val="17"/>
              </w:rPr>
            </w:pPr>
            <w:r w:rsidRPr="00813F3E">
              <w:rPr>
                <w:rFonts w:cs="Arial"/>
                <w:sz w:val="17"/>
                <w:szCs w:val="17"/>
                <w:lang w:eastAsia="en-AU"/>
              </w:rPr>
              <w:t>Western Queensland</w:t>
            </w:r>
          </w:p>
        </w:tc>
        <w:tc>
          <w:tcPr>
            <w:tcW w:w="1322" w:type="pct"/>
            <w:vAlign w:val="bottom"/>
          </w:tcPr>
          <w:p w14:paraId="5A5AB709" w14:textId="6A7EB017"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1650.7</w:t>
            </w:r>
          </w:p>
        </w:tc>
        <w:tc>
          <w:tcPr>
            <w:tcW w:w="1322" w:type="pct"/>
            <w:vAlign w:val="bottom"/>
          </w:tcPr>
          <w:p w14:paraId="652CB467" w14:textId="19365214"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1582.5</w:t>
            </w:r>
          </w:p>
        </w:tc>
      </w:tr>
      <w:tr w:rsidR="003D1B23" w:rsidRPr="00813F3E" w14:paraId="4A4A4951"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shd w:val="clear" w:color="auto" w:fill="E6E6E6" w:themeFill="background2"/>
          </w:tcPr>
          <w:p w14:paraId="42A981D7" w14:textId="0D7DC4BD" w:rsidR="003D1B23" w:rsidRPr="00813F3E" w:rsidRDefault="003D1B23" w:rsidP="00042BCF">
            <w:pPr>
              <w:pStyle w:val="Tabletextleft"/>
              <w:rPr>
                <w:rFonts w:cs="Arial"/>
                <w:sz w:val="17"/>
                <w:szCs w:val="17"/>
                <w:lang w:eastAsia="en-AU"/>
              </w:rPr>
            </w:pPr>
            <w:r w:rsidRPr="00813F3E">
              <w:rPr>
                <w:rFonts w:cs="Arial"/>
                <w:b/>
                <w:bCs/>
                <w:sz w:val="17"/>
                <w:szCs w:val="17"/>
                <w:lang w:eastAsia="en-AU"/>
              </w:rPr>
              <w:t>South Australia</w:t>
            </w:r>
          </w:p>
        </w:tc>
        <w:tc>
          <w:tcPr>
            <w:tcW w:w="1322" w:type="pct"/>
            <w:shd w:val="clear" w:color="auto" w:fill="E6E6E6" w:themeFill="background2"/>
            <w:vAlign w:val="bottom"/>
          </w:tcPr>
          <w:p w14:paraId="36024F3F" w14:textId="77777777"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c>
          <w:tcPr>
            <w:tcW w:w="1322" w:type="pct"/>
            <w:shd w:val="clear" w:color="auto" w:fill="E6E6E6" w:themeFill="background2"/>
            <w:vAlign w:val="bottom"/>
          </w:tcPr>
          <w:p w14:paraId="11A6E274" w14:textId="77777777"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r>
      <w:tr w:rsidR="003D1B23" w:rsidRPr="00813F3E" w14:paraId="7AC77474"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5225426C" w14:textId="77777777" w:rsidR="003D1B23" w:rsidRPr="00813F3E" w:rsidRDefault="003D1B23" w:rsidP="00042BCF">
            <w:pPr>
              <w:pStyle w:val="Tabletextleft"/>
              <w:rPr>
                <w:rFonts w:cs="Arial"/>
                <w:sz w:val="17"/>
                <w:szCs w:val="17"/>
              </w:rPr>
            </w:pPr>
            <w:r w:rsidRPr="00813F3E">
              <w:rPr>
                <w:rFonts w:cs="Arial"/>
                <w:sz w:val="17"/>
                <w:szCs w:val="17"/>
                <w:lang w:eastAsia="en-AU"/>
              </w:rPr>
              <w:t>Adelaide</w:t>
            </w:r>
          </w:p>
        </w:tc>
        <w:tc>
          <w:tcPr>
            <w:tcW w:w="1322" w:type="pct"/>
            <w:vAlign w:val="bottom"/>
          </w:tcPr>
          <w:p w14:paraId="0444A439" w14:textId="558132DF"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351.9</w:t>
            </w:r>
          </w:p>
        </w:tc>
        <w:tc>
          <w:tcPr>
            <w:tcW w:w="1322" w:type="pct"/>
            <w:vAlign w:val="bottom"/>
          </w:tcPr>
          <w:p w14:paraId="585CCA3D" w14:textId="58896FE6"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278.6</w:t>
            </w:r>
          </w:p>
        </w:tc>
      </w:tr>
      <w:tr w:rsidR="003D1B23" w:rsidRPr="00813F3E" w14:paraId="3496D342"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50CB6E5D" w14:textId="77777777" w:rsidR="003D1B23" w:rsidRPr="00813F3E" w:rsidRDefault="003D1B23" w:rsidP="00042BCF">
            <w:pPr>
              <w:pStyle w:val="Tabletextleft"/>
              <w:rPr>
                <w:rFonts w:cs="Arial"/>
                <w:sz w:val="17"/>
                <w:szCs w:val="17"/>
              </w:rPr>
            </w:pPr>
            <w:r w:rsidRPr="00813F3E">
              <w:rPr>
                <w:rFonts w:cs="Arial"/>
                <w:sz w:val="17"/>
                <w:szCs w:val="17"/>
                <w:lang w:eastAsia="en-AU"/>
              </w:rPr>
              <w:t>Country SA</w:t>
            </w:r>
          </w:p>
        </w:tc>
        <w:tc>
          <w:tcPr>
            <w:tcW w:w="1322" w:type="pct"/>
            <w:vAlign w:val="bottom"/>
          </w:tcPr>
          <w:p w14:paraId="4F0D29C8" w14:textId="69C35583"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859.3</w:t>
            </w:r>
          </w:p>
        </w:tc>
        <w:tc>
          <w:tcPr>
            <w:tcW w:w="1322" w:type="pct"/>
            <w:vAlign w:val="bottom"/>
          </w:tcPr>
          <w:p w14:paraId="4708B865" w14:textId="05B47DB3"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798.5</w:t>
            </w:r>
          </w:p>
        </w:tc>
      </w:tr>
      <w:tr w:rsidR="003D1B23" w:rsidRPr="00813F3E" w14:paraId="693768E8"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shd w:val="clear" w:color="auto" w:fill="E6E6E6" w:themeFill="background2"/>
          </w:tcPr>
          <w:p w14:paraId="1345EB73" w14:textId="6F17E574" w:rsidR="003D1B23" w:rsidRPr="00813F3E" w:rsidRDefault="003D1B23" w:rsidP="00042BCF">
            <w:pPr>
              <w:pStyle w:val="Tabletextleft"/>
              <w:rPr>
                <w:rFonts w:cs="Arial"/>
                <w:sz w:val="17"/>
                <w:szCs w:val="17"/>
                <w:lang w:eastAsia="en-AU"/>
              </w:rPr>
            </w:pPr>
            <w:r w:rsidRPr="00813F3E">
              <w:rPr>
                <w:rFonts w:cs="Arial"/>
                <w:b/>
                <w:bCs/>
                <w:sz w:val="17"/>
                <w:szCs w:val="17"/>
                <w:lang w:eastAsia="en-AU"/>
              </w:rPr>
              <w:t>Western Australia</w:t>
            </w:r>
          </w:p>
        </w:tc>
        <w:tc>
          <w:tcPr>
            <w:tcW w:w="1322" w:type="pct"/>
            <w:shd w:val="clear" w:color="auto" w:fill="E6E6E6" w:themeFill="background2"/>
            <w:vAlign w:val="bottom"/>
          </w:tcPr>
          <w:p w14:paraId="105255CC" w14:textId="77777777"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22" w:type="pct"/>
            <w:shd w:val="clear" w:color="auto" w:fill="E6E6E6" w:themeFill="background2"/>
            <w:vAlign w:val="bottom"/>
          </w:tcPr>
          <w:p w14:paraId="41B21E0B" w14:textId="77777777"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3D1B23" w:rsidRPr="00813F3E" w14:paraId="56DB0F67"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07304ED0" w14:textId="77777777" w:rsidR="003D1B23" w:rsidRPr="00813F3E" w:rsidRDefault="003D1B23" w:rsidP="00042BCF">
            <w:pPr>
              <w:pStyle w:val="Tabletextleft"/>
              <w:rPr>
                <w:rFonts w:cs="Arial"/>
                <w:sz w:val="17"/>
                <w:szCs w:val="17"/>
              </w:rPr>
            </w:pPr>
            <w:r w:rsidRPr="00813F3E">
              <w:rPr>
                <w:rFonts w:cs="Arial"/>
                <w:sz w:val="17"/>
                <w:szCs w:val="17"/>
                <w:lang w:eastAsia="en-AU"/>
              </w:rPr>
              <w:t>Country WA</w:t>
            </w:r>
          </w:p>
        </w:tc>
        <w:tc>
          <w:tcPr>
            <w:tcW w:w="1322" w:type="pct"/>
            <w:vAlign w:val="bottom"/>
          </w:tcPr>
          <w:p w14:paraId="0155EB79" w14:textId="5D7FAEBA"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342.3</w:t>
            </w:r>
          </w:p>
        </w:tc>
        <w:tc>
          <w:tcPr>
            <w:tcW w:w="1322" w:type="pct"/>
            <w:vAlign w:val="bottom"/>
          </w:tcPr>
          <w:p w14:paraId="583726DF" w14:textId="065F0F08"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372.9</w:t>
            </w:r>
          </w:p>
        </w:tc>
      </w:tr>
      <w:tr w:rsidR="003D1B23" w:rsidRPr="00813F3E" w14:paraId="55309E0F"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2CEAD848" w14:textId="77777777" w:rsidR="003D1B23" w:rsidRPr="00813F3E" w:rsidRDefault="003D1B23" w:rsidP="00042BCF">
            <w:pPr>
              <w:pStyle w:val="Tabletextleft"/>
              <w:rPr>
                <w:rFonts w:cs="Arial"/>
                <w:sz w:val="17"/>
                <w:szCs w:val="17"/>
              </w:rPr>
            </w:pPr>
            <w:r w:rsidRPr="00813F3E">
              <w:rPr>
                <w:rFonts w:cs="Arial"/>
                <w:sz w:val="17"/>
                <w:szCs w:val="17"/>
                <w:lang w:eastAsia="en-AU"/>
              </w:rPr>
              <w:lastRenderedPageBreak/>
              <w:t>Perth North</w:t>
            </w:r>
          </w:p>
        </w:tc>
        <w:tc>
          <w:tcPr>
            <w:tcW w:w="1322" w:type="pct"/>
            <w:vAlign w:val="bottom"/>
          </w:tcPr>
          <w:p w14:paraId="512E751D" w14:textId="3600FFBB"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145.3</w:t>
            </w:r>
          </w:p>
        </w:tc>
        <w:tc>
          <w:tcPr>
            <w:tcW w:w="1322" w:type="pct"/>
            <w:vAlign w:val="bottom"/>
          </w:tcPr>
          <w:p w14:paraId="7E4FC474" w14:textId="5F5F7AAE"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231.7</w:t>
            </w:r>
          </w:p>
        </w:tc>
      </w:tr>
      <w:tr w:rsidR="003D1B23" w:rsidRPr="00813F3E" w14:paraId="508B60CA"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452C9278" w14:textId="77777777" w:rsidR="003D1B23" w:rsidRPr="00813F3E" w:rsidRDefault="003D1B23" w:rsidP="00042BCF">
            <w:pPr>
              <w:pStyle w:val="Tabletextleft"/>
              <w:rPr>
                <w:rFonts w:cs="Arial"/>
                <w:sz w:val="17"/>
                <w:szCs w:val="17"/>
              </w:rPr>
            </w:pPr>
            <w:r w:rsidRPr="00813F3E">
              <w:rPr>
                <w:rFonts w:cs="Arial"/>
                <w:sz w:val="17"/>
                <w:szCs w:val="17"/>
                <w:lang w:eastAsia="en-AU"/>
              </w:rPr>
              <w:t>Perth South</w:t>
            </w:r>
          </w:p>
        </w:tc>
        <w:tc>
          <w:tcPr>
            <w:tcW w:w="1322" w:type="pct"/>
            <w:vAlign w:val="bottom"/>
          </w:tcPr>
          <w:p w14:paraId="49970C90" w14:textId="58879E4E"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61.9</w:t>
            </w:r>
          </w:p>
        </w:tc>
        <w:tc>
          <w:tcPr>
            <w:tcW w:w="1322" w:type="pct"/>
            <w:vAlign w:val="bottom"/>
          </w:tcPr>
          <w:p w14:paraId="42C9BE03" w14:textId="65D0ED2D"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169.6</w:t>
            </w:r>
          </w:p>
        </w:tc>
      </w:tr>
      <w:tr w:rsidR="003D1B23" w:rsidRPr="00813F3E" w14:paraId="4A8EB7C3"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shd w:val="clear" w:color="auto" w:fill="E6E6E6" w:themeFill="background2"/>
          </w:tcPr>
          <w:p w14:paraId="10152DB9" w14:textId="591BDE41" w:rsidR="003D1B23" w:rsidRPr="00813F3E" w:rsidRDefault="003D1B23" w:rsidP="00E97DAB">
            <w:pPr>
              <w:pStyle w:val="Tabletextleft"/>
              <w:keepNext/>
              <w:rPr>
                <w:rFonts w:cs="Arial"/>
                <w:sz w:val="17"/>
                <w:szCs w:val="17"/>
                <w:lang w:eastAsia="en-AU"/>
              </w:rPr>
            </w:pPr>
            <w:r w:rsidRPr="00813F3E">
              <w:rPr>
                <w:rFonts w:cs="Arial"/>
                <w:b/>
                <w:bCs/>
                <w:sz w:val="17"/>
                <w:szCs w:val="17"/>
                <w:lang w:eastAsia="en-AU"/>
              </w:rPr>
              <w:t>Tasmania</w:t>
            </w:r>
          </w:p>
        </w:tc>
        <w:tc>
          <w:tcPr>
            <w:tcW w:w="1322" w:type="pct"/>
            <w:shd w:val="clear" w:color="auto" w:fill="E6E6E6" w:themeFill="background2"/>
            <w:vAlign w:val="bottom"/>
          </w:tcPr>
          <w:p w14:paraId="352351A6" w14:textId="77777777"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22" w:type="pct"/>
            <w:shd w:val="clear" w:color="auto" w:fill="E6E6E6" w:themeFill="background2"/>
            <w:vAlign w:val="bottom"/>
          </w:tcPr>
          <w:p w14:paraId="27001E14" w14:textId="77777777"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3D1B23" w:rsidRPr="00813F3E" w14:paraId="4731F47B"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25FFBFC3" w14:textId="77777777" w:rsidR="003D1B23" w:rsidRPr="00813F3E" w:rsidRDefault="003D1B23" w:rsidP="00042BCF">
            <w:pPr>
              <w:pStyle w:val="Tabletextleft"/>
              <w:rPr>
                <w:rFonts w:cs="Arial"/>
                <w:sz w:val="17"/>
                <w:szCs w:val="17"/>
              </w:rPr>
            </w:pPr>
            <w:r w:rsidRPr="00813F3E">
              <w:rPr>
                <w:rFonts w:cs="Arial"/>
                <w:sz w:val="17"/>
                <w:szCs w:val="17"/>
                <w:lang w:eastAsia="en-AU"/>
              </w:rPr>
              <w:t>Tasmania</w:t>
            </w:r>
          </w:p>
        </w:tc>
        <w:tc>
          <w:tcPr>
            <w:tcW w:w="1322" w:type="pct"/>
            <w:vAlign w:val="bottom"/>
          </w:tcPr>
          <w:p w14:paraId="6582CCC6" w14:textId="7D06444E"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385.2</w:t>
            </w:r>
          </w:p>
        </w:tc>
        <w:tc>
          <w:tcPr>
            <w:tcW w:w="1322" w:type="pct"/>
            <w:vAlign w:val="bottom"/>
          </w:tcPr>
          <w:p w14:paraId="65F6C6B5" w14:textId="7477510E"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442.3</w:t>
            </w:r>
          </w:p>
        </w:tc>
      </w:tr>
      <w:tr w:rsidR="003D1B23" w:rsidRPr="00813F3E" w14:paraId="650A0646"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shd w:val="clear" w:color="auto" w:fill="E6E6E6" w:themeFill="background2"/>
          </w:tcPr>
          <w:p w14:paraId="24E2C438" w14:textId="2695CE5F" w:rsidR="003D1B23" w:rsidRPr="00813F3E" w:rsidRDefault="003D1B23" w:rsidP="00042BCF">
            <w:pPr>
              <w:pStyle w:val="Tabletextleft"/>
              <w:rPr>
                <w:rFonts w:cs="Arial"/>
                <w:sz w:val="17"/>
                <w:szCs w:val="17"/>
                <w:lang w:eastAsia="en-AU"/>
              </w:rPr>
            </w:pPr>
            <w:r w:rsidRPr="00813F3E">
              <w:rPr>
                <w:rFonts w:cs="Arial"/>
                <w:b/>
                <w:bCs/>
                <w:sz w:val="17"/>
                <w:szCs w:val="17"/>
                <w:lang w:eastAsia="en-AU"/>
              </w:rPr>
              <w:t>Northern Territory</w:t>
            </w:r>
          </w:p>
        </w:tc>
        <w:tc>
          <w:tcPr>
            <w:tcW w:w="1322" w:type="pct"/>
            <w:shd w:val="clear" w:color="auto" w:fill="E6E6E6" w:themeFill="background2"/>
            <w:vAlign w:val="bottom"/>
          </w:tcPr>
          <w:p w14:paraId="560AAC66" w14:textId="77777777"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22" w:type="pct"/>
            <w:shd w:val="clear" w:color="auto" w:fill="E6E6E6" w:themeFill="background2"/>
            <w:vAlign w:val="bottom"/>
          </w:tcPr>
          <w:p w14:paraId="7284A064" w14:textId="77777777"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3D1B23" w:rsidRPr="00813F3E" w14:paraId="3816A025"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70A36471" w14:textId="77777777" w:rsidR="003D1B23" w:rsidRPr="00813F3E" w:rsidRDefault="003D1B23" w:rsidP="00042BCF">
            <w:pPr>
              <w:pStyle w:val="Tabletextleft"/>
              <w:rPr>
                <w:rFonts w:cs="Arial"/>
                <w:sz w:val="17"/>
                <w:szCs w:val="17"/>
              </w:rPr>
            </w:pPr>
            <w:r w:rsidRPr="00813F3E">
              <w:rPr>
                <w:rFonts w:cs="Arial"/>
                <w:sz w:val="17"/>
                <w:szCs w:val="17"/>
                <w:lang w:eastAsia="en-AU"/>
              </w:rPr>
              <w:t>Northern Territory</w:t>
            </w:r>
          </w:p>
        </w:tc>
        <w:tc>
          <w:tcPr>
            <w:tcW w:w="1322" w:type="pct"/>
            <w:vAlign w:val="bottom"/>
          </w:tcPr>
          <w:p w14:paraId="1D646073" w14:textId="3A48F54C"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701.4</w:t>
            </w:r>
          </w:p>
        </w:tc>
        <w:tc>
          <w:tcPr>
            <w:tcW w:w="1322" w:type="pct"/>
            <w:vAlign w:val="bottom"/>
          </w:tcPr>
          <w:p w14:paraId="2ED4E309" w14:textId="1BF74978"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935.7</w:t>
            </w:r>
          </w:p>
        </w:tc>
      </w:tr>
      <w:tr w:rsidR="003D1B23" w:rsidRPr="00813F3E" w14:paraId="28044B0A"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shd w:val="clear" w:color="auto" w:fill="E6E6E6" w:themeFill="background2"/>
          </w:tcPr>
          <w:p w14:paraId="371A35D9" w14:textId="331E3702" w:rsidR="003D1B23" w:rsidRPr="00813F3E" w:rsidRDefault="003D1B23" w:rsidP="00042BCF">
            <w:pPr>
              <w:pStyle w:val="Tabletextleft"/>
              <w:rPr>
                <w:rFonts w:cs="Arial"/>
                <w:sz w:val="17"/>
                <w:szCs w:val="17"/>
                <w:lang w:eastAsia="en-AU"/>
              </w:rPr>
            </w:pPr>
            <w:r w:rsidRPr="00813F3E">
              <w:rPr>
                <w:rFonts w:cs="Arial"/>
                <w:b/>
                <w:bCs/>
                <w:sz w:val="17"/>
                <w:szCs w:val="17"/>
                <w:lang w:eastAsia="en-AU"/>
              </w:rPr>
              <w:t>Australian Capital Territory</w:t>
            </w:r>
          </w:p>
        </w:tc>
        <w:tc>
          <w:tcPr>
            <w:tcW w:w="1322" w:type="pct"/>
            <w:shd w:val="clear" w:color="auto" w:fill="E6E6E6" w:themeFill="background2"/>
            <w:vAlign w:val="bottom"/>
          </w:tcPr>
          <w:p w14:paraId="1FB273F0" w14:textId="77777777"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22" w:type="pct"/>
            <w:shd w:val="clear" w:color="auto" w:fill="E6E6E6" w:themeFill="background2"/>
            <w:vAlign w:val="bottom"/>
          </w:tcPr>
          <w:p w14:paraId="1C168BF7" w14:textId="77777777" w:rsidR="003D1B23" w:rsidRPr="00813F3E" w:rsidRDefault="003D1B23" w:rsidP="00042BCF">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3D1B23" w:rsidRPr="00813F3E" w14:paraId="1926EC52"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57" w:type="pct"/>
          </w:tcPr>
          <w:p w14:paraId="71F2C32D" w14:textId="77777777" w:rsidR="003D1B23" w:rsidRPr="00813F3E" w:rsidRDefault="003D1B23" w:rsidP="00042BCF">
            <w:pPr>
              <w:pStyle w:val="Tabletextleft"/>
              <w:rPr>
                <w:rFonts w:cs="Arial"/>
                <w:sz w:val="17"/>
                <w:szCs w:val="17"/>
              </w:rPr>
            </w:pPr>
            <w:r w:rsidRPr="00813F3E">
              <w:rPr>
                <w:rFonts w:cs="Arial"/>
                <w:sz w:val="17"/>
                <w:szCs w:val="17"/>
                <w:lang w:eastAsia="en-AU"/>
              </w:rPr>
              <w:t>Australian Capital Territory</w:t>
            </w:r>
          </w:p>
        </w:tc>
        <w:tc>
          <w:tcPr>
            <w:tcW w:w="1322" w:type="pct"/>
            <w:vAlign w:val="bottom"/>
          </w:tcPr>
          <w:p w14:paraId="39E49D54" w14:textId="49D98844"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134.9</w:t>
            </w:r>
          </w:p>
        </w:tc>
        <w:tc>
          <w:tcPr>
            <w:tcW w:w="1322" w:type="pct"/>
            <w:vAlign w:val="bottom"/>
          </w:tcPr>
          <w:p w14:paraId="127477DC" w14:textId="394D68E1" w:rsidR="003D1B23" w:rsidRPr="00813F3E" w:rsidRDefault="003D1B23" w:rsidP="00042BCF">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135.4</w:t>
            </w:r>
          </w:p>
        </w:tc>
      </w:tr>
    </w:tbl>
    <w:p w14:paraId="184424FB" w14:textId="77777777" w:rsidR="00F24A99" w:rsidRDefault="00F24A99" w:rsidP="00B76981">
      <w:pPr>
        <w:pStyle w:val="Paragraphtext"/>
        <w:rPr>
          <w:lang w:val="en-GB" w:eastAsia="en-US"/>
        </w:rPr>
      </w:pPr>
    </w:p>
    <w:p w14:paraId="72362BCA" w14:textId="7F5DB97A" w:rsidR="004676CC" w:rsidRDefault="004676CC" w:rsidP="004676CC">
      <w:pPr>
        <w:pStyle w:val="Heading3"/>
      </w:pPr>
      <w:r>
        <w:rPr>
          <w:lang w:val="en-GB"/>
        </w:rPr>
        <w:t>FN8 –</w:t>
      </w:r>
      <w:r w:rsidR="00320208">
        <w:rPr>
          <w:lang w:val="en-GB"/>
        </w:rPr>
        <w:t xml:space="preserve"> </w:t>
      </w:r>
      <w:r w:rsidR="000E3903">
        <w:t>Aboriginal and Torres Strait Islander</w:t>
      </w:r>
      <w:r w:rsidR="00320208">
        <w:t xml:space="preserve"> –</w:t>
      </w:r>
      <w:r w:rsidR="00320208" w:rsidRPr="00320208">
        <w:rPr>
          <w:lang w:val="en-GB"/>
        </w:rPr>
        <w:t xml:space="preserve"> </w:t>
      </w:r>
      <w:r w:rsidR="00320208">
        <w:rPr>
          <w:lang w:val="en-GB"/>
        </w:rPr>
        <w:t>Health Assessments</w:t>
      </w:r>
    </w:p>
    <w:p w14:paraId="45955530" w14:textId="1FA666D4" w:rsidR="002338F4" w:rsidRDefault="007572B6" w:rsidP="00BB6EAA">
      <w:r w:rsidRPr="002918E4">
        <w:t xml:space="preserve">As </w:t>
      </w:r>
      <w:r w:rsidR="002918E4" w:rsidRPr="002918E4">
        <w:t>a</w:t>
      </w:r>
      <w:r w:rsidRPr="002918E4">
        <w:t xml:space="preserve"> priority area set by the Australian Government, </w:t>
      </w:r>
      <w:r w:rsidR="002918E4">
        <w:t xml:space="preserve">PHNs support </w:t>
      </w:r>
      <w:r w:rsidRPr="002918E4">
        <w:t xml:space="preserve">Aboriginal and Torres Strait Islander </w:t>
      </w:r>
      <w:r w:rsidR="00254CF4">
        <w:t xml:space="preserve">people </w:t>
      </w:r>
      <w:r w:rsidR="00B878B0">
        <w:t xml:space="preserve">to </w:t>
      </w:r>
      <w:r w:rsidRPr="002918E4">
        <w:t>access appropriate primary health care, including through health assessments and regular health checks.</w:t>
      </w:r>
      <w:r>
        <w:t xml:space="preserve"> </w:t>
      </w:r>
      <w:r w:rsidR="002918E4">
        <w:t xml:space="preserve">The degree to which </w:t>
      </w:r>
      <w:r w:rsidR="002D1DA2">
        <w:t xml:space="preserve">Aboriginal and Torres Strait Islander people </w:t>
      </w:r>
      <w:r w:rsidR="002918E4">
        <w:t>are accessing a selection of primary health care services aimed at identifying and preventing poor health</w:t>
      </w:r>
      <w:r w:rsidR="002338F4">
        <w:t xml:space="preserve">, as well as provision of multidisciplinary care, is measured as a proportion of </w:t>
      </w:r>
      <w:r w:rsidR="002D1DA2">
        <w:t xml:space="preserve">Aboriginal and Torres Strait Islander people </w:t>
      </w:r>
      <w:r w:rsidR="002338F4">
        <w:t>who have received a health assessment.</w:t>
      </w:r>
      <w:r w:rsidR="00BB115E">
        <w:t xml:space="preserve"> This indicator does not have a criteria or target</w:t>
      </w:r>
      <w:r w:rsidR="0040463C">
        <w:t xml:space="preserve"> – i</w:t>
      </w:r>
      <w:r w:rsidR="00BB115E">
        <w:t>t is used to understand the broader healthcare landscape and provide context for other performance indicators.</w:t>
      </w:r>
    </w:p>
    <w:p w14:paraId="355BCFFD" w14:textId="782B9F4D" w:rsidR="002338F4" w:rsidRDefault="003E06A5" w:rsidP="00BB6EAA">
      <w:r>
        <w:t>Over the two reporting periods the proportion of health assessments for Aboriginal and Torres Strait Islander people has increased following a decrease over the previous three reporting periods</w:t>
      </w:r>
      <w:r w:rsidR="00254CF4">
        <w:t>,</w:t>
      </w:r>
      <w:r>
        <w:t xml:space="preserve"> to return to </w:t>
      </w:r>
      <w:r w:rsidR="00AC4C48">
        <w:t xml:space="preserve">around </w:t>
      </w:r>
      <w:r>
        <w:t>the same rate as 2018–19 (24.2 per cent), increasing to 23.1</w:t>
      </w:r>
      <w:r w:rsidR="00E67BDE">
        <w:t> </w:t>
      </w:r>
      <w:r>
        <w:t>per cent in 2022–23 and 24.3 per cent in 2023–24. Rates continue to be higher in regional areas compared to metropolitan PHN regions</w:t>
      </w:r>
      <w:r w:rsidR="000B4E69">
        <w:t>. Populations of higher disadvantage continue to have a greater rate for health assessments, increasing more over the 2023–24 reporting peri</w:t>
      </w:r>
      <w:r w:rsidR="006707C6">
        <w:t>o</w:t>
      </w:r>
      <w:r w:rsidR="000B4E69">
        <w:t xml:space="preserve">d than lower disadvantage rates. </w:t>
      </w:r>
    </w:p>
    <w:p w14:paraId="67B19C22" w14:textId="77777777" w:rsidR="006707C6" w:rsidRDefault="006707C6" w:rsidP="004676CC">
      <w:pPr>
        <w:rPr>
          <w:rFonts w:ascii="Helvetica" w:hAnsi="Helvetica" w:cs="Helvetica"/>
        </w:rPr>
      </w:pPr>
    </w:p>
    <w:p w14:paraId="009AB956" w14:textId="7252A64F" w:rsidR="00AF3A1B" w:rsidRDefault="00AF3A1B" w:rsidP="004C3A4B">
      <w:pPr>
        <w:pStyle w:val="FigureTitle"/>
        <w:keepNext/>
      </w:pPr>
      <w:r>
        <w:lastRenderedPageBreak/>
        <w:t>Figure 1</w:t>
      </w:r>
      <w:r w:rsidR="00743B06">
        <w:t>7</w:t>
      </w:r>
      <w:r>
        <w:t>:</w:t>
      </w:r>
      <w:r w:rsidR="002D375C">
        <w:t xml:space="preserve"> </w:t>
      </w:r>
      <w:r w:rsidR="00F90F64">
        <w:t>Proportion</w:t>
      </w:r>
      <w:r w:rsidR="002D375C">
        <w:t xml:space="preserve"> of </w:t>
      </w:r>
      <w:r w:rsidR="00313BD4">
        <w:t>Aboriginal and Torres Strait Islander</w:t>
      </w:r>
      <w:r w:rsidR="002D375C">
        <w:t xml:space="preserve"> people receiving health assessments, all age groups, by PHN remoteness</w:t>
      </w:r>
      <w:r w:rsidR="00DF3875">
        <w:t>, 2018–19 to 2023–24</w:t>
      </w:r>
    </w:p>
    <w:p w14:paraId="26A0CCAF" w14:textId="4435EBD4" w:rsidR="00031281" w:rsidRPr="00031281" w:rsidRDefault="00031281" w:rsidP="00031281">
      <w:r w:rsidRPr="00031281">
        <w:rPr>
          <w:noProof/>
        </w:rPr>
        <w:drawing>
          <wp:inline distT="0" distB="0" distL="0" distR="0" wp14:anchorId="63A4EE6B" wp14:editId="27470C7B">
            <wp:extent cx="5200650" cy="2971800"/>
            <wp:effectExtent l="0" t="0" r="0" b="0"/>
            <wp:docPr id="307535986" name="Picture 1" descr="Figure 17: A bar graph showing the proportion of Aboriginal and Torres Strait Islander people receiving health assessments, all age groups, by PHN remoteness, 2018–1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35986" name="Picture 1" descr="Figure 17: A bar graph showing the proportion of Aboriginal and Torres Strait Islander people receiving health assessments, all age groups, by PHN remoteness, 2018–19 to 2023–24"/>
                    <pic:cNvPicPr/>
                  </pic:nvPicPr>
                  <pic:blipFill>
                    <a:blip r:embed="rId41"/>
                    <a:stretch>
                      <a:fillRect/>
                    </a:stretch>
                  </pic:blipFill>
                  <pic:spPr>
                    <a:xfrm>
                      <a:off x="0" y="0"/>
                      <a:ext cx="5200650" cy="2971800"/>
                    </a:xfrm>
                    <a:prstGeom prst="rect">
                      <a:avLst/>
                    </a:prstGeom>
                  </pic:spPr>
                </pic:pic>
              </a:graphicData>
            </a:graphic>
          </wp:inline>
        </w:drawing>
      </w:r>
    </w:p>
    <w:p w14:paraId="6D286826" w14:textId="77777777" w:rsidR="00AF3A1B" w:rsidRDefault="00AF3A1B" w:rsidP="00AF3A1B"/>
    <w:p w14:paraId="0E7FB1CA" w14:textId="30790CB1" w:rsidR="006707C6" w:rsidRDefault="00AF3A1B" w:rsidP="00AF395B">
      <w:pPr>
        <w:pStyle w:val="FigureTitle"/>
        <w:keepNext/>
      </w:pPr>
      <w:r>
        <w:t>Figure 1</w:t>
      </w:r>
      <w:r w:rsidR="00743B06">
        <w:t>8</w:t>
      </w:r>
      <w:r>
        <w:t>:</w:t>
      </w:r>
      <w:r w:rsidR="002D375C">
        <w:t xml:space="preserve"> </w:t>
      </w:r>
      <w:r w:rsidR="00F90F64">
        <w:t>Proportion</w:t>
      </w:r>
      <w:r w:rsidR="002D375C">
        <w:t xml:space="preserve"> of </w:t>
      </w:r>
      <w:r w:rsidR="00313BD4">
        <w:t xml:space="preserve">Aboriginal and Torres Strait Islander </w:t>
      </w:r>
      <w:r w:rsidR="002D375C">
        <w:t>people receiving health assessments, all age groups, by PHN disadvantage</w:t>
      </w:r>
      <w:r w:rsidR="00DF3875">
        <w:t>, 2018–19 to 2023–24</w:t>
      </w:r>
    </w:p>
    <w:p w14:paraId="2B17F607" w14:textId="6DD91C1E" w:rsidR="00031281" w:rsidRPr="00031281" w:rsidRDefault="00031281" w:rsidP="00031281">
      <w:r w:rsidRPr="00031281">
        <w:rPr>
          <w:noProof/>
        </w:rPr>
        <w:drawing>
          <wp:inline distT="0" distB="0" distL="0" distR="0" wp14:anchorId="3D18A615" wp14:editId="56077C82">
            <wp:extent cx="5200650" cy="2971800"/>
            <wp:effectExtent l="0" t="0" r="0" b="0"/>
            <wp:docPr id="851821383" name="Picture 1" descr="Figure 18: A bar graph showing the proportion of Aboriginal and Torres Strait Islander people receiving health assessments, all age groups, by PHN disadvantage, 2018–1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21383" name="Picture 1" descr="Figure 18: A bar graph showing the proportion of Aboriginal and Torres Strait Islander people receiving health assessments, all age groups, by PHN disadvantage, 2018–19 to 2023–24"/>
                    <pic:cNvPicPr/>
                  </pic:nvPicPr>
                  <pic:blipFill>
                    <a:blip r:embed="rId42"/>
                    <a:stretch>
                      <a:fillRect/>
                    </a:stretch>
                  </pic:blipFill>
                  <pic:spPr>
                    <a:xfrm>
                      <a:off x="0" y="0"/>
                      <a:ext cx="5200650" cy="2971800"/>
                    </a:xfrm>
                    <a:prstGeom prst="rect">
                      <a:avLst/>
                    </a:prstGeom>
                  </pic:spPr>
                </pic:pic>
              </a:graphicData>
            </a:graphic>
          </wp:inline>
        </w:drawing>
      </w:r>
    </w:p>
    <w:p w14:paraId="1FA96123" w14:textId="77777777" w:rsidR="002338F4" w:rsidRDefault="002338F4" w:rsidP="004676CC">
      <w:pPr>
        <w:rPr>
          <w:rFonts w:ascii="Helvetica" w:hAnsi="Helvetica" w:cs="Helvetica"/>
        </w:rPr>
      </w:pPr>
    </w:p>
    <w:p w14:paraId="31660B40" w14:textId="77777777" w:rsidR="00735F3B" w:rsidRDefault="00735F3B">
      <w:pPr>
        <w:spacing w:before="0" w:after="0" w:line="240" w:lineRule="auto"/>
      </w:pPr>
      <w:r>
        <w:br w:type="page"/>
      </w:r>
    </w:p>
    <w:p w14:paraId="02924132" w14:textId="2FBAEEC0" w:rsidR="00341948" w:rsidRDefault="00341948" w:rsidP="00BB6EAA">
      <w:r>
        <w:lastRenderedPageBreak/>
        <w:t xml:space="preserve">Health assessments by age group continue to be highest for Aboriginal and Torres Strait Islander people 50 years and over (32.6 per cent in 2022–23 and 34 per cent in 2023–24) and has increased overall since 2018–19 (31.7 per cent). </w:t>
      </w:r>
    </w:p>
    <w:p w14:paraId="583896E2" w14:textId="77777777" w:rsidR="00AF3A1B" w:rsidRDefault="00AF3A1B" w:rsidP="004676CC">
      <w:pPr>
        <w:rPr>
          <w:rFonts w:ascii="Helvetica" w:hAnsi="Helvetica" w:cs="Helvetica"/>
        </w:rPr>
      </w:pPr>
    </w:p>
    <w:p w14:paraId="5E0E1FA7" w14:textId="5D6D0C53" w:rsidR="00AF3A1B" w:rsidRDefault="00AF3A1B" w:rsidP="00F90F64">
      <w:pPr>
        <w:pStyle w:val="FigureTitle"/>
        <w:keepNext/>
      </w:pPr>
      <w:r>
        <w:t>Figure 1</w:t>
      </w:r>
      <w:r w:rsidR="00743B06">
        <w:t>9</w:t>
      </w:r>
      <w:r>
        <w:t>:</w:t>
      </w:r>
      <w:r w:rsidR="002D375C">
        <w:t xml:space="preserve"> </w:t>
      </w:r>
      <w:r w:rsidR="00F90F64">
        <w:t xml:space="preserve">Proportion </w:t>
      </w:r>
      <w:r w:rsidR="002D375C">
        <w:t xml:space="preserve">of </w:t>
      </w:r>
      <w:r w:rsidR="00313BD4">
        <w:t>Aboriginal and Torres Strait Islander</w:t>
      </w:r>
      <w:r w:rsidR="002D375C">
        <w:t xml:space="preserve"> people receiving health assessments, by age group</w:t>
      </w:r>
      <w:r w:rsidR="00DF3875">
        <w:t>, 2018–19 to 2023–24</w:t>
      </w:r>
    </w:p>
    <w:p w14:paraId="140C6DC8" w14:textId="60816A5E" w:rsidR="00883CD8" w:rsidRPr="00883CD8" w:rsidRDefault="00883CD8" w:rsidP="00883CD8">
      <w:r w:rsidRPr="00883CD8">
        <w:rPr>
          <w:noProof/>
        </w:rPr>
        <w:drawing>
          <wp:inline distT="0" distB="0" distL="0" distR="0" wp14:anchorId="5FDA75A8" wp14:editId="63B72836">
            <wp:extent cx="5210175" cy="2971800"/>
            <wp:effectExtent l="0" t="0" r="9525" b="0"/>
            <wp:docPr id="1740433786" name="Picture 1" descr="Figure 19: A line chart showing the proportion of Aboriginal and Torres Strait Islander people receiving health assessments, by age group, 2018–1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33786" name="Picture 1" descr="Figure 19: A line chart showing the proportion of Aboriginal and Torres Strait Islander people receiving health assessments, by age group, 2018–19 to 2023–24"/>
                    <pic:cNvPicPr/>
                  </pic:nvPicPr>
                  <pic:blipFill>
                    <a:blip r:embed="rId43"/>
                    <a:stretch>
                      <a:fillRect/>
                    </a:stretch>
                  </pic:blipFill>
                  <pic:spPr>
                    <a:xfrm>
                      <a:off x="0" y="0"/>
                      <a:ext cx="5210175" cy="2971800"/>
                    </a:xfrm>
                    <a:prstGeom prst="rect">
                      <a:avLst/>
                    </a:prstGeom>
                  </pic:spPr>
                </pic:pic>
              </a:graphicData>
            </a:graphic>
          </wp:inline>
        </w:drawing>
      </w:r>
    </w:p>
    <w:p w14:paraId="49FE789B" w14:textId="1F843A38" w:rsidR="00465B73" w:rsidRDefault="00465B73" w:rsidP="004676CC">
      <w:pPr>
        <w:rPr>
          <w:rFonts w:ascii="Helvetica" w:hAnsi="Helvetica" w:cs="Helvetica"/>
        </w:rPr>
      </w:pPr>
    </w:p>
    <w:p w14:paraId="4704C3C0" w14:textId="0B0CFBF7" w:rsidR="004676CC" w:rsidRPr="004676CC" w:rsidRDefault="002338F4" w:rsidP="002338F4">
      <w:pPr>
        <w:pStyle w:val="Heading3"/>
      </w:pPr>
      <w:r>
        <w:t>AC1 –</w:t>
      </w:r>
      <w:r w:rsidR="005A7DFE">
        <w:t xml:space="preserve"> </w:t>
      </w:r>
      <w:r w:rsidR="000E3903">
        <w:t>R</w:t>
      </w:r>
      <w:r w:rsidRPr="00427467">
        <w:t xml:space="preserve">esidential </w:t>
      </w:r>
      <w:r w:rsidR="00BE494A">
        <w:t>A</w:t>
      </w:r>
      <w:r w:rsidRPr="00427467">
        <w:t xml:space="preserve">ged </w:t>
      </w:r>
      <w:r w:rsidR="00BE494A">
        <w:t>C</w:t>
      </w:r>
      <w:r w:rsidRPr="00427467">
        <w:t xml:space="preserve">are </w:t>
      </w:r>
      <w:r w:rsidR="00BE494A">
        <w:t>H</w:t>
      </w:r>
      <w:r w:rsidR="000E3903">
        <w:t xml:space="preserve">ome </w:t>
      </w:r>
      <w:r w:rsidR="00BE494A">
        <w:t>S</w:t>
      </w:r>
      <w:r w:rsidR="000E3903">
        <w:t>ervices</w:t>
      </w:r>
    </w:p>
    <w:p w14:paraId="21948BF4" w14:textId="103A8A93" w:rsidR="004676CC" w:rsidRDefault="001055E1" w:rsidP="00745D61">
      <w:pPr>
        <w:rPr>
          <w:lang w:val="en-GB"/>
        </w:rPr>
      </w:pPr>
      <w:r>
        <w:rPr>
          <w:lang w:val="en-GB"/>
        </w:rPr>
        <w:t xml:space="preserve">Primary health care services can be challenging for residents of residential aged care homes to access, sometimes leading to reliance on the hospital system to obtain required care. Through analysis of </w:t>
      </w:r>
      <w:r w:rsidR="00FC787E">
        <w:t>Medicare Benefits Schedule</w:t>
      </w:r>
      <w:r>
        <w:rPr>
          <w:lang w:val="en-GB"/>
        </w:rPr>
        <w:t xml:space="preserve"> items</w:t>
      </w:r>
      <w:r w:rsidR="00FA532B">
        <w:rPr>
          <w:rStyle w:val="FootnoteReference"/>
          <w:lang w:val="en-GB"/>
        </w:rPr>
        <w:footnoteReference w:id="37"/>
      </w:r>
      <w:r>
        <w:rPr>
          <w:lang w:val="en-GB"/>
        </w:rPr>
        <w:t xml:space="preserve"> as an indicator of access to general practice services PHNs </w:t>
      </w:r>
      <w:r w:rsidR="004959EB">
        <w:rPr>
          <w:lang w:val="en-GB"/>
        </w:rPr>
        <w:t>can</w:t>
      </w:r>
      <w:r>
        <w:rPr>
          <w:lang w:val="en-GB"/>
        </w:rPr>
        <w:t xml:space="preserve"> work with </w:t>
      </w:r>
      <w:r w:rsidR="00087FBE">
        <w:rPr>
          <w:lang w:val="en-GB"/>
        </w:rPr>
        <w:t>residential aged care home</w:t>
      </w:r>
      <w:r>
        <w:rPr>
          <w:lang w:val="en-GB"/>
        </w:rPr>
        <w:t>s</w:t>
      </w:r>
      <w:r w:rsidR="00E67BDE">
        <w:rPr>
          <w:lang w:val="en-GB"/>
        </w:rPr>
        <w:t xml:space="preserve"> to improve capability to care for residents in place rather than transferring to hospital</w:t>
      </w:r>
      <w:r>
        <w:rPr>
          <w:lang w:val="en-GB"/>
        </w:rPr>
        <w:t>. PHNs performance is not assessed against this measure, with data providing an understanding of the broader healthcare needs of their communities.</w:t>
      </w:r>
    </w:p>
    <w:p w14:paraId="1285ED0C" w14:textId="05F30ED7" w:rsidR="00803175" w:rsidRDefault="00F75040" w:rsidP="00803175">
      <w:pPr>
        <w:rPr>
          <w:lang w:val="en-GB"/>
        </w:rPr>
      </w:pPr>
      <w:r>
        <w:rPr>
          <w:lang w:val="en-GB"/>
        </w:rPr>
        <w:t>The a</w:t>
      </w:r>
      <w:r w:rsidR="00DF7FAC">
        <w:rPr>
          <w:lang w:val="en-GB"/>
        </w:rPr>
        <w:t xml:space="preserve">verage </w:t>
      </w:r>
      <w:r>
        <w:rPr>
          <w:lang w:val="en-GB"/>
        </w:rPr>
        <w:t xml:space="preserve">number </w:t>
      </w:r>
      <w:r w:rsidR="00DF7FAC">
        <w:rPr>
          <w:lang w:val="en-GB"/>
        </w:rPr>
        <w:t>of attendance</w:t>
      </w:r>
      <w:r>
        <w:rPr>
          <w:lang w:val="en-GB"/>
        </w:rPr>
        <w:t>s</w:t>
      </w:r>
      <w:r w:rsidR="00DF7FAC">
        <w:rPr>
          <w:lang w:val="en-GB"/>
        </w:rPr>
        <w:t xml:space="preserve"> of general practitioners per residential aged care patient has increased over the two reporting periods following a decline in 2021–22. The average number of visits per resident in 2023–24 was 17.5, an increase of 5.</w:t>
      </w:r>
      <w:r w:rsidR="00EB4D18">
        <w:rPr>
          <w:lang w:val="en-GB"/>
        </w:rPr>
        <w:t>4</w:t>
      </w:r>
      <w:r w:rsidR="00DF7FAC">
        <w:rPr>
          <w:lang w:val="en-GB"/>
        </w:rPr>
        <w:t xml:space="preserve"> per cent from 2022–23 (16.6 attendances). </w:t>
      </w:r>
    </w:p>
    <w:p w14:paraId="0A828D71" w14:textId="77777777" w:rsidR="00AF3A1B" w:rsidRDefault="00AF3A1B" w:rsidP="00803175">
      <w:pPr>
        <w:rPr>
          <w:lang w:val="en-GB"/>
        </w:rPr>
      </w:pPr>
    </w:p>
    <w:p w14:paraId="2FDB439B" w14:textId="7220140D" w:rsidR="00AF3A1B" w:rsidRDefault="00AF3A1B" w:rsidP="005305DC">
      <w:pPr>
        <w:pStyle w:val="FigureTitle"/>
        <w:keepNext/>
      </w:pPr>
      <w:r>
        <w:lastRenderedPageBreak/>
        <w:t xml:space="preserve">Figure </w:t>
      </w:r>
      <w:r w:rsidR="00743B06">
        <w:t>20</w:t>
      </w:r>
      <w:r>
        <w:t>:</w:t>
      </w:r>
      <w:r w:rsidR="002D375C">
        <w:t xml:space="preserve"> </w:t>
      </w:r>
      <w:r w:rsidR="00917D1F">
        <w:t xml:space="preserve">Average </w:t>
      </w:r>
      <w:r w:rsidR="00EA6A65">
        <w:t xml:space="preserve">number </w:t>
      </w:r>
      <w:r w:rsidR="00917D1F">
        <w:t xml:space="preserve">of GP attendances in residential aged care homes, per </w:t>
      </w:r>
      <w:r w:rsidR="00917D1F" w:rsidRPr="00E7560A">
        <w:t>patient</w:t>
      </w:r>
      <w:r w:rsidR="00DF3875">
        <w:t>, 2017–18 to 2023–24</w:t>
      </w:r>
    </w:p>
    <w:p w14:paraId="61FFCC87" w14:textId="768E2388" w:rsidR="00031281" w:rsidRPr="00031281" w:rsidRDefault="008748D9" w:rsidP="00031281">
      <w:r w:rsidRPr="008748D9">
        <w:rPr>
          <w:noProof/>
        </w:rPr>
        <w:drawing>
          <wp:inline distT="0" distB="0" distL="0" distR="0" wp14:anchorId="45F5FD43" wp14:editId="675750D3">
            <wp:extent cx="5210175" cy="3000375"/>
            <wp:effectExtent l="0" t="0" r="9525" b="9525"/>
            <wp:docPr id="499620231" name="Picture 1" descr="Figure 20: A bar graph showing the average number of GP attendances in residential aged care homes, per patient, 2017–18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20231" name="Picture 1" descr="Figure 20: A bar graph showing the average number of GP attendances in residential aged care homes, per patient, 2017–18 to 2023–24"/>
                    <pic:cNvPicPr/>
                  </pic:nvPicPr>
                  <pic:blipFill>
                    <a:blip r:embed="rId44"/>
                    <a:stretch>
                      <a:fillRect/>
                    </a:stretch>
                  </pic:blipFill>
                  <pic:spPr>
                    <a:xfrm>
                      <a:off x="0" y="0"/>
                      <a:ext cx="5210175" cy="3000375"/>
                    </a:xfrm>
                    <a:prstGeom prst="rect">
                      <a:avLst/>
                    </a:prstGeom>
                  </pic:spPr>
                </pic:pic>
              </a:graphicData>
            </a:graphic>
          </wp:inline>
        </w:drawing>
      </w:r>
    </w:p>
    <w:p w14:paraId="35BC4F7C" w14:textId="77777777" w:rsidR="00803175" w:rsidRDefault="00803175" w:rsidP="00803175">
      <w:pPr>
        <w:rPr>
          <w:lang w:val="en-GB"/>
        </w:rPr>
      </w:pPr>
    </w:p>
    <w:p w14:paraId="674D72E2" w14:textId="7D198D61" w:rsidR="004D1F7C" w:rsidRDefault="00DF7FAC" w:rsidP="00803175">
      <w:pPr>
        <w:rPr>
          <w:lang w:val="en-GB"/>
        </w:rPr>
      </w:pPr>
      <w:r>
        <w:rPr>
          <w:lang w:val="en-GB"/>
        </w:rPr>
        <w:t>Increase</w:t>
      </w:r>
      <w:r w:rsidR="004959EB">
        <w:rPr>
          <w:lang w:val="en-GB"/>
        </w:rPr>
        <w:t>d</w:t>
      </w:r>
      <w:r>
        <w:rPr>
          <w:lang w:val="en-GB"/>
        </w:rPr>
        <w:t xml:space="preserve"> or maintained rates were reported for all states or territories as well as across metropolitan and regional areas, with metropolitan areas continuing to show higher rates of attendance</w:t>
      </w:r>
      <w:r w:rsidR="00803175">
        <w:rPr>
          <w:lang w:val="en-GB"/>
        </w:rPr>
        <w:t xml:space="preserve"> than regional areas</w:t>
      </w:r>
      <w:r>
        <w:rPr>
          <w:lang w:val="en-GB"/>
        </w:rPr>
        <w:t xml:space="preserve">. </w:t>
      </w:r>
    </w:p>
    <w:p w14:paraId="5698FCBB" w14:textId="77777777" w:rsidR="00EF5BD4" w:rsidRDefault="00EF5BD4" w:rsidP="00B76981">
      <w:pPr>
        <w:pStyle w:val="Paragraphtext"/>
        <w:rPr>
          <w:lang w:val="en-GB" w:eastAsia="en-US"/>
        </w:rPr>
      </w:pPr>
    </w:p>
    <w:p w14:paraId="005CA42D" w14:textId="7FD6921F" w:rsidR="00AF3A1B" w:rsidRDefault="00AF3A1B" w:rsidP="00AF3A1B">
      <w:pPr>
        <w:pStyle w:val="FigureTitle"/>
      </w:pPr>
      <w:r>
        <w:t>Figure 2</w:t>
      </w:r>
      <w:r w:rsidR="00743B06">
        <w:t>1</w:t>
      </w:r>
      <w:r>
        <w:t>:</w:t>
      </w:r>
      <w:r w:rsidR="00917D1F">
        <w:t xml:space="preserve"> Average </w:t>
      </w:r>
      <w:r w:rsidR="00EA6A65">
        <w:t xml:space="preserve">number </w:t>
      </w:r>
      <w:r w:rsidR="00917D1F">
        <w:t xml:space="preserve">of GP attendances in residential aged care homes, per </w:t>
      </w:r>
      <w:r w:rsidR="00917D1F" w:rsidRPr="00E7560A">
        <w:t>patient</w:t>
      </w:r>
      <w:r w:rsidR="00917D1F">
        <w:t>, by PHN remoteness</w:t>
      </w:r>
      <w:r w:rsidR="00DF3875">
        <w:t>, 2017–18 to 2023–24</w:t>
      </w:r>
    </w:p>
    <w:p w14:paraId="4CDBD0DB" w14:textId="34D1C137" w:rsidR="00031281" w:rsidRPr="00031281" w:rsidRDefault="00031281" w:rsidP="00031281">
      <w:r w:rsidRPr="00031281">
        <w:rPr>
          <w:noProof/>
        </w:rPr>
        <w:drawing>
          <wp:inline distT="0" distB="0" distL="0" distR="0" wp14:anchorId="6DEE2083" wp14:editId="56B04326">
            <wp:extent cx="5200650" cy="3333750"/>
            <wp:effectExtent l="0" t="0" r="0" b="0"/>
            <wp:docPr id="611476268" name="Picture 1" descr="Figure 21: A bar graph showing the average number of GP attendances in residential aged care homes, per patient, by PHN remoteness, 2017–18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76268" name="Picture 1" descr="Figure 21: A bar graph showing the average number of GP attendances in residential aged care homes, per patient, by PHN remoteness, 2017–18 to 2023–24"/>
                    <pic:cNvPicPr/>
                  </pic:nvPicPr>
                  <pic:blipFill>
                    <a:blip r:embed="rId45"/>
                    <a:stretch>
                      <a:fillRect/>
                    </a:stretch>
                  </pic:blipFill>
                  <pic:spPr>
                    <a:xfrm>
                      <a:off x="0" y="0"/>
                      <a:ext cx="5200650" cy="3333750"/>
                    </a:xfrm>
                    <a:prstGeom prst="rect">
                      <a:avLst/>
                    </a:prstGeom>
                  </pic:spPr>
                </pic:pic>
              </a:graphicData>
            </a:graphic>
          </wp:inline>
        </w:drawing>
      </w:r>
    </w:p>
    <w:p w14:paraId="74C4FAA6" w14:textId="77777777" w:rsidR="00803175" w:rsidRDefault="00803175" w:rsidP="00B76981">
      <w:pPr>
        <w:pStyle w:val="Paragraphtext"/>
        <w:rPr>
          <w:lang w:val="en-GB" w:eastAsia="en-US"/>
        </w:rPr>
      </w:pPr>
    </w:p>
    <w:p w14:paraId="2118F523" w14:textId="7BAE03E4" w:rsidR="001055E1" w:rsidRDefault="001055E1" w:rsidP="001055E1">
      <w:pPr>
        <w:pStyle w:val="Heading3"/>
      </w:pPr>
      <w:r>
        <w:rPr>
          <w:lang w:val="en-GB"/>
        </w:rPr>
        <w:lastRenderedPageBreak/>
        <w:t>AC2 –</w:t>
      </w:r>
      <w:r w:rsidR="00320208">
        <w:rPr>
          <w:lang w:val="en-GB"/>
        </w:rPr>
        <w:t xml:space="preserve"> A</w:t>
      </w:r>
      <w:proofErr w:type="spellStart"/>
      <w:r w:rsidR="000E3903" w:rsidRPr="00427467">
        <w:t>ged</w:t>
      </w:r>
      <w:proofErr w:type="spellEnd"/>
      <w:r w:rsidR="000E3903" w:rsidRPr="00427467">
        <w:t xml:space="preserve"> </w:t>
      </w:r>
      <w:r w:rsidR="000E3903">
        <w:t xml:space="preserve">65 </w:t>
      </w:r>
      <w:r w:rsidR="000E3903" w:rsidRPr="00427467">
        <w:t xml:space="preserve">and </w:t>
      </w:r>
      <w:r w:rsidR="00BE494A">
        <w:t>O</w:t>
      </w:r>
      <w:r w:rsidR="000E3903" w:rsidRPr="00427467">
        <w:t xml:space="preserve">ver </w:t>
      </w:r>
      <w:r w:rsidR="00320208">
        <w:t>– H</w:t>
      </w:r>
      <w:r w:rsidR="00320208" w:rsidRPr="00427467">
        <w:t xml:space="preserve">ealth </w:t>
      </w:r>
      <w:r w:rsidR="00BE494A">
        <w:t>A</w:t>
      </w:r>
      <w:r w:rsidR="00320208" w:rsidRPr="00427467">
        <w:t>ssessment</w:t>
      </w:r>
    </w:p>
    <w:p w14:paraId="182E2359" w14:textId="339E5225" w:rsidR="001055E1" w:rsidRDefault="00745D61" w:rsidP="00745D61">
      <w:r>
        <w:t xml:space="preserve">Supporting older people to </w:t>
      </w:r>
      <w:r w:rsidR="00E67BDE">
        <w:t xml:space="preserve">live independently in their own home, manage their chronic conditions and avoid early entry to residential care </w:t>
      </w:r>
      <w:r>
        <w:t xml:space="preserve">can be </w:t>
      </w:r>
      <w:r w:rsidR="00E67BDE">
        <w:t>improved</w:t>
      </w:r>
      <w:r>
        <w:t xml:space="preserve"> through ensuring </w:t>
      </w:r>
      <w:r w:rsidR="00E67BDE">
        <w:t xml:space="preserve">timely </w:t>
      </w:r>
      <w:r>
        <w:t>access to primary health</w:t>
      </w:r>
      <w:r w:rsidR="00B878B0">
        <w:t xml:space="preserve"> care</w:t>
      </w:r>
      <w:r>
        <w:t xml:space="preserve"> services. An increase in the rate of people </w:t>
      </w:r>
      <w:r w:rsidR="00FB5A57">
        <w:t>6</w:t>
      </w:r>
      <w:r>
        <w:t xml:space="preserve">5 and over with a GP health assessment is used to inform PHNs about activities influencing care for older Australians. </w:t>
      </w:r>
    </w:p>
    <w:p w14:paraId="772B765E" w14:textId="44E6A150" w:rsidR="00745D61" w:rsidRDefault="008D1BC1" w:rsidP="001055E1">
      <w:r>
        <w:t>Following a decline in this indicator for 2021–22 (14.6 per cent) there ha</w:t>
      </w:r>
      <w:r w:rsidR="00AC4C48">
        <w:t>ve</w:t>
      </w:r>
      <w:r>
        <w:t xml:space="preserve"> been increase</w:t>
      </w:r>
      <w:r w:rsidR="00AC4C48">
        <w:t>s</w:t>
      </w:r>
      <w:r>
        <w:t xml:space="preserve"> for this indicator for 2022–23 (17.1 per cent) and 2023–24 (17.8 per cent)</w:t>
      </w:r>
      <w:r w:rsidR="00014A08">
        <w:t xml:space="preserve">. </w:t>
      </w:r>
    </w:p>
    <w:p w14:paraId="33CE36C2" w14:textId="77777777" w:rsidR="008D1BC1" w:rsidRDefault="008D1BC1" w:rsidP="001055E1"/>
    <w:p w14:paraId="5E3A70EC" w14:textId="4964CCB5" w:rsidR="00AF3A1B" w:rsidRDefault="00AF3A1B" w:rsidP="00AF3A1B">
      <w:pPr>
        <w:pStyle w:val="FigureTitle"/>
      </w:pPr>
      <w:r>
        <w:t>Figure 2</w:t>
      </w:r>
      <w:r w:rsidR="00743B06">
        <w:t>2</w:t>
      </w:r>
      <w:r>
        <w:t>:</w:t>
      </w:r>
      <w:r w:rsidR="00917D1F">
        <w:t xml:space="preserve"> </w:t>
      </w:r>
      <w:r w:rsidR="001E2812">
        <w:t xml:space="preserve">Proportion </w:t>
      </w:r>
      <w:r w:rsidR="00917D1F">
        <w:t>of people aged 65 year</w:t>
      </w:r>
      <w:r w:rsidR="001E2812">
        <w:t>s</w:t>
      </w:r>
      <w:r w:rsidR="00917D1F">
        <w:t xml:space="preserve"> and over with a recorded health assessment</w:t>
      </w:r>
      <w:r w:rsidR="00DF3875">
        <w:t>, 2017–18 to 2023–24</w:t>
      </w:r>
    </w:p>
    <w:p w14:paraId="12313860" w14:textId="0758A741" w:rsidR="008D1BC1" w:rsidRDefault="001C28BB" w:rsidP="001055E1">
      <w:r>
        <w:rPr>
          <w:noProof/>
        </w:rPr>
        <w:drawing>
          <wp:inline distT="0" distB="0" distL="0" distR="0" wp14:anchorId="7A59E57E" wp14:editId="18FAC7A4">
            <wp:extent cx="5229992" cy="2867558"/>
            <wp:effectExtent l="0" t="0" r="0" b="9525"/>
            <wp:docPr id="2038258063" name="Picture 1" descr="Figure 22: A bar graph showing the proportion of people aged 65 years and over with a recorded health assessment, 2017–18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58063" name="Picture 1" descr="Figure 22: A bar graph showing the proportion of people aged 65 years and over with a recorded health assessment, 2017–18 to 2023–24"/>
                    <pic:cNvPicPr/>
                  </pic:nvPicPr>
                  <pic:blipFill>
                    <a:blip r:embed="rId46"/>
                    <a:stretch>
                      <a:fillRect/>
                    </a:stretch>
                  </pic:blipFill>
                  <pic:spPr>
                    <a:xfrm>
                      <a:off x="0" y="0"/>
                      <a:ext cx="5244775" cy="2875664"/>
                    </a:xfrm>
                    <a:prstGeom prst="rect">
                      <a:avLst/>
                    </a:prstGeom>
                  </pic:spPr>
                </pic:pic>
              </a:graphicData>
            </a:graphic>
          </wp:inline>
        </w:drawing>
      </w:r>
    </w:p>
    <w:p w14:paraId="60C4DDC5" w14:textId="13D135EF" w:rsidR="008D1BC1" w:rsidRDefault="008D1BC1" w:rsidP="001055E1">
      <w:r>
        <w:t xml:space="preserve">Regional areas have continued to have a slightly higher rate of health assessments for people aged 65 and over than metropolitan areas over both reporting periods, with just over one per cent </w:t>
      </w:r>
      <w:r w:rsidR="00CE123B">
        <w:t xml:space="preserve">more of the target population with a health assessment. </w:t>
      </w:r>
    </w:p>
    <w:p w14:paraId="285C4A80" w14:textId="77777777" w:rsidR="00745D61" w:rsidRDefault="00745D61" w:rsidP="001055E1"/>
    <w:p w14:paraId="59CD1E07" w14:textId="068A5019" w:rsidR="00AF3A1B" w:rsidRDefault="00AF3A1B" w:rsidP="00AF395B">
      <w:pPr>
        <w:pStyle w:val="FigureTitle"/>
        <w:keepNext/>
      </w:pPr>
      <w:r>
        <w:lastRenderedPageBreak/>
        <w:t>Figure 2</w:t>
      </w:r>
      <w:r w:rsidR="00743B06">
        <w:t>3</w:t>
      </w:r>
      <w:r>
        <w:t>:</w:t>
      </w:r>
      <w:r w:rsidR="00917D1F">
        <w:t xml:space="preserve"> </w:t>
      </w:r>
      <w:r w:rsidR="006D3049">
        <w:t xml:space="preserve">Proportion </w:t>
      </w:r>
      <w:r w:rsidR="00917D1F">
        <w:t>of people aged 65 year and over with a recorded health assessment, by PHN remoteness</w:t>
      </w:r>
      <w:r w:rsidR="00DF3875">
        <w:t>, 2017–18 to 2023–24</w:t>
      </w:r>
    </w:p>
    <w:p w14:paraId="3B227589" w14:textId="0A9F5589" w:rsidR="00745D61" w:rsidRDefault="005659D8" w:rsidP="001055E1">
      <w:r>
        <w:rPr>
          <w:noProof/>
        </w:rPr>
        <w:drawing>
          <wp:inline distT="0" distB="0" distL="0" distR="0" wp14:anchorId="1DA11894" wp14:editId="29F1223E">
            <wp:extent cx="5200650" cy="2568215"/>
            <wp:effectExtent l="0" t="0" r="0" b="3810"/>
            <wp:docPr id="1124077311" name="Picture 1" descr="Figure 23: A bar graph showing the proportion of people aged 65 year and over with a recorded health assessment, by PHN remoteness, 2017–18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77311" name="Picture 1" descr="Figure 23: A bar graph showing the proportion of people aged 65 year and over with a recorded health assessment, by PHN remoteness, 2017–18 to 2023–24"/>
                    <pic:cNvPicPr/>
                  </pic:nvPicPr>
                  <pic:blipFill>
                    <a:blip r:embed="rId47"/>
                    <a:stretch>
                      <a:fillRect/>
                    </a:stretch>
                  </pic:blipFill>
                  <pic:spPr>
                    <a:xfrm>
                      <a:off x="0" y="0"/>
                      <a:ext cx="5208471" cy="2572077"/>
                    </a:xfrm>
                    <a:prstGeom prst="rect">
                      <a:avLst/>
                    </a:prstGeom>
                  </pic:spPr>
                </pic:pic>
              </a:graphicData>
            </a:graphic>
          </wp:inline>
        </w:drawing>
      </w:r>
    </w:p>
    <w:p w14:paraId="4E1F0C9C" w14:textId="77777777" w:rsidR="00A07E33" w:rsidRPr="001055E1" w:rsidRDefault="00A07E33" w:rsidP="001055E1"/>
    <w:p w14:paraId="10823498" w14:textId="0696079C" w:rsidR="002338F4" w:rsidRDefault="00745D61" w:rsidP="00745D61">
      <w:pPr>
        <w:pStyle w:val="Heading3"/>
      </w:pPr>
      <w:r>
        <w:rPr>
          <w:lang w:val="en-GB"/>
        </w:rPr>
        <w:t xml:space="preserve">AOD1 – </w:t>
      </w:r>
      <w:r w:rsidR="000E3903">
        <w:t xml:space="preserve">Active </w:t>
      </w:r>
      <w:r w:rsidR="00BE494A">
        <w:t>A</w:t>
      </w:r>
      <w:r w:rsidR="000E3903">
        <w:t xml:space="preserve">lcohol and </w:t>
      </w:r>
      <w:r w:rsidR="00BE494A">
        <w:t>O</w:t>
      </w:r>
      <w:r w:rsidR="000E3903">
        <w:t>ther</w:t>
      </w:r>
      <w:r w:rsidRPr="00427467">
        <w:t xml:space="preserve"> </w:t>
      </w:r>
      <w:r w:rsidR="00BE494A">
        <w:t>D</w:t>
      </w:r>
      <w:r w:rsidRPr="00427467">
        <w:t xml:space="preserve">rug </w:t>
      </w:r>
      <w:r w:rsidR="00BE494A">
        <w:t>S</w:t>
      </w:r>
      <w:r w:rsidRPr="00427467">
        <w:t>ervices</w:t>
      </w:r>
    </w:p>
    <w:p w14:paraId="5EEFB529" w14:textId="7F829F0F" w:rsidR="00745D61" w:rsidRDefault="009A463F" w:rsidP="008C5647">
      <w:r>
        <w:t>The monitoring of active delivery of drug and alcohol services by commissioned providers is used to assess the effectiveness of transition from design to delivery of services. Active delivery refers to patients being referred and accessing services. PHNs report on the increase or maintenance of the rate of providers actively providing services.</w:t>
      </w:r>
      <w:r w:rsidR="00114B6D">
        <w:t xml:space="preserve"> For the two reporting periods all PHNs have </w:t>
      </w:r>
      <w:r w:rsidR="004959EB">
        <w:t xml:space="preserve">been </w:t>
      </w:r>
      <w:r w:rsidR="00114B6D">
        <w:t xml:space="preserve">assessed as meeting this indicator, with all commissioned providers being reported as actively delivering services. </w:t>
      </w:r>
    </w:p>
    <w:p w14:paraId="5214CFE6" w14:textId="77777777" w:rsidR="00745D61" w:rsidRDefault="00745D61" w:rsidP="00745D61"/>
    <w:p w14:paraId="30E0AEBD" w14:textId="6391EAEF" w:rsidR="00D5165B" w:rsidRDefault="00D5165B" w:rsidP="00D5165B">
      <w:pPr>
        <w:pStyle w:val="Heading3"/>
      </w:pPr>
      <w:r>
        <w:t>Conclusion</w:t>
      </w:r>
    </w:p>
    <w:p w14:paraId="75B7F4A1" w14:textId="118AC708" w:rsidR="00BA2DC0" w:rsidRDefault="00D5165B" w:rsidP="00B93E33">
      <w:pPr>
        <w:rPr>
          <w:sz w:val="21"/>
          <w:lang w:val="en-GB"/>
        </w:rPr>
      </w:pPr>
      <w:r>
        <w:t>Based on the indicators used for reporting, there has been an overall increase in access to primary health care services for people</w:t>
      </w:r>
      <w:r w:rsidR="00E67BDE">
        <w:t>,</w:t>
      </w:r>
      <w:r>
        <w:t xml:space="preserve"> based on increases across most</w:t>
      </w:r>
      <w:r w:rsidR="00E67BDE">
        <w:t xml:space="preserve"> </w:t>
      </w:r>
      <w:r>
        <w:t>indicators for this outcome theme, particularly in metropolitan PHN regions. Improved access includes after</w:t>
      </w:r>
      <w:r w:rsidR="00067B2E">
        <w:t>-</w:t>
      </w:r>
      <w:r>
        <w:t>hours care and services for residents of aged care homes, with a</w:t>
      </w:r>
      <w:r w:rsidR="004959EB">
        <w:t>n</w:t>
      </w:r>
      <w:r>
        <w:t xml:space="preserve"> </w:t>
      </w:r>
      <w:r w:rsidR="004959EB">
        <w:t>associated</w:t>
      </w:r>
      <w:r>
        <w:t xml:space="preserve"> decrease in lower urgency presentations at hospitals. Health assessments for people aged 65 and over and Aboriginal and Torres Strait Islander people have also increased, providing a broader understanding of healthcare needs. There have been mixed results for mental health indicators, with some PHNs performing strongly for rel</w:t>
      </w:r>
      <w:r w:rsidR="005F7543">
        <w:t>evant</w:t>
      </w:r>
      <w:r>
        <w:t xml:space="preserve"> indicators, while other</w:t>
      </w:r>
      <w:r w:rsidR="004D6718">
        <w:t>s</w:t>
      </w:r>
      <w:r>
        <w:t xml:space="preserve"> have experience</w:t>
      </w:r>
      <w:r w:rsidR="00DE0895">
        <w:t>d a reduction in services provided</w:t>
      </w:r>
      <w:r>
        <w:t xml:space="preserve">. PHNs continue to ensure the active delivery of services for alcohol and other drugs across all regions. </w:t>
      </w:r>
      <w:r w:rsidR="00BA2DC0">
        <w:rPr>
          <w:lang w:val="en-GB"/>
        </w:rPr>
        <w:br w:type="page"/>
      </w:r>
    </w:p>
    <w:p w14:paraId="2D30C631" w14:textId="77777777" w:rsidR="00B76981" w:rsidRDefault="00B76981" w:rsidP="00402795">
      <w:pPr>
        <w:pStyle w:val="Heading2"/>
        <w:rPr>
          <w:lang w:val="en-GB"/>
        </w:rPr>
      </w:pPr>
      <w:bookmarkStart w:id="19" w:name="_Toc212100676"/>
      <w:r w:rsidRPr="00CB06C7">
        <w:rPr>
          <w:lang w:val="en-GB"/>
        </w:rPr>
        <w:lastRenderedPageBreak/>
        <w:t>Coordinated Care</w:t>
      </w:r>
      <w:bookmarkEnd w:id="19"/>
    </w:p>
    <w:p w14:paraId="40BAB94E" w14:textId="4FA5ED72" w:rsidR="00EF582C" w:rsidRDefault="00EA01E1" w:rsidP="008C5647">
      <w:pPr>
        <w:rPr>
          <w:lang w:val="en-GB"/>
        </w:rPr>
      </w:pPr>
      <w:r>
        <w:rPr>
          <w:lang w:val="en-GB"/>
        </w:rPr>
        <w:t xml:space="preserve">Coordinated health care </w:t>
      </w:r>
      <w:r w:rsidR="00EF582C">
        <w:rPr>
          <w:lang w:val="en-GB"/>
        </w:rPr>
        <w:t>support</w:t>
      </w:r>
      <w:r>
        <w:rPr>
          <w:lang w:val="en-GB"/>
        </w:rPr>
        <w:t>s</w:t>
      </w:r>
      <w:r w:rsidR="00EF582C">
        <w:rPr>
          <w:lang w:val="en-GB"/>
        </w:rPr>
        <w:t xml:space="preserve"> </w:t>
      </w:r>
      <w:r>
        <w:rPr>
          <w:lang w:val="en-GB"/>
        </w:rPr>
        <w:t xml:space="preserve">all </w:t>
      </w:r>
      <w:r w:rsidR="00EF582C">
        <w:rPr>
          <w:lang w:val="en-GB"/>
        </w:rPr>
        <w:t>Australians to access the right care at the right time in the right place</w:t>
      </w:r>
      <w:r>
        <w:rPr>
          <w:lang w:val="en-GB"/>
        </w:rPr>
        <w:t>. By understanding the services available, demands on services and needs of their regions</w:t>
      </w:r>
      <w:r w:rsidR="00B878B0">
        <w:rPr>
          <w:lang w:val="en-GB"/>
        </w:rPr>
        <w:t>,</w:t>
      </w:r>
      <w:r>
        <w:rPr>
          <w:lang w:val="en-GB"/>
        </w:rPr>
        <w:t xml:space="preserve"> PHNs </w:t>
      </w:r>
      <w:r w:rsidR="006707C6">
        <w:rPr>
          <w:lang w:val="en-GB"/>
        </w:rPr>
        <w:t>can</w:t>
      </w:r>
      <w:r>
        <w:rPr>
          <w:lang w:val="en-GB"/>
        </w:rPr>
        <w:t xml:space="preserve"> assist general practices and other health care providers to deliver appropriate services for their regions, including across priority areas. </w:t>
      </w:r>
    </w:p>
    <w:p w14:paraId="24C25787" w14:textId="791C71FC" w:rsidR="00EF582C" w:rsidRDefault="00C007DB" w:rsidP="00C007DB">
      <w:pPr>
        <w:pStyle w:val="Heading3"/>
      </w:pPr>
      <w:r>
        <w:rPr>
          <w:lang w:val="en-GB"/>
        </w:rPr>
        <w:t xml:space="preserve">P9 – </w:t>
      </w:r>
      <w:r w:rsidR="000E3903">
        <w:rPr>
          <w:lang w:val="en-GB"/>
        </w:rPr>
        <w:t xml:space="preserve">Coordination of Care – Collective </w:t>
      </w:r>
      <w:r w:rsidR="000E3903">
        <w:t xml:space="preserve">Health Care </w:t>
      </w:r>
      <w:r w:rsidR="00BE494A">
        <w:t>N</w:t>
      </w:r>
      <w:r w:rsidR="000E3903">
        <w:t>eeds</w:t>
      </w:r>
    </w:p>
    <w:p w14:paraId="30800360" w14:textId="5F2DDA0E" w:rsidR="00C007DB" w:rsidRPr="00C007DB" w:rsidRDefault="005311D8" w:rsidP="00DB1F1E">
      <w:r>
        <w:t xml:space="preserve">Using tools and processes that assist </w:t>
      </w:r>
      <w:r w:rsidR="009B1B8E">
        <w:t>in</w:t>
      </w:r>
      <w:r>
        <w:t xml:space="preserve"> understand</w:t>
      </w:r>
      <w:r w:rsidR="009B1B8E">
        <w:t>ing</w:t>
      </w:r>
      <w:r>
        <w:t xml:space="preserve"> the collective health care needs of a patient a coordinated approach can be applied to ensure that all health care needs are being addressed. PHNs can work with health care providers, including general practitioners, to highlight the benefits of services such as health assessments, chronic disease management plans and multidisciplinary case conferences. Reporting for this indicator considers the use of </w:t>
      </w:r>
      <w:r w:rsidR="00FC787E">
        <w:t>Medicare Benefits Schedule (MBS)</w:t>
      </w:r>
      <w:r>
        <w:t xml:space="preserve"> items to report on the uptake of coordinated services.</w:t>
      </w:r>
      <w:r w:rsidR="00FA532B">
        <w:rPr>
          <w:rStyle w:val="FootnoteReference"/>
          <w:lang w:val="en-GB"/>
        </w:rPr>
        <w:footnoteReference w:id="38"/>
      </w:r>
      <w:r>
        <w:t xml:space="preserve"> </w:t>
      </w:r>
    </w:p>
    <w:p w14:paraId="1C3C0276" w14:textId="4D811B10" w:rsidR="00EF582C" w:rsidRDefault="00FC534D" w:rsidP="008C5647">
      <w:pPr>
        <w:rPr>
          <w:lang w:val="en-GB"/>
        </w:rPr>
      </w:pPr>
      <w:r>
        <w:rPr>
          <w:lang w:val="en-GB"/>
        </w:rPr>
        <w:t xml:space="preserve">Following a drop in </w:t>
      </w:r>
      <w:r w:rsidR="00C00FA4">
        <w:rPr>
          <w:lang w:val="en-GB"/>
        </w:rPr>
        <w:t>the 2021–22 reporting period to 10.</w:t>
      </w:r>
      <w:r w:rsidR="00017F99">
        <w:rPr>
          <w:lang w:val="en-GB"/>
        </w:rPr>
        <w:t>6</w:t>
      </w:r>
      <w:r w:rsidR="00C00FA4">
        <w:rPr>
          <w:lang w:val="en-GB"/>
        </w:rPr>
        <w:t xml:space="preserve"> million</w:t>
      </w:r>
      <w:r w:rsidR="009B1B8E">
        <w:rPr>
          <w:lang w:val="en-GB"/>
        </w:rPr>
        <w:t>,</w:t>
      </w:r>
      <w:r w:rsidR="00C00FA4">
        <w:rPr>
          <w:lang w:val="en-GB"/>
        </w:rPr>
        <w:t xml:space="preserve"> the number of MBS items for this indicator has increased over both the 2022–23 reporting period (11.6 million) and the 2023–24 period (12.1 million). </w:t>
      </w:r>
    </w:p>
    <w:p w14:paraId="1CFAD3BA" w14:textId="1A3F46B4" w:rsidR="00AF3A1B" w:rsidRDefault="00AF3A1B">
      <w:pPr>
        <w:spacing w:before="0" w:after="0" w:line="240" w:lineRule="auto"/>
        <w:rPr>
          <w:lang w:val="en-GB"/>
        </w:rPr>
      </w:pPr>
    </w:p>
    <w:p w14:paraId="0C26635C" w14:textId="0231F456" w:rsidR="00AF3A1B" w:rsidRDefault="00AF3A1B" w:rsidP="00AF3A1B">
      <w:pPr>
        <w:pStyle w:val="FigureTitle"/>
      </w:pPr>
      <w:r>
        <w:t>Figure 2</w:t>
      </w:r>
      <w:r w:rsidR="00743B06">
        <w:t>4</w:t>
      </w:r>
      <w:r>
        <w:t>:</w:t>
      </w:r>
      <w:r w:rsidR="00917D1F">
        <w:t xml:space="preserve"> </w:t>
      </w:r>
      <w:r w:rsidR="00B93E33">
        <w:t xml:space="preserve">MBS services </w:t>
      </w:r>
      <w:r w:rsidR="00B1059A">
        <w:t xml:space="preserve">for chronic </w:t>
      </w:r>
      <w:r w:rsidR="005A7DFE">
        <w:t>disease</w:t>
      </w:r>
      <w:r w:rsidR="00B1059A">
        <w:t xml:space="preserve"> assessments and </w:t>
      </w:r>
      <w:r w:rsidR="005A7DFE">
        <w:t xml:space="preserve">management </w:t>
      </w:r>
      <w:r w:rsidR="00B1059A">
        <w:t>plans</w:t>
      </w:r>
      <w:r w:rsidR="00DF3875">
        <w:t>, 2017–18 to 2023–24</w:t>
      </w:r>
    </w:p>
    <w:p w14:paraId="7C1C88BB" w14:textId="39C94089" w:rsidR="00465B73" w:rsidRDefault="00087C30" w:rsidP="00465B73">
      <w:r w:rsidRPr="00087C30">
        <w:rPr>
          <w:noProof/>
        </w:rPr>
        <w:drawing>
          <wp:inline distT="0" distB="0" distL="0" distR="0" wp14:anchorId="78BDAB32" wp14:editId="768BBBF1">
            <wp:extent cx="5200650" cy="2971800"/>
            <wp:effectExtent l="0" t="0" r="0" b="0"/>
            <wp:docPr id="134334177" name="Picture 1" descr="Figure 24: A bar graph showing MBS services for chronic disease assessments and management plans, 2017–18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4177" name="Picture 1" descr="Figure 24: A bar graph showing MBS services for chronic disease assessments and management plans, 2017–18 to 2023–24"/>
                    <pic:cNvPicPr/>
                  </pic:nvPicPr>
                  <pic:blipFill>
                    <a:blip r:embed="rId48"/>
                    <a:stretch>
                      <a:fillRect/>
                    </a:stretch>
                  </pic:blipFill>
                  <pic:spPr>
                    <a:xfrm>
                      <a:off x="0" y="0"/>
                      <a:ext cx="5200650" cy="2971800"/>
                    </a:xfrm>
                    <a:prstGeom prst="rect">
                      <a:avLst/>
                    </a:prstGeom>
                  </pic:spPr>
                </pic:pic>
              </a:graphicData>
            </a:graphic>
          </wp:inline>
        </w:drawing>
      </w:r>
    </w:p>
    <w:p w14:paraId="3D49405E" w14:textId="77777777" w:rsidR="00031281" w:rsidRPr="00465B73" w:rsidRDefault="00031281" w:rsidP="00465B73"/>
    <w:p w14:paraId="5551827D" w14:textId="6FE81083" w:rsidR="00C00FA4" w:rsidRDefault="00017F99" w:rsidP="00BB6EAA">
      <w:pPr>
        <w:rPr>
          <w:lang w:val="en-GB"/>
        </w:rPr>
      </w:pPr>
      <w:r>
        <w:rPr>
          <w:lang w:val="en-GB"/>
        </w:rPr>
        <w:lastRenderedPageBreak/>
        <w:t>MBS items</w:t>
      </w:r>
      <w:r w:rsidR="00C00FA4">
        <w:rPr>
          <w:lang w:val="en-GB"/>
        </w:rPr>
        <w:t xml:space="preserve"> continue to be significantly higher in metropolitan areas tha</w:t>
      </w:r>
      <w:r w:rsidR="009B1B8E">
        <w:rPr>
          <w:lang w:val="en-GB"/>
        </w:rPr>
        <w:t>n</w:t>
      </w:r>
      <w:r w:rsidR="00C00FA4">
        <w:rPr>
          <w:lang w:val="en-GB"/>
        </w:rPr>
        <w:t xml:space="preserve"> regional areas and across more populous states. </w:t>
      </w:r>
      <w:r w:rsidR="004C4C17">
        <w:rPr>
          <w:lang w:val="en-GB"/>
        </w:rPr>
        <w:t xml:space="preserve">Across levels of disadvantage, PHN regions rated as high and very high </w:t>
      </w:r>
      <w:r w:rsidR="005A7DFE">
        <w:rPr>
          <w:lang w:val="en-GB"/>
        </w:rPr>
        <w:t xml:space="preserve">disadvantage </w:t>
      </w:r>
      <w:r w:rsidR="004C4C17">
        <w:rPr>
          <w:lang w:val="en-GB"/>
        </w:rPr>
        <w:t xml:space="preserve">had the lowest </w:t>
      </w:r>
      <w:r>
        <w:rPr>
          <w:lang w:val="en-GB"/>
        </w:rPr>
        <w:t>number of services</w:t>
      </w:r>
      <w:r w:rsidR="004C4C17">
        <w:rPr>
          <w:lang w:val="en-GB"/>
        </w:rPr>
        <w:t xml:space="preserve"> reported</w:t>
      </w:r>
      <w:r w:rsidR="009B1B8E">
        <w:rPr>
          <w:lang w:val="en-GB"/>
        </w:rPr>
        <w:t xml:space="preserve">, suggesting scope to improve services for these groups. </w:t>
      </w:r>
    </w:p>
    <w:p w14:paraId="46A93B9B" w14:textId="77777777" w:rsidR="004C4C17" w:rsidRDefault="004C4C17" w:rsidP="0082244B">
      <w:pPr>
        <w:rPr>
          <w:lang w:val="en-GB"/>
        </w:rPr>
      </w:pPr>
    </w:p>
    <w:p w14:paraId="2D2AE314" w14:textId="106F1003" w:rsidR="00AF3A1B" w:rsidRDefault="00AF3A1B" w:rsidP="00AF3A1B">
      <w:pPr>
        <w:pStyle w:val="FigureTitle"/>
      </w:pPr>
      <w:r>
        <w:t>Figure 2</w:t>
      </w:r>
      <w:r w:rsidR="00743B06">
        <w:t>5</w:t>
      </w:r>
      <w:r>
        <w:t>:</w:t>
      </w:r>
      <w:r w:rsidR="00B1059A">
        <w:t xml:space="preserve"> MBS </w:t>
      </w:r>
      <w:r w:rsidR="002642D5">
        <w:t>services</w:t>
      </w:r>
      <w:r w:rsidR="00B1059A">
        <w:t xml:space="preserve"> for chronic </w:t>
      </w:r>
      <w:r w:rsidR="005A7DFE">
        <w:t>disease</w:t>
      </w:r>
      <w:r w:rsidR="00B1059A">
        <w:t xml:space="preserve"> assessments and </w:t>
      </w:r>
      <w:r w:rsidR="005A7DFE">
        <w:t xml:space="preserve">management </w:t>
      </w:r>
      <w:r w:rsidR="00B1059A">
        <w:t>plans, by PHN disadvantage</w:t>
      </w:r>
      <w:r w:rsidR="00DF3875">
        <w:t>, 2017–18 to 2023–24</w:t>
      </w:r>
    </w:p>
    <w:p w14:paraId="2C730779" w14:textId="4C4B77A1" w:rsidR="00087C30" w:rsidRPr="00087C30" w:rsidRDefault="00087C30" w:rsidP="00087C30">
      <w:r w:rsidRPr="00087C30">
        <w:rPr>
          <w:noProof/>
        </w:rPr>
        <w:drawing>
          <wp:inline distT="0" distB="0" distL="0" distR="0" wp14:anchorId="06392E70" wp14:editId="0417D133">
            <wp:extent cx="5200650" cy="2971800"/>
            <wp:effectExtent l="0" t="0" r="0" b="0"/>
            <wp:docPr id="257329176" name="Picture 1" descr="Figure 25: A bar graph showing MBS services for chronic disease assessments and management plans, by PHN disadvantage, 2017–18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29176" name="Picture 1" descr="Figure 25: A bar graph showing MBS services for chronic disease assessments and management plans, by PHN disadvantage, 2017–18 to 2023–24"/>
                    <pic:cNvPicPr/>
                  </pic:nvPicPr>
                  <pic:blipFill>
                    <a:blip r:embed="rId49"/>
                    <a:stretch>
                      <a:fillRect/>
                    </a:stretch>
                  </pic:blipFill>
                  <pic:spPr>
                    <a:xfrm>
                      <a:off x="0" y="0"/>
                      <a:ext cx="5200650" cy="2971800"/>
                    </a:xfrm>
                    <a:prstGeom prst="rect">
                      <a:avLst/>
                    </a:prstGeom>
                  </pic:spPr>
                </pic:pic>
              </a:graphicData>
            </a:graphic>
          </wp:inline>
        </w:drawing>
      </w:r>
    </w:p>
    <w:p w14:paraId="155B36DD" w14:textId="77777777" w:rsidR="00087C30" w:rsidRPr="00087C30" w:rsidRDefault="00087C30" w:rsidP="00087C30"/>
    <w:p w14:paraId="65815ACF" w14:textId="76E4C26A" w:rsidR="005311D8" w:rsidRDefault="005311D8" w:rsidP="005311D8">
      <w:pPr>
        <w:pStyle w:val="Heading3"/>
        <w:rPr>
          <w:lang w:val="en-GB"/>
        </w:rPr>
      </w:pPr>
      <w:r>
        <w:rPr>
          <w:lang w:val="en-GB"/>
        </w:rPr>
        <w:t>P10 –</w:t>
      </w:r>
      <w:r w:rsidR="000E3903">
        <w:rPr>
          <w:lang w:val="en-GB"/>
        </w:rPr>
        <w:t xml:space="preserve"> </w:t>
      </w:r>
      <w:r w:rsidRPr="00427467">
        <w:t>My Health Record</w:t>
      </w:r>
      <w:r w:rsidR="000E3903" w:rsidRPr="000E3903">
        <w:t xml:space="preserve"> </w:t>
      </w:r>
      <w:r w:rsidR="00320208">
        <w:t xml:space="preserve">– </w:t>
      </w:r>
      <w:r w:rsidR="000E3903" w:rsidRPr="00427467">
        <w:t>Cross views</w:t>
      </w:r>
    </w:p>
    <w:p w14:paraId="55EBD4DD" w14:textId="5A69219D" w:rsidR="005311D8" w:rsidRDefault="00C00FA4" w:rsidP="00DB1F1E">
      <w:pPr>
        <w:rPr>
          <w:lang w:val="en-GB"/>
        </w:rPr>
      </w:pPr>
      <w:r>
        <w:rPr>
          <w:lang w:val="en-GB"/>
        </w:rPr>
        <w:t>The number of c</w:t>
      </w:r>
      <w:r w:rsidR="009B63B1">
        <w:rPr>
          <w:lang w:val="en-GB"/>
        </w:rPr>
        <w:t>ross views of My Health Record provides information about access to patient health record</w:t>
      </w:r>
      <w:r w:rsidR="00C36FA4">
        <w:rPr>
          <w:lang w:val="en-GB"/>
        </w:rPr>
        <w:t>s</w:t>
      </w:r>
      <w:r w:rsidR="009B63B1">
        <w:rPr>
          <w:lang w:val="en-GB"/>
        </w:rPr>
        <w:t xml:space="preserve"> by different health care providers. </w:t>
      </w:r>
      <w:r w:rsidR="00C36FA4">
        <w:rPr>
          <w:lang w:val="en-GB"/>
        </w:rPr>
        <w:t xml:space="preserve">This indicator provides information that can give insight into health care providers working together to deliver coordinated care to a patient. PHNs support and encourage the increased use of My Health Record, with resulting increases in cross views providing supporting data used for reporting purposes. </w:t>
      </w:r>
    </w:p>
    <w:p w14:paraId="618F0EEE" w14:textId="1511B5CF" w:rsidR="00C36FA4" w:rsidRDefault="00FB1939" w:rsidP="00FB1939">
      <w:pPr>
        <w:rPr>
          <w:lang w:val="en-GB"/>
        </w:rPr>
      </w:pPr>
      <w:r>
        <w:rPr>
          <w:lang w:val="en-GB"/>
        </w:rPr>
        <w:t xml:space="preserve">There has been a significant increase in cross views of patient health records over the two reporting periods, </w:t>
      </w:r>
      <w:proofErr w:type="gramStart"/>
      <w:r>
        <w:rPr>
          <w:lang w:val="en-GB"/>
        </w:rPr>
        <w:t>in particular by</w:t>
      </w:r>
      <w:proofErr w:type="gramEnd"/>
      <w:r>
        <w:rPr>
          <w:lang w:val="en-GB"/>
        </w:rPr>
        <w:t xml:space="preserve"> general practices where the average number of records viewed has grown from 146.9 in 20</w:t>
      </w:r>
      <w:r w:rsidR="009B5315">
        <w:rPr>
          <w:lang w:val="en-GB"/>
        </w:rPr>
        <w:t>2</w:t>
      </w:r>
      <w:r>
        <w:rPr>
          <w:lang w:val="en-GB"/>
        </w:rPr>
        <w:t>1–22 to 315.4 in 2022–23 and 491.2 in 2023–24</w:t>
      </w:r>
      <w:r w:rsidR="009B5315">
        <w:rPr>
          <w:lang w:val="en-GB"/>
        </w:rPr>
        <w:t xml:space="preserve">, representing a </w:t>
      </w:r>
      <w:r w:rsidR="00340CD8">
        <w:rPr>
          <w:lang w:val="en-GB"/>
        </w:rPr>
        <w:t>234</w:t>
      </w:r>
      <w:r w:rsidR="009B5315">
        <w:rPr>
          <w:lang w:val="en-GB"/>
        </w:rPr>
        <w:t xml:space="preserve"> per cent growth since 2021–22</w:t>
      </w:r>
      <w:r>
        <w:rPr>
          <w:lang w:val="en-GB"/>
        </w:rPr>
        <w:t xml:space="preserve">. </w:t>
      </w:r>
      <w:r w:rsidR="009B5315">
        <w:rPr>
          <w:lang w:val="en-GB"/>
        </w:rPr>
        <w:t xml:space="preserve">The rate of views by pharmacies has also increased, from 34 in 2021–22 to 57.5 in 2022–23 and 84.3 in 2023–24, which is a growth of </w:t>
      </w:r>
      <w:r w:rsidR="00340CD8">
        <w:rPr>
          <w:lang w:val="en-GB"/>
        </w:rPr>
        <w:t>148</w:t>
      </w:r>
      <w:r w:rsidR="009B5315">
        <w:rPr>
          <w:lang w:val="en-GB"/>
        </w:rPr>
        <w:t xml:space="preserve"> per cent since 2021–22. </w:t>
      </w:r>
    </w:p>
    <w:p w14:paraId="6C39DBFC" w14:textId="77777777" w:rsidR="009B5315" w:rsidRDefault="009B5315" w:rsidP="00FB1939">
      <w:pPr>
        <w:rPr>
          <w:lang w:val="en-GB"/>
        </w:rPr>
      </w:pPr>
    </w:p>
    <w:p w14:paraId="279F3C21" w14:textId="3B94ADDF" w:rsidR="00AF3A1B" w:rsidRDefault="00AF3A1B" w:rsidP="00B75FE0">
      <w:pPr>
        <w:pStyle w:val="FigureTitle"/>
        <w:keepNext/>
      </w:pPr>
      <w:r>
        <w:lastRenderedPageBreak/>
        <w:t>Figure 2</w:t>
      </w:r>
      <w:r w:rsidR="00743B06">
        <w:t>6</w:t>
      </w:r>
      <w:r>
        <w:t>:</w:t>
      </w:r>
      <w:r w:rsidR="00B1059A">
        <w:t xml:space="preserve"> Average cross views</w:t>
      </w:r>
      <w:r w:rsidR="002642D5">
        <w:t xml:space="preserve"> per</w:t>
      </w:r>
      <w:r w:rsidR="00B1059A">
        <w:t xml:space="preserve"> general practice</w:t>
      </w:r>
      <w:r w:rsidR="00DF3875">
        <w:t>, 2018–19 to 2023–24</w:t>
      </w:r>
    </w:p>
    <w:p w14:paraId="5A816FCE" w14:textId="722AEC83" w:rsidR="002B7E07" w:rsidRDefault="005659D8" w:rsidP="002B7E07">
      <w:r>
        <w:rPr>
          <w:noProof/>
        </w:rPr>
        <w:drawing>
          <wp:inline distT="0" distB="0" distL="0" distR="0" wp14:anchorId="4DE5E4F3" wp14:editId="5010B411">
            <wp:extent cx="5086350" cy="2514600"/>
            <wp:effectExtent l="0" t="0" r="0" b="0"/>
            <wp:docPr id="696970610" name="Picture 1" descr="Figure 26: A bar graph showing the average cross views per general practice, 2018–1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70610" name="Picture 1" descr="Figure 26: A bar graph showing the average cross views per general practice, 2018–19 to 2023–24"/>
                    <pic:cNvPicPr/>
                  </pic:nvPicPr>
                  <pic:blipFill>
                    <a:blip r:embed="rId50"/>
                    <a:stretch>
                      <a:fillRect/>
                    </a:stretch>
                  </pic:blipFill>
                  <pic:spPr>
                    <a:xfrm>
                      <a:off x="0" y="0"/>
                      <a:ext cx="5086350" cy="2514600"/>
                    </a:xfrm>
                    <a:prstGeom prst="rect">
                      <a:avLst/>
                    </a:prstGeom>
                  </pic:spPr>
                </pic:pic>
              </a:graphicData>
            </a:graphic>
          </wp:inline>
        </w:drawing>
      </w:r>
    </w:p>
    <w:p w14:paraId="6E1F2DEF" w14:textId="77777777" w:rsidR="00871404" w:rsidRPr="002B7E07" w:rsidRDefault="00871404" w:rsidP="002B7E07"/>
    <w:p w14:paraId="442A724B" w14:textId="6A40A404" w:rsidR="00AF3A1B" w:rsidRDefault="00AF3A1B" w:rsidP="00BA2DC0">
      <w:pPr>
        <w:pStyle w:val="FigureTitle"/>
        <w:keepNext/>
      </w:pPr>
      <w:r>
        <w:t>Figure 2</w:t>
      </w:r>
      <w:r w:rsidR="00743B06">
        <w:t>7</w:t>
      </w:r>
      <w:r>
        <w:t>:</w:t>
      </w:r>
      <w:r w:rsidR="00B1059A">
        <w:t xml:space="preserve"> Average cross views</w:t>
      </w:r>
      <w:r w:rsidR="00422849">
        <w:t xml:space="preserve"> per</w:t>
      </w:r>
      <w:r w:rsidR="00B1059A">
        <w:t xml:space="preserve"> pharmac</w:t>
      </w:r>
      <w:r w:rsidR="00422849">
        <w:t>y</w:t>
      </w:r>
      <w:r w:rsidR="00DF3875">
        <w:t>, 2018–19 to 2023–24</w:t>
      </w:r>
    </w:p>
    <w:p w14:paraId="6EB6DBF6" w14:textId="44D140FE" w:rsidR="009B5315" w:rsidRDefault="005659D8" w:rsidP="00FB1939">
      <w:pPr>
        <w:rPr>
          <w:lang w:val="en-GB"/>
        </w:rPr>
      </w:pPr>
      <w:r>
        <w:rPr>
          <w:noProof/>
        </w:rPr>
        <w:drawing>
          <wp:inline distT="0" distB="0" distL="0" distR="0" wp14:anchorId="2AB718A8" wp14:editId="33570CDE">
            <wp:extent cx="5153025" cy="2362200"/>
            <wp:effectExtent l="0" t="0" r="9525" b="0"/>
            <wp:docPr id="756742598" name="Picture 1" descr="Figure 27: A bar graph showing the average cross views per pharmacy, 2018–1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42598" name="Picture 1" descr="Figure 27: A bar graph showing the average cross views per pharmacy, 2018–19 to 2023–24"/>
                    <pic:cNvPicPr/>
                  </pic:nvPicPr>
                  <pic:blipFill>
                    <a:blip r:embed="rId51"/>
                    <a:stretch>
                      <a:fillRect/>
                    </a:stretch>
                  </pic:blipFill>
                  <pic:spPr>
                    <a:xfrm>
                      <a:off x="0" y="0"/>
                      <a:ext cx="5153025" cy="2362200"/>
                    </a:xfrm>
                    <a:prstGeom prst="rect">
                      <a:avLst/>
                    </a:prstGeom>
                  </pic:spPr>
                </pic:pic>
              </a:graphicData>
            </a:graphic>
          </wp:inline>
        </w:drawing>
      </w:r>
    </w:p>
    <w:p w14:paraId="32DF2AED" w14:textId="7757D610" w:rsidR="009B5315" w:rsidRDefault="009B5315" w:rsidP="00FB1939">
      <w:pPr>
        <w:rPr>
          <w:lang w:val="en-GB"/>
        </w:rPr>
      </w:pPr>
      <w:r>
        <w:rPr>
          <w:lang w:val="en-GB"/>
        </w:rPr>
        <w:t xml:space="preserve">Cross views continue to </w:t>
      </w:r>
      <w:r w:rsidR="00945C5C">
        <w:rPr>
          <w:lang w:val="en-GB"/>
        </w:rPr>
        <w:t xml:space="preserve">be </w:t>
      </w:r>
      <w:r>
        <w:rPr>
          <w:lang w:val="en-GB"/>
        </w:rPr>
        <w:t>higher in regional areas for both general practice and pharmacy</w:t>
      </w:r>
      <w:r w:rsidR="00397A7D">
        <w:rPr>
          <w:lang w:val="en-GB"/>
        </w:rPr>
        <w:t xml:space="preserve">, with a substantial increase in regional cross views by general practice in 2023–24 (571.5 views). </w:t>
      </w:r>
      <w:r w:rsidR="009B0833">
        <w:rPr>
          <w:lang w:val="en-GB"/>
        </w:rPr>
        <w:t>The number of c</w:t>
      </w:r>
      <w:r w:rsidR="00397A7D">
        <w:rPr>
          <w:lang w:val="en-GB"/>
        </w:rPr>
        <w:t xml:space="preserve">ross views for pharmacies has experienced a higher </w:t>
      </w:r>
      <w:r w:rsidR="00017F99">
        <w:rPr>
          <w:lang w:val="en-GB"/>
        </w:rPr>
        <w:t>rate</w:t>
      </w:r>
      <w:r w:rsidR="00397A7D">
        <w:rPr>
          <w:lang w:val="en-GB"/>
        </w:rPr>
        <w:t xml:space="preserve"> of growth in </w:t>
      </w:r>
      <w:r w:rsidR="00674494">
        <w:rPr>
          <w:lang w:val="en-GB"/>
        </w:rPr>
        <w:t>metropolitan</w:t>
      </w:r>
      <w:r w:rsidR="00397A7D">
        <w:rPr>
          <w:lang w:val="en-GB"/>
        </w:rPr>
        <w:t xml:space="preserve"> PHN </w:t>
      </w:r>
      <w:r w:rsidR="00674494">
        <w:rPr>
          <w:lang w:val="en-GB"/>
        </w:rPr>
        <w:t>areas</w:t>
      </w:r>
      <w:r w:rsidR="00397A7D">
        <w:rPr>
          <w:lang w:val="en-GB"/>
        </w:rPr>
        <w:t xml:space="preserve"> than </w:t>
      </w:r>
      <w:r w:rsidR="00674494">
        <w:rPr>
          <w:lang w:val="en-GB"/>
        </w:rPr>
        <w:t>regional areas</w:t>
      </w:r>
      <w:r w:rsidR="00397A7D">
        <w:rPr>
          <w:lang w:val="en-GB"/>
        </w:rPr>
        <w:t xml:space="preserve"> since the 2021–22 reporting period, increasing by 176 per cent compared to 134 per cent, however cross view rates in regional areas continues to be </w:t>
      </w:r>
      <w:r w:rsidR="00C14C90">
        <w:rPr>
          <w:lang w:val="en-GB"/>
        </w:rPr>
        <w:t xml:space="preserve">significantly higher. </w:t>
      </w:r>
    </w:p>
    <w:p w14:paraId="5A6B1118" w14:textId="6BF72995" w:rsidR="004318FF" w:rsidRDefault="004318FF">
      <w:pPr>
        <w:spacing w:before="0" w:after="0" w:line="240" w:lineRule="auto"/>
        <w:rPr>
          <w:lang w:val="en-GB"/>
        </w:rPr>
      </w:pPr>
    </w:p>
    <w:p w14:paraId="0586A202" w14:textId="29097C8B" w:rsidR="00AF3A1B" w:rsidRPr="00B75FE0" w:rsidRDefault="00AF3A1B" w:rsidP="00B75FE0">
      <w:pPr>
        <w:pStyle w:val="FigureTitle"/>
        <w:keepNext/>
      </w:pPr>
      <w:r>
        <w:lastRenderedPageBreak/>
        <w:t>Figure 2</w:t>
      </w:r>
      <w:r w:rsidR="00743B06">
        <w:t>8</w:t>
      </w:r>
      <w:r>
        <w:t>:</w:t>
      </w:r>
      <w:r w:rsidR="00B1059A">
        <w:t xml:space="preserve"> Average cross views </w:t>
      </w:r>
      <w:r w:rsidR="00EF17A8">
        <w:t>per</w:t>
      </w:r>
      <w:r w:rsidR="00B1059A">
        <w:t xml:space="preserve"> general practice, by PHN remoteness</w:t>
      </w:r>
      <w:r w:rsidR="00DF3875">
        <w:t>, 2018–19 to 2023–24</w:t>
      </w:r>
    </w:p>
    <w:p w14:paraId="25B49AE1" w14:textId="68112194" w:rsidR="005659D8" w:rsidRDefault="005659D8" w:rsidP="00FB1939">
      <w:pPr>
        <w:rPr>
          <w:lang w:val="en-GB"/>
        </w:rPr>
      </w:pPr>
      <w:r>
        <w:rPr>
          <w:noProof/>
        </w:rPr>
        <w:drawing>
          <wp:inline distT="0" distB="0" distL="0" distR="0" wp14:anchorId="7442220C" wp14:editId="52D1480A">
            <wp:extent cx="5127955" cy="2442422"/>
            <wp:effectExtent l="0" t="0" r="0" b="0"/>
            <wp:docPr id="94237550" name="Picture 1" descr="Figure 28: A bar graph showing the average cross views per general practice, by PHN remoteness, 2018–1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7550" name="Picture 1" descr="Figure 28: A bar graph showing the average cross views per general practice, by PHN remoteness, 2018–19 to 2023–24"/>
                    <pic:cNvPicPr/>
                  </pic:nvPicPr>
                  <pic:blipFill>
                    <a:blip r:embed="rId52"/>
                    <a:stretch>
                      <a:fillRect/>
                    </a:stretch>
                  </pic:blipFill>
                  <pic:spPr>
                    <a:xfrm>
                      <a:off x="0" y="0"/>
                      <a:ext cx="5137843" cy="2447131"/>
                    </a:xfrm>
                    <a:prstGeom prst="rect">
                      <a:avLst/>
                    </a:prstGeom>
                  </pic:spPr>
                </pic:pic>
              </a:graphicData>
            </a:graphic>
          </wp:inline>
        </w:drawing>
      </w:r>
    </w:p>
    <w:p w14:paraId="0FD6DD9B" w14:textId="77777777" w:rsidR="00A07E33" w:rsidRDefault="00A07E33" w:rsidP="00FB1939">
      <w:pPr>
        <w:rPr>
          <w:lang w:val="en-GB"/>
        </w:rPr>
      </w:pPr>
    </w:p>
    <w:p w14:paraId="1901CAB2" w14:textId="29F22972" w:rsidR="00AF3A1B" w:rsidRDefault="00AF3A1B" w:rsidP="00AF3A1B">
      <w:pPr>
        <w:pStyle w:val="FigureTitle"/>
      </w:pPr>
      <w:r>
        <w:t>Figure 2</w:t>
      </w:r>
      <w:r w:rsidR="00743B06">
        <w:t>9</w:t>
      </w:r>
      <w:r>
        <w:t>:</w:t>
      </w:r>
      <w:r w:rsidR="00B1059A">
        <w:t xml:space="preserve"> Average cross views </w:t>
      </w:r>
      <w:r w:rsidR="00EF17A8">
        <w:t>per</w:t>
      </w:r>
      <w:r w:rsidR="00B1059A">
        <w:t xml:space="preserve"> pharmac</w:t>
      </w:r>
      <w:r w:rsidR="00EF17A8">
        <w:t>y</w:t>
      </w:r>
      <w:r w:rsidR="00B1059A">
        <w:t>, by PHN remoteness</w:t>
      </w:r>
      <w:r w:rsidR="00DF3875">
        <w:t>, 2018–19 to 2023</w:t>
      </w:r>
      <w:r w:rsidR="00EF17A8">
        <w:noBreakHyphen/>
      </w:r>
      <w:r w:rsidR="00DF3875">
        <w:t>24</w:t>
      </w:r>
    </w:p>
    <w:p w14:paraId="3AB5D909" w14:textId="46DD1236" w:rsidR="00C14C90" w:rsidRDefault="009F6408" w:rsidP="00FB1939">
      <w:pPr>
        <w:rPr>
          <w:lang w:val="en-GB"/>
        </w:rPr>
      </w:pPr>
      <w:r>
        <w:rPr>
          <w:noProof/>
        </w:rPr>
        <w:drawing>
          <wp:inline distT="0" distB="0" distL="0" distR="0" wp14:anchorId="2A108593" wp14:editId="7B7FCCA8">
            <wp:extent cx="5200650" cy="2537988"/>
            <wp:effectExtent l="0" t="0" r="0" b="0"/>
            <wp:docPr id="67357907" name="Picture 1" descr="Figure 29: A bar graph showing the average cross views per pharmacy, by PHN remoteness, 2018–19 to 2023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7907" name="Picture 1" descr="Figure 29: A bar graph showing the average cross views per pharmacy, by PHN remoteness, 2018–19 to 2023 24"/>
                    <pic:cNvPicPr/>
                  </pic:nvPicPr>
                  <pic:blipFill>
                    <a:blip r:embed="rId53"/>
                    <a:stretch>
                      <a:fillRect/>
                    </a:stretch>
                  </pic:blipFill>
                  <pic:spPr>
                    <a:xfrm>
                      <a:off x="0" y="0"/>
                      <a:ext cx="5208526" cy="2541832"/>
                    </a:xfrm>
                    <a:prstGeom prst="rect">
                      <a:avLst/>
                    </a:prstGeom>
                  </pic:spPr>
                </pic:pic>
              </a:graphicData>
            </a:graphic>
          </wp:inline>
        </w:drawing>
      </w:r>
    </w:p>
    <w:p w14:paraId="17D0E1BD" w14:textId="77777777" w:rsidR="00B75FE0" w:rsidRDefault="00B75FE0" w:rsidP="00B75FE0">
      <w:pPr>
        <w:rPr>
          <w:lang w:val="en-GB"/>
        </w:rPr>
      </w:pPr>
    </w:p>
    <w:p w14:paraId="6933055C" w14:textId="70556A03" w:rsidR="00C36FA4" w:rsidRDefault="00C36FA4" w:rsidP="00C36FA4">
      <w:pPr>
        <w:pStyle w:val="Heading3"/>
      </w:pPr>
      <w:r>
        <w:rPr>
          <w:lang w:val="en-GB"/>
        </w:rPr>
        <w:t>MH3 –</w:t>
      </w:r>
      <w:r w:rsidR="000E3903">
        <w:rPr>
          <w:lang w:val="en-GB"/>
        </w:rPr>
        <w:t xml:space="preserve"> C</w:t>
      </w:r>
      <w:proofErr w:type="spellStart"/>
      <w:r w:rsidRPr="00427467">
        <w:t>oordination</w:t>
      </w:r>
      <w:proofErr w:type="spellEnd"/>
      <w:r w:rsidRPr="00427467">
        <w:t xml:space="preserve"> </w:t>
      </w:r>
      <w:r w:rsidR="000E3903">
        <w:t xml:space="preserve">of </w:t>
      </w:r>
      <w:r w:rsidR="00BE494A">
        <w:t>C</w:t>
      </w:r>
      <w:r w:rsidR="000E3903">
        <w:t>are –</w:t>
      </w:r>
      <w:r w:rsidRPr="00427467">
        <w:t xml:space="preserve"> </w:t>
      </w:r>
      <w:r w:rsidR="00BE494A">
        <w:t>S</w:t>
      </w:r>
      <w:r w:rsidRPr="00427467">
        <w:t xml:space="preserve">evere and </w:t>
      </w:r>
      <w:r w:rsidR="00BE494A">
        <w:t>C</w:t>
      </w:r>
      <w:r w:rsidRPr="00427467">
        <w:t xml:space="preserve">omplex </w:t>
      </w:r>
      <w:r w:rsidR="00BE494A">
        <w:t>M</w:t>
      </w:r>
      <w:r w:rsidRPr="00427467">
        <w:t xml:space="preserve">ental </w:t>
      </w:r>
      <w:r w:rsidR="00BE494A">
        <w:t>I</w:t>
      </w:r>
      <w:r w:rsidRPr="00427467">
        <w:t>llness</w:t>
      </w:r>
    </w:p>
    <w:p w14:paraId="56D62F5C" w14:textId="12D55CF7" w:rsidR="00FC03F6" w:rsidRDefault="00AE29EA" w:rsidP="00FC03F6">
      <w:r>
        <w:t>PHNs are responsible for commissioning</w:t>
      </w:r>
      <w:r w:rsidR="00DB1F1E">
        <w:t xml:space="preserve"> </w:t>
      </w:r>
      <w:r w:rsidR="007A003B">
        <w:t xml:space="preserve">high intensity psychological services for people and </w:t>
      </w:r>
      <w:r>
        <w:t xml:space="preserve">clinical care coordination </w:t>
      </w:r>
      <w:r w:rsidR="00DB1F1E">
        <w:t>mental health services for patients with severe and complex mental illness</w:t>
      </w:r>
      <w:r>
        <w:t xml:space="preserve">. </w:t>
      </w:r>
      <w:r w:rsidR="00FC03F6">
        <w:t xml:space="preserve">PHNs report on the increase or maintenance of service capacity to be assessed against this indicator, in turn providing an indication of activity and change over time. </w:t>
      </w:r>
    </w:p>
    <w:p w14:paraId="663BE2C9" w14:textId="637877E0" w:rsidR="00E03AE6" w:rsidRDefault="00F05A1E" w:rsidP="00DB1F1E">
      <w:r>
        <w:t xml:space="preserve">Access to PHN commissioned services </w:t>
      </w:r>
      <w:r w:rsidR="007A003B">
        <w:t xml:space="preserve">for people with severe and complex mental health needs </w:t>
      </w:r>
      <w:r>
        <w:t xml:space="preserve">has increased overall </w:t>
      </w:r>
      <w:r w:rsidR="007A003B">
        <w:t xml:space="preserve">based on </w:t>
      </w:r>
      <w:r>
        <w:t xml:space="preserve">the </w:t>
      </w:r>
      <w:r w:rsidR="00E03AE6">
        <w:t xml:space="preserve">average </w:t>
      </w:r>
      <w:r>
        <w:t xml:space="preserve">rate </w:t>
      </w:r>
      <w:r w:rsidR="00E03AE6">
        <w:t xml:space="preserve">of active clients per 100,000 PHN residents </w:t>
      </w:r>
      <w:r>
        <w:t>reported for 2021–22 (1</w:t>
      </w:r>
      <w:r w:rsidR="00E03AE6">
        <w:t>07.6</w:t>
      </w:r>
      <w:r>
        <w:t>) to 109.7 in 2022–23 and 122 in 2023–24</w:t>
      </w:r>
      <w:r w:rsidR="00E03AE6">
        <w:t xml:space="preserve">. The rate for 2023–24 is slightly lower than the rate for 2020–21 (125.8). </w:t>
      </w:r>
    </w:p>
    <w:p w14:paraId="5E19F4BB" w14:textId="0E37EE42" w:rsidR="004318FF" w:rsidRDefault="00AF3A1B" w:rsidP="00BA2DC0">
      <w:pPr>
        <w:pStyle w:val="FigureTitle"/>
        <w:keepNext/>
      </w:pPr>
      <w:r>
        <w:lastRenderedPageBreak/>
        <w:t xml:space="preserve">Figure </w:t>
      </w:r>
      <w:r w:rsidR="00743B06">
        <w:t>30</w:t>
      </w:r>
      <w:r>
        <w:t>:</w:t>
      </w:r>
      <w:r w:rsidR="00B1059A">
        <w:t xml:space="preserve"> Average rate receiving PHN commissioned clinical care coordination services for people with severe and complex mental illness</w:t>
      </w:r>
      <w:r w:rsidR="00EF2FE7">
        <w:t>, per 100,000 population</w:t>
      </w:r>
      <w:r w:rsidR="00DF3875">
        <w:t>, 2018–19 to 2023–24</w:t>
      </w:r>
      <w:r w:rsidR="007A003B">
        <w:rPr>
          <w:rStyle w:val="FootnoteReference"/>
        </w:rPr>
        <w:footnoteReference w:id="39"/>
      </w:r>
    </w:p>
    <w:p w14:paraId="56A3CEDD" w14:textId="77777777" w:rsidR="009F6408" w:rsidRDefault="009F6408" w:rsidP="002B7E07"/>
    <w:p w14:paraId="705E9976" w14:textId="4D18B369" w:rsidR="00E03AE6" w:rsidRDefault="009F6408" w:rsidP="00DB1F1E">
      <w:r>
        <w:rPr>
          <w:noProof/>
        </w:rPr>
        <w:drawing>
          <wp:inline distT="0" distB="0" distL="0" distR="0" wp14:anchorId="1F1D892D" wp14:editId="61B5DA1C">
            <wp:extent cx="5210175" cy="2369845"/>
            <wp:effectExtent l="0" t="0" r="0" b="0"/>
            <wp:docPr id="762071037" name="Picture 1" descr="Figure 30: A bar graph showing the average rate receiving PHN commissioned clinical care coordination services for people with severe and complex mental illness, per 100,000 population, 2018–1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71037" name="Picture 1" descr="Figure 30: A bar graph showing the average rate receiving PHN commissioned clinical care coordination services for people with severe and complex mental illness, per 100,000 population, 2018–19 to 2023–24"/>
                    <pic:cNvPicPr/>
                  </pic:nvPicPr>
                  <pic:blipFill>
                    <a:blip r:embed="rId54"/>
                    <a:stretch>
                      <a:fillRect/>
                    </a:stretch>
                  </pic:blipFill>
                  <pic:spPr>
                    <a:xfrm>
                      <a:off x="0" y="0"/>
                      <a:ext cx="5215504" cy="2372269"/>
                    </a:xfrm>
                    <a:prstGeom prst="rect">
                      <a:avLst/>
                    </a:prstGeom>
                  </pic:spPr>
                </pic:pic>
              </a:graphicData>
            </a:graphic>
          </wp:inline>
        </w:drawing>
      </w:r>
    </w:p>
    <w:p w14:paraId="4A5ABCEA" w14:textId="4ED43BC6" w:rsidR="00FC03F6" w:rsidRDefault="00564180" w:rsidP="00DB1F1E">
      <w:r>
        <w:t xml:space="preserve">As with other mental health indicators, mixed results show complex changes in service delivery. Some PHNs have recorded large increases, others have seen a decrease and some PHNs have reported fluctuating rates across the six reporting periods. </w:t>
      </w:r>
    </w:p>
    <w:p w14:paraId="7193CB51" w14:textId="3A36714B" w:rsidR="008837FC" w:rsidRDefault="008837FC" w:rsidP="008837FC">
      <w:r>
        <w:rPr>
          <w:lang w:val="en-GB"/>
        </w:rPr>
        <w:t>Please refer to MH1 (page 34) for a statement on data variability</w:t>
      </w:r>
      <w:r w:rsidR="003B7D48">
        <w:rPr>
          <w:lang w:val="en-GB"/>
        </w:rPr>
        <w:t xml:space="preserve"> </w:t>
      </w:r>
      <w:r w:rsidR="00D2160F">
        <w:rPr>
          <w:lang w:val="en-GB"/>
        </w:rPr>
        <w:t>and inability to compare figures across PHNs or over time</w:t>
      </w:r>
      <w:r>
        <w:rPr>
          <w:lang w:val="en-GB"/>
        </w:rPr>
        <w:t>.</w:t>
      </w:r>
    </w:p>
    <w:p w14:paraId="52D7E01A" w14:textId="77777777" w:rsidR="00855B3B" w:rsidRDefault="00855B3B" w:rsidP="00DB1F1E"/>
    <w:p w14:paraId="0D6BB2CD" w14:textId="3A3C96B7" w:rsidR="00AF3A1B" w:rsidRDefault="00AF3A1B" w:rsidP="00AF3A1B">
      <w:pPr>
        <w:pStyle w:val="FigureTitle"/>
      </w:pPr>
      <w:r>
        <w:rPr>
          <w:lang w:val="en-GB"/>
        </w:rPr>
        <w:t xml:space="preserve">Table </w:t>
      </w:r>
      <w:r w:rsidR="00E145CE">
        <w:rPr>
          <w:lang w:val="en-GB"/>
        </w:rPr>
        <w:t>6</w:t>
      </w:r>
      <w:r>
        <w:rPr>
          <w:lang w:val="en-GB"/>
        </w:rPr>
        <w:t>:</w:t>
      </w:r>
      <w:r w:rsidR="00B1059A">
        <w:rPr>
          <w:lang w:val="en-GB"/>
        </w:rPr>
        <w:t xml:space="preserve"> </w:t>
      </w:r>
      <w:r w:rsidR="00B1059A">
        <w:t xml:space="preserve">Population receiving </w:t>
      </w:r>
      <w:r w:rsidR="00411034">
        <w:t>PHN commissioned clinical care coordination services for people with severe and complex mental illness</w:t>
      </w:r>
      <w:r w:rsidR="00B1059A">
        <w:t>, per 100,000 population, by PHN</w:t>
      </w:r>
      <w:r w:rsidR="007A003B" w:rsidRPr="7F43BA72">
        <w:rPr>
          <w:rStyle w:val="FootnoteReference"/>
          <w:lang w:val="en-GB"/>
        </w:rPr>
        <w:footnoteReference w:id="40"/>
      </w:r>
    </w:p>
    <w:tbl>
      <w:tblPr>
        <w:tblStyle w:val="DepartmentofHealthtable"/>
        <w:tblW w:w="5000" w:type="pct"/>
        <w:tblLook w:val="04A0" w:firstRow="1" w:lastRow="0" w:firstColumn="1" w:lastColumn="0" w:noHBand="0" w:noVBand="1"/>
        <w:tblCaption w:val="Table 6: Population receiving PHN commissioned clinical care coordination services for people with severe and complex mental illness, per 100,000 population, by PHN"/>
        <w:tblDescription w:val="The table shows the rate per 100,000 population receiving PHN commissioned clinical care coordination services for people with severe and complex mental illness, by PHN region sorted by state and territory for each of the six years 2018-19 to 2023-24."/>
      </w:tblPr>
      <w:tblGrid>
        <w:gridCol w:w="4306"/>
        <w:gridCol w:w="2351"/>
        <w:gridCol w:w="2413"/>
      </w:tblGrid>
      <w:tr w:rsidR="009703E7" w:rsidRPr="00935776" w14:paraId="64E8C60A" w14:textId="77777777" w:rsidTr="00CB64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4" w:type="pct"/>
          </w:tcPr>
          <w:p w14:paraId="64260D15" w14:textId="77777777" w:rsidR="009703E7" w:rsidRPr="00935776" w:rsidRDefault="009703E7" w:rsidP="001C4212">
            <w:pPr>
              <w:pStyle w:val="TableHeaderWhite"/>
              <w:rPr>
                <w:sz w:val="18"/>
                <w:szCs w:val="18"/>
              </w:rPr>
            </w:pPr>
            <w:r w:rsidRPr="00935776">
              <w:rPr>
                <w:sz w:val="18"/>
                <w:szCs w:val="18"/>
              </w:rPr>
              <w:t>PHN</w:t>
            </w:r>
          </w:p>
        </w:tc>
        <w:tc>
          <w:tcPr>
            <w:tcW w:w="1296" w:type="pct"/>
          </w:tcPr>
          <w:p w14:paraId="4E2F8369" w14:textId="77777777" w:rsidR="009703E7" w:rsidRPr="00935776" w:rsidRDefault="009703E7" w:rsidP="001C4212">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2022–23</w:t>
            </w:r>
          </w:p>
        </w:tc>
        <w:tc>
          <w:tcPr>
            <w:tcW w:w="1330" w:type="pct"/>
          </w:tcPr>
          <w:p w14:paraId="0FD120EC" w14:textId="77777777" w:rsidR="009703E7" w:rsidRPr="00935776" w:rsidRDefault="009703E7" w:rsidP="001C4212">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35776">
              <w:rPr>
                <w:sz w:val="18"/>
                <w:szCs w:val="18"/>
              </w:rPr>
              <w:t>2023–24</w:t>
            </w:r>
          </w:p>
        </w:tc>
      </w:tr>
      <w:tr w:rsidR="009703E7" w:rsidRPr="00813F3E" w14:paraId="46BE8C70"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shd w:val="clear" w:color="auto" w:fill="E6E6E6" w:themeFill="background2"/>
          </w:tcPr>
          <w:p w14:paraId="5EBEFF6C" w14:textId="3652CB59" w:rsidR="009703E7" w:rsidRPr="00813F3E" w:rsidRDefault="009703E7" w:rsidP="001642EC">
            <w:pPr>
              <w:pStyle w:val="Tabletextleft"/>
              <w:rPr>
                <w:rFonts w:cs="Arial"/>
                <w:sz w:val="17"/>
                <w:szCs w:val="17"/>
                <w:lang w:eastAsia="en-AU"/>
              </w:rPr>
            </w:pPr>
            <w:r w:rsidRPr="00813F3E">
              <w:rPr>
                <w:rFonts w:cs="Arial"/>
                <w:b/>
                <w:bCs/>
                <w:sz w:val="17"/>
                <w:szCs w:val="17"/>
                <w:lang w:eastAsia="en-AU"/>
              </w:rPr>
              <w:t>New South Wales</w:t>
            </w:r>
          </w:p>
        </w:tc>
        <w:tc>
          <w:tcPr>
            <w:tcW w:w="1296" w:type="pct"/>
            <w:shd w:val="clear" w:color="auto" w:fill="E6E6E6" w:themeFill="background2"/>
            <w:vAlign w:val="bottom"/>
          </w:tcPr>
          <w:p w14:paraId="378B84AB" w14:textId="77777777"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c>
          <w:tcPr>
            <w:tcW w:w="1330" w:type="pct"/>
            <w:shd w:val="clear" w:color="auto" w:fill="E6E6E6" w:themeFill="background2"/>
            <w:vAlign w:val="bottom"/>
          </w:tcPr>
          <w:p w14:paraId="7E6D6B69" w14:textId="77777777"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r>
      <w:tr w:rsidR="009703E7" w:rsidRPr="00813F3E" w14:paraId="076933E6"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458BFA06" w14:textId="77777777" w:rsidR="009703E7" w:rsidRPr="00813F3E" w:rsidRDefault="009703E7" w:rsidP="001642EC">
            <w:pPr>
              <w:pStyle w:val="Tabletextleft"/>
              <w:rPr>
                <w:rFonts w:cs="Arial"/>
                <w:sz w:val="17"/>
                <w:szCs w:val="17"/>
              </w:rPr>
            </w:pPr>
            <w:r w:rsidRPr="00813F3E">
              <w:rPr>
                <w:rFonts w:cs="Arial"/>
                <w:sz w:val="17"/>
                <w:szCs w:val="17"/>
                <w:lang w:eastAsia="en-AU"/>
              </w:rPr>
              <w:t>Central and Eastern Sydney</w:t>
            </w:r>
          </w:p>
        </w:tc>
        <w:tc>
          <w:tcPr>
            <w:tcW w:w="1296" w:type="pct"/>
            <w:vAlign w:val="bottom"/>
          </w:tcPr>
          <w:p w14:paraId="5492330D" w14:textId="7B69292E"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59.6</w:t>
            </w:r>
          </w:p>
        </w:tc>
        <w:tc>
          <w:tcPr>
            <w:tcW w:w="1330" w:type="pct"/>
            <w:vAlign w:val="bottom"/>
          </w:tcPr>
          <w:p w14:paraId="07BD621A" w14:textId="1F9BB6A0"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92</w:t>
            </w:r>
          </w:p>
        </w:tc>
      </w:tr>
      <w:tr w:rsidR="009703E7" w:rsidRPr="00813F3E" w14:paraId="5EEE9637"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69F8B7B9" w14:textId="77777777" w:rsidR="009703E7" w:rsidRPr="00813F3E" w:rsidRDefault="009703E7" w:rsidP="001642EC">
            <w:pPr>
              <w:pStyle w:val="Tabletextleft"/>
              <w:rPr>
                <w:rFonts w:cs="Arial"/>
                <w:sz w:val="17"/>
                <w:szCs w:val="17"/>
              </w:rPr>
            </w:pPr>
            <w:r w:rsidRPr="00813F3E">
              <w:rPr>
                <w:rFonts w:cs="Arial"/>
                <w:sz w:val="17"/>
                <w:szCs w:val="17"/>
                <w:lang w:eastAsia="en-AU"/>
              </w:rPr>
              <w:t>Hunter New England and Central Coast</w:t>
            </w:r>
          </w:p>
        </w:tc>
        <w:tc>
          <w:tcPr>
            <w:tcW w:w="1296" w:type="pct"/>
            <w:vAlign w:val="bottom"/>
          </w:tcPr>
          <w:p w14:paraId="2322834D" w14:textId="255AD211"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80.9</w:t>
            </w:r>
          </w:p>
        </w:tc>
        <w:tc>
          <w:tcPr>
            <w:tcW w:w="1330" w:type="pct"/>
            <w:vAlign w:val="bottom"/>
          </w:tcPr>
          <w:p w14:paraId="7E13F6C3" w14:textId="28399F9B"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97.6</w:t>
            </w:r>
          </w:p>
        </w:tc>
      </w:tr>
      <w:tr w:rsidR="009703E7" w:rsidRPr="00813F3E" w14:paraId="338CC120"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0205B418" w14:textId="77777777" w:rsidR="009703E7" w:rsidRPr="00813F3E" w:rsidRDefault="009703E7" w:rsidP="001642EC">
            <w:pPr>
              <w:pStyle w:val="Tabletextleft"/>
              <w:rPr>
                <w:rFonts w:cs="Arial"/>
                <w:sz w:val="17"/>
                <w:szCs w:val="17"/>
              </w:rPr>
            </w:pPr>
            <w:r w:rsidRPr="00813F3E">
              <w:rPr>
                <w:rFonts w:cs="Arial"/>
                <w:sz w:val="17"/>
                <w:szCs w:val="17"/>
                <w:lang w:eastAsia="en-AU"/>
              </w:rPr>
              <w:t>Murrumbidgee</w:t>
            </w:r>
          </w:p>
        </w:tc>
        <w:tc>
          <w:tcPr>
            <w:tcW w:w="1296" w:type="pct"/>
            <w:vAlign w:val="bottom"/>
          </w:tcPr>
          <w:p w14:paraId="7D1F52EC" w14:textId="2F439C33"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306.1</w:t>
            </w:r>
          </w:p>
        </w:tc>
        <w:tc>
          <w:tcPr>
            <w:tcW w:w="1330" w:type="pct"/>
            <w:vAlign w:val="bottom"/>
          </w:tcPr>
          <w:p w14:paraId="35BD204C" w14:textId="4FCC16CF"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272.6</w:t>
            </w:r>
          </w:p>
        </w:tc>
      </w:tr>
      <w:tr w:rsidR="009703E7" w:rsidRPr="00813F3E" w14:paraId="35D8C130"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39D9C756" w14:textId="77777777" w:rsidR="009703E7" w:rsidRPr="00813F3E" w:rsidRDefault="009703E7" w:rsidP="001642EC">
            <w:pPr>
              <w:pStyle w:val="Tabletextleft"/>
              <w:rPr>
                <w:rFonts w:cs="Arial"/>
                <w:sz w:val="17"/>
                <w:szCs w:val="17"/>
              </w:rPr>
            </w:pPr>
            <w:r w:rsidRPr="00813F3E">
              <w:rPr>
                <w:rFonts w:cs="Arial"/>
                <w:sz w:val="17"/>
                <w:szCs w:val="17"/>
                <w:lang w:eastAsia="en-AU"/>
              </w:rPr>
              <w:t>Nepean Blue Mountains</w:t>
            </w:r>
          </w:p>
        </w:tc>
        <w:tc>
          <w:tcPr>
            <w:tcW w:w="1296" w:type="pct"/>
            <w:vAlign w:val="bottom"/>
          </w:tcPr>
          <w:p w14:paraId="792D11BD" w14:textId="061DFF73"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58.3</w:t>
            </w:r>
          </w:p>
        </w:tc>
        <w:tc>
          <w:tcPr>
            <w:tcW w:w="1330" w:type="pct"/>
            <w:vAlign w:val="bottom"/>
          </w:tcPr>
          <w:p w14:paraId="510E8A34" w14:textId="47DDA330"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48.3</w:t>
            </w:r>
          </w:p>
        </w:tc>
      </w:tr>
      <w:tr w:rsidR="009703E7" w:rsidRPr="00813F3E" w14:paraId="64361AFD"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57780F2D" w14:textId="77777777" w:rsidR="009703E7" w:rsidRPr="00813F3E" w:rsidRDefault="009703E7" w:rsidP="001642EC">
            <w:pPr>
              <w:pStyle w:val="Tabletextleft"/>
              <w:rPr>
                <w:rFonts w:cs="Arial"/>
                <w:sz w:val="17"/>
                <w:szCs w:val="17"/>
              </w:rPr>
            </w:pPr>
            <w:r w:rsidRPr="00813F3E">
              <w:rPr>
                <w:rFonts w:cs="Arial"/>
                <w:sz w:val="17"/>
                <w:szCs w:val="17"/>
                <w:lang w:eastAsia="en-AU"/>
              </w:rPr>
              <w:t>North Coast</w:t>
            </w:r>
          </w:p>
        </w:tc>
        <w:tc>
          <w:tcPr>
            <w:tcW w:w="1296" w:type="pct"/>
            <w:vAlign w:val="bottom"/>
          </w:tcPr>
          <w:p w14:paraId="3E9DD514" w14:textId="70592809"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119.9</w:t>
            </w:r>
          </w:p>
        </w:tc>
        <w:tc>
          <w:tcPr>
            <w:tcW w:w="1330" w:type="pct"/>
            <w:vAlign w:val="bottom"/>
          </w:tcPr>
          <w:p w14:paraId="48043370" w14:textId="2761C381"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138.3</w:t>
            </w:r>
          </w:p>
        </w:tc>
      </w:tr>
      <w:tr w:rsidR="009703E7" w:rsidRPr="00813F3E" w14:paraId="79ADA58B"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0AB64ACF" w14:textId="77777777" w:rsidR="009703E7" w:rsidRPr="00813F3E" w:rsidRDefault="009703E7" w:rsidP="001642EC">
            <w:pPr>
              <w:pStyle w:val="Tabletextleft"/>
              <w:rPr>
                <w:rFonts w:cs="Arial"/>
                <w:sz w:val="17"/>
                <w:szCs w:val="17"/>
              </w:rPr>
            </w:pPr>
            <w:r w:rsidRPr="00813F3E">
              <w:rPr>
                <w:rFonts w:cs="Arial"/>
                <w:sz w:val="17"/>
                <w:szCs w:val="17"/>
                <w:lang w:eastAsia="en-AU"/>
              </w:rPr>
              <w:t>Northern Sydney</w:t>
            </w:r>
          </w:p>
        </w:tc>
        <w:tc>
          <w:tcPr>
            <w:tcW w:w="1296" w:type="pct"/>
            <w:vAlign w:val="bottom"/>
          </w:tcPr>
          <w:p w14:paraId="58442877" w14:textId="7131AE98"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52.9</w:t>
            </w:r>
          </w:p>
        </w:tc>
        <w:tc>
          <w:tcPr>
            <w:tcW w:w="1330" w:type="pct"/>
            <w:vAlign w:val="bottom"/>
          </w:tcPr>
          <w:p w14:paraId="49D13366" w14:textId="1A040298"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67.2</w:t>
            </w:r>
          </w:p>
        </w:tc>
      </w:tr>
      <w:tr w:rsidR="009703E7" w:rsidRPr="00813F3E" w14:paraId="422CC52C"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15B4CF5E" w14:textId="77777777" w:rsidR="009703E7" w:rsidRPr="00813F3E" w:rsidRDefault="009703E7" w:rsidP="001642EC">
            <w:pPr>
              <w:pStyle w:val="Tabletextleft"/>
              <w:rPr>
                <w:rFonts w:cs="Arial"/>
                <w:sz w:val="17"/>
                <w:szCs w:val="17"/>
              </w:rPr>
            </w:pPr>
            <w:proofErr w:type="gramStart"/>
            <w:r w:rsidRPr="00813F3E">
              <w:rPr>
                <w:rFonts w:cs="Arial"/>
                <w:sz w:val="17"/>
                <w:szCs w:val="17"/>
                <w:lang w:eastAsia="en-AU"/>
              </w:rPr>
              <w:t>South Eastern</w:t>
            </w:r>
            <w:proofErr w:type="gramEnd"/>
            <w:r w:rsidRPr="00813F3E">
              <w:rPr>
                <w:rFonts w:cs="Arial"/>
                <w:sz w:val="17"/>
                <w:szCs w:val="17"/>
                <w:lang w:eastAsia="en-AU"/>
              </w:rPr>
              <w:t xml:space="preserve"> NSW</w:t>
            </w:r>
          </w:p>
        </w:tc>
        <w:tc>
          <w:tcPr>
            <w:tcW w:w="1296" w:type="pct"/>
            <w:vAlign w:val="bottom"/>
          </w:tcPr>
          <w:p w14:paraId="051826A7" w14:textId="1020EA89"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204.2</w:t>
            </w:r>
          </w:p>
        </w:tc>
        <w:tc>
          <w:tcPr>
            <w:tcW w:w="1330" w:type="pct"/>
            <w:vAlign w:val="bottom"/>
          </w:tcPr>
          <w:p w14:paraId="0A8F9AA8" w14:textId="59D25273"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238.8</w:t>
            </w:r>
          </w:p>
        </w:tc>
      </w:tr>
      <w:tr w:rsidR="009703E7" w:rsidRPr="00813F3E" w14:paraId="5DBF6072"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4A94EDEB" w14:textId="77777777" w:rsidR="009703E7" w:rsidRPr="00813F3E" w:rsidRDefault="009703E7" w:rsidP="001642EC">
            <w:pPr>
              <w:pStyle w:val="Tabletextleft"/>
              <w:rPr>
                <w:rFonts w:cs="Arial"/>
                <w:sz w:val="17"/>
                <w:szCs w:val="17"/>
              </w:rPr>
            </w:pPr>
            <w:proofErr w:type="gramStart"/>
            <w:r w:rsidRPr="00813F3E">
              <w:rPr>
                <w:rFonts w:cs="Arial"/>
                <w:sz w:val="17"/>
                <w:szCs w:val="17"/>
                <w:lang w:eastAsia="en-AU"/>
              </w:rPr>
              <w:lastRenderedPageBreak/>
              <w:t>South Western</w:t>
            </w:r>
            <w:proofErr w:type="gramEnd"/>
            <w:r w:rsidRPr="00813F3E">
              <w:rPr>
                <w:rFonts w:cs="Arial"/>
                <w:sz w:val="17"/>
                <w:szCs w:val="17"/>
                <w:lang w:eastAsia="en-AU"/>
              </w:rPr>
              <w:t xml:space="preserve"> Sydney</w:t>
            </w:r>
          </w:p>
        </w:tc>
        <w:tc>
          <w:tcPr>
            <w:tcW w:w="1296" w:type="pct"/>
            <w:vAlign w:val="bottom"/>
          </w:tcPr>
          <w:p w14:paraId="6E5C7B51" w14:textId="12D6E301"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41.6</w:t>
            </w:r>
          </w:p>
        </w:tc>
        <w:tc>
          <w:tcPr>
            <w:tcW w:w="1330" w:type="pct"/>
            <w:vAlign w:val="bottom"/>
          </w:tcPr>
          <w:p w14:paraId="6CF3BDA5" w14:textId="58CF5ED9"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32.1</w:t>
            </w:r>
          </w:p>
        </w:tc>
      </w:tr>
      <w:tr w:rsidR="009703E7" w:rsidRPr="00813F3E" w14:paraId="368C8A44"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11E3D8D9" w14:textId="77777777" w:rsidR="009703E7" w:rsidRPr="00813F3E" w:rsidRDefault="009703E7" w:rsidP="001642EC">
            <w:pPr>
              <w:pStyle w:val="Tabletextleft"/>
              <w:rPr>
                <w:rFonts w:cs="Arial"/>
                <w:sz w:val="17"/>
                <w:szCs w:val="17"/>
              </w:rPr>
            </w:pPr>
            <w:r w:rsidRPr="00813F3E">
              <w:rPr>
                <w:rFonts w:cs="Arial"/>
                <w:sz w:val="17"/>
                <w:szCs w:val="17"/>
                <w:lang w:eastAsia="en-AU"/>
              </w:rPr>
              <w:t>Western NSW</w:t>
            </w:r>
          </w:p>
        </w:tc>
        <w:tc>
          <w:tcPr>
            <w:tcW w:w="1296" w:type="pct"/>
            <w:vAlign w:val="bottom"/>
          </w:tcPr>
          <w:p w14:paraId="3A0C6E19" w14:textId="407C8F8D"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18.7</w:t>
            </w:r>
          </w:p>
        </w:tc>
        <w:tc>
          <w:tcPr>
            <w:tcW w:w="1330" w:type="pct"/>
            <w:vAlign w:val="bottom"/>
          </w:tcPr>
          <w:p w14:paraId="09E87992" w14:textId="059BFA21"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11.1</w:t>
            </w:r>
          </w:p>
        </w:tc>
      </w:tr>
      <w:tr w:rsidR="009703E7" w:rsidRPr="00813F3E" w14:paraId="0EF99A6C"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48A11D55" w14:textId="77777777" w:rsidR="009703E7" w:rsidRPr="00813F3E" w:rsidRDefault="009703E7" w:rsidP="001642EC">
            <w:pPr>
              <w:pStyle w:val="Tabletextleft"/>
              <w:rPr>
                <w:rFonts w:cs="Arial"/>
                <w:sz w:val="17"/>
                <w:szCs w:val="17"/>
              </w:rPr>
            </w:pPr>
            <w:r w:rsidRPr="00813F3E">
              <w:rPr>
                <w:rFonts w:cs="Arial"/>
                <w:sz w:val="17"/>
                <w:szCs w:val="17"/>
                <w:lang w:eastAsia="en-AU"/>
              </w:rPr>
              <w:t>Western Sydney</w:t>
            </w:r>
          </w:p>
        </w:tc>
        <w:tc>
          <w:tcPr>
            <w:tcW w:w="1296" w:type="pct"/>
            <w:vAlign w:val="bottom"/>
          </w:tcPr>
          <w:p w14:paraId="1FAB37AF" w14:textId="78BB2DC0"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119.6</w:t>
            </w:r>
          </w:p>
        </w:tc>
        <w:tc>
          <w:tcPr>
            <w:tcW w:w="1330" w:type="pct"/>
            <w:vAlign w:val="bottom"/>
          </w:tcPr>
          <w:p w14:paraId="0683F278" w14:textId="3FD720AD"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57.9</w:t>
            </w:r>
          </w:p>
        </w:tc>
      </w:tr>
      <w:tr w:rsidR="009703E7" w:rsidRPr="00813F3E" w14:paraId="40FD2DEC"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shd w:val="clear" w:color="auto" w:fill="E6E6E6" w:themeFill="background2"/>
          </w:tcPr>
          <w:p w14:paraId="17B7EDA2" w14:textId="56FA8539" w:rsidR="009703E7" w:rsidRPr="00813F3E" w:rsidRDefault="009703E7" w:rsidP="001642EC">
            <w:pPr>
              <w:pStyle w:val="Tabletextleft"/>
              <w:rPr>
                <w:rFonts w:cs="Arial"/>
                <w:sz w:val="17"/>
                <w:szCs w:val="17"/>
                <w:lang w:eastAsia="en-AU"/>
              </w:rPr>
            </w:pPr>
            <w:r w:rsidRPr="00813F3E">
              <w:rPr>
                <w:rFonts w:cs="Arial"/>
                <w:b/>
                <w:bCs/>
                <w:sz w:val="17"/>
                <w:szCs w:val="17"/>
                <w:lang w:eastAsia="en-AU"/>
              </w:rPr>
              <w:t>Victoria</w:t>
            </w:r>
          </w:p>
        </w:tc>
        <w:tc>
          <w:tcPr>
            <w:tcW w:w="1296" w:type="pct"/>
            <w:shd w:val="clear" w:color="auto" w:fill="E6E6E6" w:themeFill="background2"/>
            <w:vAlign w:val="bottom"/>
          </w:tcPr>
          <w:p w14:paraId="061C582F" w14:textId="77777777"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30" w:type="pct"/>
            <w:shd w:val="clear" w:color="auto" w:fill="E6E6E6" w:themeFill="background2"/>
            <w:vAlign w:val="bottom"/>
          </w:tcPr>
          <w:p w14:paraId="086FB847" w14:textId="77777777"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9703E7" w:rsidRPr="00813F3E" w14:paraId="4C283F1C"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5DD6EC9A" w14:textId="77777777" w:rsidR="009703E7" w:rsidRPr="00813F3E" w:rsidRDefault="009703E7" w:rsidP="001642EC">
            <w:pPr>
              <w:pStyle w:val="Tabletextleft"/>
              <w:rPr>
                <w:rFonts w:cs="Arial"/>
                <w:sz w:val="17"/>
                <w:szCs w:val="17"/>
              </w:rPr>
            </w:pPr>
            <w:r w:rsidRPr="00813F3E">
              <w:rPr>
                <w:rFonts w:cs="Arial"/>
                <w:sz w:val="17"/>
                <w:szCs w:val="17"/>
                <w:lang w:eastAsia="en-AU"/>
              </w:rPr>
              <w:t>Eastern Melbourne</w:t>
            </w:r>
          </w:p>
        </w:tc>
        <w:tc>
          <w:tcPr>
            <w:tcW w:w="1296" w:type="pct"/>
            <w:vAlign w:val="bottom"/>
          </w:tcPr>
          <w:p w14:paraId="0DF56142" w14:textId="3DEA586D"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16</w:t>
            </w:r>
          </w:p>
        </w:tc>
        <w:tc>
          <w:tcPr>
            <w:tcW w:w="1330" w:type="pct"/>
            <w:vAlign w:val="bottom"/>
          </w:tcPr>
          <w:p w14:paraId="19A0E2C4" w14:textId="6E464860"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12.3</w:t>
            </w:r>
          </w:p>
        </w:tc>
      </w:tr>
      <w:tr w:rsidR="009703E7" w:rsidRPr="00813F3E" w14:paraId="4A090EBA"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3F0A0112" w14:textId="77777777" w:rsidR="009703E7" w:rsidRPr="00813F3E" w:rsidRDefault="009703E7" w:rsidP="001642EC">
            <w:pPr>
              <w:pStyle w:val="Tabletextleft"/>
              <w:rPr>
                <w:rFonts w:cs="Arial"/>
                <w:sz w:val="17"/>
                <w:szCs w:val="17"/>
              </w:rPr>
            </w:pPr>
            <w:r w:rsidRPr="00813F3E">
              <w:rPr>
                <w:rFonts w:cs="Arial"/>
                <w:sz w:val="17"/>
                <w:szCs w:val="17"/>
                <w:lang w:eastAsia="en-AU"/>
              </w:rPr>
              <w:t>Gippsland</w:t>
            </w:r>
          </w:p>
        </w:tc>
        <w:tc>
          <w:tcPr>
            <w:tcW w:w="1296" w:type="pct"/>
            <w:vAlign w:val="bottom"/>
          </w:tcPr>
          <w:p w14:paraId="40F03F04" w14:textId="2E83CB22"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402.9</w:t>
            </w:r>
          </w:p>
        </w:tc>
        <w:tc>
          <w:tcPr>
            <w:tcW w:w="1330" w:type="pct"/>
            <w:vAlign w:val="bottom"/>
          </w:tcPr>
          <w:p w14:paraId="5BAE553E" w14:textId="1114B610"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470.8</w:t>
            </w:r>
          </w:p>
        </w:tc>
      </w:tr>
      <w:tr w:rsidR="009703E7" w:rsidRPr="00813F3E" w14:paraId="21A80CD4"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5886E24A" w14:textId="77777777" w:rsidR="009703E7" w:rsidRPr="00813F3E" w:rsidRDefault="009703E7" w:rsidP="001642EC">
            <w:pPr>
              <w:pStyle w:val="Tabletextleft"/>
              <w:rPr>
                <w:rFonts w:cs="Arial"/>
                <w:sz w:val="17"/>
                <w:szCs w:val="17"/>
              </w:rPr>
            </w:pPr>
            <w:r w:rsidRPr="00813F3E">
              <w:rPr>
                <w:rFonts w:cs="Arial"/>
                <w:sz w:val="17"/>
                <w:szCs w:val="17"/>
                <w:lang w:eastAsia="en-AU"/>
              </w:rPr>
              <w:t>Murray</w:t>
            </w:r>
          </w:p>
        </w:tc>
        <w:tc>
          <w:tcPr>
            <w:tcW w:w="1296" w:type="pct"/>
            <w:vAlign w:val="bottom"/>
          </w:tcPr>
          <w:p w14:paraId="3982F1A3" w14:textId="21E8F84A"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74.6</w:t>
            </w:r>
          </w:p>
        </w:tc>
        <w:tc>
          <w:tcPr>
            <w:tcW w:w="1330" w:type="pct"/>
            <w:vAlign w:val="bottom"/>
          </w:tcPr>
          <w:p w14:paraId="6F7CCBEC" w14:textId="0189F026"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74.6</w:t>
            </w:r>
          </w:p>
        </w:tc>
      </w:tr>
      <w:tr w:rsidR="009703E7" w:rsidRPr="00813F3E" w14:paraId="1A9A78E8"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4700F0AA" w14:textId="77777777" w:rsidR="009703E7" w:rsidRPr="00813F3E" w:rsidRDefault="009703E7" w:rsidP="001642EC">
            <w:pPr>
              <w:pStyle w:val="Tabletextleft"/>
              <w:rPr>
                <w:rFonts w:cs="Arial"/>
                <w:sz w:val="17"/>
                <w:szCs w:val="17"/>
              </w:rPr>
            </w:pPr>
            <w:proofErr w:type="gramStart"/>
            <w:r w:rsidRPr="00813F3E">
              <w:rPr>
                <w:rFonts w:cs="Arial"/>
                <w:sz w:val="17"/>
                <w:szCs w:val="17"/>
                <w:lang w:eastAsia="en-AU"/>
              </w:rPr>
              <w:t>North Western</w:t>
            </w:r>
            <w:proofErr w:type="gramEnd"/>
            <w:r w:rsidRPr="00813F3E">
              <w:rPr>
                <w:rFonts w:cs="Arial"/>
                <w:sz w:val="17"/>
                <w:szCs w:val="17"/>
                <w:lang w:eastAsia="en-AU"/>
              </w:rPr>
              <w:t xml:space="preserve"> Melbourne</w:t>
            </w:r>
          </w:p>
        </w:tc>
        <w:tc>
          <w:tcPr>
            <w:tcW w:w="1296" w:type="pct"/>
            <w:vAlign w:val="bottom"/>
          </w:tcPr>
          <w:p w14:paraId="77037A79" w14:textId="0BA6A16B"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36</w:t>
            </w:r>
          </w:p>
        </w:tc>
        <w:tc>
          <w:tcPr>
            <w:tcW w:w="1330" w:type="pct"/>
            <w:vAlign w:val="bottom"/>
          </w:tcPr>
          <w:p w14:paraId="5B7E62A0" w14:textId="3E09E1D4"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35.9</w:t>
            </w:r>
          </w:p>
        </w:tc>
      </w:tr>
      <w:tr w:rsidR="009703E7" w:rsidRPr="00813F3E" w14:paraId="0C0E11FD"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331D1B86" w14:textId="77777777" w:rsidR="009703E7" w:rsidRPr="00813F3E" w:rsidRDefault="009703E7" w:rsidP="001642EC">
            <w:pPr>
              <w:pStyle w:val="Tabletextleft"/>
              <w:rPr>
                <w:rFonts w:cs="Arial"/>
                <w:sz w:val="17"/>
                <w:szCs w:val="17"/>
              </w:rPr>
            </w:pPr>
            <w:proofErr w:type="gramStart"/>
            <w:r w:rsidRPr="00813F3E">
              <w:rPr>
                <w:rFonts w:cs="Arial"/>
                <w:sz w:val="17"/>
                <w:szCs w:val="17"/>
                <w:lang w:eastAsia="en-AU"/>
              </w:rPr>
              <w:t>South Eastern</w:t>
            </w:r>
            <w:proofErr w:type="gramEnd"/>
            <w:r w:rsidRPr="00813F3E">
              <w:rPr>
                <w:rFonts w:cs="Arial"/>
                <w:sz w:val="17"/>
                <w:szCs w:val="17"/>
                <w:lang w:eastAsia="en-AU"/>
              </w:rPr>
              <w:t xml:space="preserve"> Melbourne</w:t>
            </w:r>
          </w:p>
        </w:tc>
        <w:tc>
          <w:tcPr>
            <w:tcW w:w="1296" w:type="pct"/>
            <w:vAlign w:val="bottom"/>
          </w:tcPr>
          <w:p w14:paraId="41F5DFB3" w14:textId="5776E466"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38.9</w:t>
            </w:r>
          </w:p>
        </w:tc>
        <w:tc>
          <w:tcPr>
            <w:tcW w:w="1330" w:type="pct"/>
            <w:vAlign w:val="bottom"/>
          </w:tcPr>
          <w:p w14:paraId="1093AAD9" w14:textId="07250DAD"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35.6</w:t>
            </w:r>
          </w:p>
        </w:tc>
      </w:tr>
      <w:tr w:rsidR="009703E7" w:rsidRPr="00813F3E" w14:paraId="772A8038"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12D4D182" w14:textId="77777777" w:rsidR="009703E7" w:rsidRPr="00813F3E" w:rsidRDefault="009703E7" w:rsidP="001642EC">
            <w:pPr>
              <w:pStyle w:val="Tabletextleft"/>
              <w:rPr>
                <w:rFonts w:cs="Arial"/>
                <w:sz w:val="17"/>
                <w:szCs w:val="17"/>
              </w:rPr>
            </w:pPr>
            <w:r w:rsidRPr="00813F3E">
              <w:rPr>
                <w:rFonts w:cs="Arial"/>
                <w:sz w:val="17"/>
                <w:szCs w:val="17"/>
                <w:lang w:eastAsia="en-AU"/>
              </w:rPr>
              <w:t>Western Victoria</w:t>
            </w:r>
          </w:p>
        </w:tc>
        <w:tc>
          <w:tcPr>
            <w:tcW w:w="1296" w:type="pct"/>
            <w:vAlign w:val="bottom"/>
          </w:tcPr>
          <w:p w14:paraId="2138DAC5" w14:textId="0DFA2692"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58.9</w:t>
            </w:r>
          </w:p>
        </w:tc>
        <w:tc>
          <w:tcPr>
            <w:tcW w:w="1330" w:type="pct"/>
            <w:vAlign w:val="bottom"/>
          </w:tcPr>
          <w:p w14:paraId="1D2D8A97" w14:textId="50A671F3"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57.9</w:t>
            </w:r>
          </w:p>
        </w:tc>
      </w:tr>
      <w:tr w:rsidR="009703E7" w:rsidRPr="00813F3E" w14:paraId="2553E58A"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shd w:val="clear" w:color="auto" w:fill="E6E6E6" w:themeFill="background2"/>
          </w:tcPr>
          <w:p w14:paraId="009C8E76" w14:textId="24D2EDE5" w:rsidR="009703E7" w:rsidRPr="00813F3E" w:rsidRDefault="009703E7" w:rsidP="001642EC">
            <w:pPr>
              <w:pStyle w:val="Tabletextleft"/>
              <w:rPr>
                <w:rFonts w:cs="Arial"/>
                <w:sz w:val="17"/>
                <w:szCs w:val="17"/>
                <w:lang w:eastAsia="en-AU"/>
              </w:rPr>
            </w:pPr>
            <w:r w:rsidRPr="00813F3E">
              <w:rPr>
                <w:rFonts w:cs="Arial"/>
                <w:b/>
                <w:bCs/>
                <w:sz w:val="17"/>
                <w:szCs w:val="17"/>
                <w:lang w:eastAsia="en-AU"/>
              </w:rPr>
              <w:t>Queensland</w:t>
            </w:r>
          </w:p>
        </w:tc>
        <w:tc>
          <w:tcPr>
            <w:tcW w:w="1296" w:type="pct"/>
            <w:shd w:val="clear" w:color="auto" w:fill="E6E6E6" w:themeFill="background2"/>
            <w:vAlign w:val="bottom"/>
          </w:tcPr>
          <w:p w14:paraId="4E247564" w14:textId="77777777"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c>
          <w:tcPr>
            <w:tcW w:w="1330" w:type="pct"/>
            <w:shd w:val="clear" w:color="auto" w:fill="E6E6E6" w:themeFill="background2"/>
            <w:vAlign w:val="bottom"/>
          </w:tcPr>
          <w:p w14:paraId="67B852F8" w14:textId="77777777"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r>
      <w:tr w:rsidR="009703E7" w:rsidRPr="00813F3E" w14:paraId="780C331A"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0DE20DC5" w14:textId="77777777" w:rsidR="009703E7" w:rsidRPr="00813F3E" w:rsidRDefault="009703E7" w:rsidP="001642EC">
            <w:pPr>
              <w:pStyle w:val="Tabletextleft"/>
              <w:rPr>
                <w:rFonts w:cs="Arial"/>
                <w:sz w:val="17"/>
                <w:szCs w:val="17"/>
              </w:rPr>
            </w:pPr>
            <w:r w:rsidRPr="00813F3E">
              <w:rPr>
                <w:rFonts w:cs="Arial"/>
                <w:sz w:val="17"/>
                <w:szCs w:val="17"/>
                <w:lang w:eastAsia="en-AU"/>
              </w:rPr>
              <w:t>Brisbane North</w:t>
            </w:r>
          </w:p>
        </w:tc>
        <w:tc>
          <w:tcPr>
            <w:tcW w:w="1296" w:type="pct"/>
            <w:vAlign w:val="bottom"/>
          </w:tcPr>
          <w:p w14:paraId="2833E581" w14:textId="495B377A"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53.7</w:t>
            </w:r>
          </w:p>
        </w:tc>
        <w:tc>
          <w:tcPr>
            <w:tcW w:w="1330" w:type="pct"/>
            <w:vAlign w:val="bottom"/>
          </w:tcPr>
          <w:p w14:paraId="69F85CC7" w14:textId="4B6C1FEE"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93.6</w:t>
            </w:r>
          </w:p>
        </w:tc>
      </w:tr>
      <w:tr w:rsidR="009703E7" w:rsidRPr="00813F3E" w14:paraId="5CA1497C"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07117378" w14:textId="77777777" w:rsidR="009703E7" w:rsidRPr="00813F3E" w:rsidRDefault="009703E7" w:rsidP="001642EC">
            <w:pPr>
              <w:pStyle w:val="Tabletextleft"/>
              <w:rPr>
                <w:rFonts w:cs="Arial"/>
                <w:sz w:val="17"/>
                <w:szCs w:val="17"/>
              </w:rPr>
            </w:pPr>
            <w:r w:rsidRPr="00813F3E">
              <w:rPr>
                <w:rFonts w:cs="Arial"/>
                <w:sz w:val="17"/>
                <w:szCs w:val="17"/>
                <w:lang w:eastAsia="en-AU"/>
              </w:rPr>
              <w:t>Brisbane South</w:t>
            </w:r>
          </w:p>
        </w:tc>
        <w:tc>
          <w:tcPr>
            <w:tcW w:w="1296" w:type="pct"/>
            <w:vAlign w:val="bottom"/>
          </w:tcPr>
          <w:p w14:paraId="7CB6E9E8" w14:textId="60A2A688"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112</w:t>
            </w:r>
          </w:p>
        </w:tc>
        <w:tc>
          <w:tcPr>
            <w:tcW w:w="1330" w:type="pct"/>
            <w:vAlign w:val="bottom"/>
          </w:tcPr>
          <w:p w14:paraId="10385854" w14:textId="7D5FF6F6"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110.7</w:t>
            </w:r>
          </w:p>
        </w:tc>
      </w:tr>
      <w:tr w:rsidR="009703E7" w:rsidRPr="00813F3E" w14:paraId="76BB58F3"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328CF204" w14:textId="77777777" w:rsidR="009703E7" w:rsidRPr="00813F3E" w:rsidRDefault="009703E7" w:rsidP="001642EC">
            <w:pPr>
              <w:pStyle w:val="Tabletextleft"/>
              <w:rPr>
                <w:rFonts w:cs="Arial"/>
                <w:sz w:val="17"/>
                <w:szCs w:val="17"/>
              </w:rPr>
            </w:pPr>
            <w:r w:rsidRPr="00813F3E">
              <w:rPr>
                <w:rFonts w:cs="Arial"/>
                <w:sz w:val="17"/>
                <w:szCs w:val="17"/>
                <w:lang w:eastAsia="en-AU"/>
              </w:rPr>
              <w:t>Central Queensland, Wide Bay, Sunshine Coast</w:t>
            </w:r>
          </w:p>
        </w:tc>
        <w:tc>
          <w:tcPr>
            <w:tcW w:w="1296" w:type="pct"/>
            <w:vAlign w:val="center"/>
          </w:tcPr>
          <w:p w14:paraId="0241E980" w14:textId="3646D638"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69.2</w:t>
            </w:r>
          </w:p>
        </w:tc>
        <w:tc>
          <w:tcPr>
            <w:tcW w:w="1330" w:type="pct"/>
            <w:vAlign w:val="center"/>
          </w:tcPr>
          <w:p w14:paraId="35A7858E" w14:textId="5694F656"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51.4</w:t>
            </w:r>
          </w:p>
        </w:tc>
      </w:tr>
      <w:tr w:rsidR="009703E7" w:rsidRPr="00813F3E" w14:paraId="597A8E48"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0C50543F" w14:textId="77777777" w:rsidR="009703E7" w:rsidRPr="00813F3E" w:rsidRDefault="009703E7" w:rsidP="001642EC">
            <w:pPr>
              <w:pStyle w:val="Tabletextleft"/>
              <w:rPr>
                <w:rFonts w:cs="Arial"/>
                <w:sz w:val="17"/>
                <w:szCs w:val="17"/>
              </w:rPr>
            </w:pPr>
            <w:r w:rsidRPr="00813F3E">
              <w:rPr>
                <w:rFonts w:cs="Arial"/>
                <w:sz w:val="17"/>
                <w:szCs w:val="17"/>
                <w:lang w:eastAsia="en-AU"/>
              </w:rPr>
              <w:t>Darling Downs and West Moreton</w:t>
            </w:r>
          </w:p>
        </w:tc>
        <w:tc>
          <w:tcPr>
            <w:tcW w:w="1296" w:type="pct"/>
            <w:vAlign w:val="bottom"/>
          </w:tcPr>
          <w:p w14:paraId="4326703C" w14:textId="36458DE4"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121.8</w:t>
            </w:r>
          </w:p>
        </w:tc>
        <w:tc>
          <w:tcPr>
            <w:tcW w:w="1330" w:type="pct"/>
            <w:vAlign w:val="bottom"/>
          </w:tcPr>
          <w:p w14:paraId="34AC8517" w14:textId="25612CA9"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135.2</w:t>
            </w:r>
          </w:p>
        </w:tc>
      </w:tr>
      <w:tr w:rsidR="009703E7" w:rsidRPr="00813F3E" w14:paraId="6CF5461A"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4DB15292" w14:textId="77777777" w:rsidR="009703E7" w:rsidRPr="00813F3E" w:rsidRDefault="009703E7" w:rsidP="001642EC">
            <w:pPr>
              <w:pStyle w:val="Tabletextleft"/>
              <w:rPr>
                <w:rFonts w:cs="Arial"/>
                <w:sz w:val="17"/>
                <w:szCs w:val="17"/>
              </w:rPr>
            </w:pPr>
            <w:r w:rsidRPr="00813F3E">
              <w:rPr>
                <w:rFonts w:cs="Arial"/>
                <w:sz w:val="17"/>
                <w:szCs w:val="17"/>
                <w:lang w:eastAsia="en-AU"/>
              </w:rPr>
              <w:t>Gold Coast</w:t>
            </w:r>
          </w:p>
        </w:tc>
        <w:tc>
          <w:tcPr>
            <w:tcW w:w="1296" w:type="pct"/>
            <w:vAlign w:val="bottom"/>
          </w:tcPr>
          <w:p w14:paraId="5E5DA364" w14:textId="04384C8E"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48.4</w:t>
            </w:r>
          </w:p>
        </w:tc>
        <w:tc>
          <w:tcPr>
            <w:tcW w:w="1330" w:type="pct"/>
            <w:vAlign w:val="bottom"/>
          </w:tcPr>
          <w:p w14:paraId="495214D0" w14:textId="7EDD9AF4"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43.8</w:t>
            </w:r>
          </w:p>
        </w:tc>
      </w:tr>
      <w:tr w:rsidR="009703E7" w:rsidRPr="00813F3E" w14:paraId="2E40B747"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188F4BC8" w14:textId="77777777" w:rsidR="009703E7" w:rsidRPr="00813F3E" w:rsidRDefault="009703E7" w:rsidP="001642EC">
            <w:pPr>
              <w:pStyle w:val="Tabletextleft"/>
              <w:rPr>
                <w:rFonts w:cs="Arial"/>
                <w:sz w:val="17"/>
                <w:szCs w:val="17"/>
              </w:rPr>
            </w:pPr>
            <w:r w:rsidRPr="00813F3E">
              <w:rPr>
                <w:rFonts w:cs="Arial"/>
                <w:sz w:val="17"/>
                <w:szCs w:val="17"/>
                <w:lang w:eastAsia="en-AU"/>
              </w:rPr>
              <w:t>Northern Queensland</w:t>
            </w:r>
          </w:p>
        </w:tc>
        <w:tc>
          <w:tcPr>
            <w:tcW w:w="1296" w:type="pct"/>
            <w:vAlign w:val="bottom"/>
          </w:tcPr>
          <w:p w14:paraId="379E8B3F" w14:textId="03B4861A"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34.9</w:t>
            </w:r>
          </w:p>
        </w:tc>
        <w:tc>
          <w:tcPr>
            <w:tcW w:w="1330" w:type="pct"/>
            <w:vAlign w:val="bottom"/>
          </w:tcPr>
          <w:p w14:paraId="5850C920" w14:textId="3F895382"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37.7</w:t>
            </w:r>
          </w:p>
        </w:tc>
      </w:tr>
      <w:tr w:rsidR="009703E7" w:rsidRPr="00813F3E" w14:paraId="06F6E0B2"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03C3F2CB" w14:textId="77777777" w:rsidR="009703E7" w:rsidRPr="00813F3E" w:rsidRDefault="009703E7" w:rsidP="001642EC">
            <w:pPr>
              <w:pStyle w:val="Tabletextleft"/>
              <w:rPr>
                <w:rFonts w:cs="Arial"/>
                <w:sz w:val="17"/>
                <w:szCs w:val="17"/>
              </w:rPr>
            </w:pPr>
            <w:r w:rsidRPr="00813F3E">
              <w:rPr>
                <w:rFonts w:cs="Arial"/>
                <w:sz w:val="17"/>
                <w:szCs w:val="17"/>
                <w:lang w:eastAsia="en-AU"/>
              </w:rPr>
              <w:t>Western Queensland</w:t>
            </w:r>
          </w:p>
        </w:tc>
        <w:tc>
          <w:tcPr>
            <w:tcW w:w="1296" w:type="pct"/>
            <w:vAlign w:val="bottom"/>
          </w:tcPr>
          <w:p w14:paraId="5553B847" w14:textId="230BD5C7"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769.3</w:t>
            </w:r>
          </w:p>
        </w:tc>
        <w:tc>
          <w:tcPr>
            <w:tcW w:w="1330" w:type="pct"/>
            <w:vAlign w:val="bottom"/>
          </w:tcPr>
          <w:p w14:paraId="07D16406" w14:textId="1814E63D"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1064.7</w:t>
            </w:r>
          </w:p>
        </w:tc>
      </w:tr>
      <w:tr w:rsidR="009703E7" w:rsidRPr="00813F3E" w14:paraId="7B33F64F"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shd w:val="clear" w:color="auto" w:fill="E6E6E6" w:themeFill="background2"/>
          </w:tcPr>
          <w:p w14:paraId="20E6B20D" w14:textId="561414C1" w:rsidR="009703E7" w:rsidRPr="00813F3E" w:rsidRDefault="009703E7" w:rsidP="001642EC">
            <w:pPr>
              <w:pStyle w:val="Tabletextleft"/>
              <w:rPr>
                <w:rFonts w:cs="Arial"/>
                <w:sz w:val="17"/>
                <w:szCs w:val="17"/>
                <w:lang w:eastAsia="en-AU"/>
              </w:rPr>
            </w:pPr>
            <w:r w:rsidRPr="00813F3E">
              <w:rPr>
                <w:rFonts w:cs="Arial"/>
                <w:b/>
                <w:bCs/>
                <w:sz w:val="17"/>
                <w:szCs w:val="17"/>
                <w:lang w:eastAsia="en-AU"/>
              </w:rPr>
              <w:t>South Australia</w:t>
            </w:r>
          </w:p>
        </w:tc>
        <w:tc>
          <w:tcPr>
            <w:tcW w:w="1296" w:type="pct"/>
            <w:shd w:val="clear" w:color="auto" w:fill="E6E6E6" w:themeFill="background2"/>
            <w:vAlign w:val="bottom"/>
          </w:tcPr>
          <w:p w14:paraId="0373157E" w14:textId="77777777"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c>
          <w:tcPr>
            <w:tcW w:w="1330" w:type="pct"/>
            <w:shd w:val="clear" w:color="auto" w:fill="E6E6E6" w:themeFill="background2"/>
            <w:vAlign w:val="bottom"/>
          </w:tcPr>
          <w:p w14:paraId="710C2D54" w14:textId="77777777"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color w:val="auto"/>
                <w:sz w:val="17"/>
                <w:szCs w:val="17"/>
                <w:lang w:eastAsia="en-AU"/>
              </w:rPr>
            </w:pPr>
          </w:p>
        </w:tc>
      </w:tr>
      <w:tr w:rsidR="009703E7" w:rsidRPr="00813F3E" w14:paraId="582EEE0C"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6990ECCD" w14:textId="77777777" w:rsidR="009703E7" w:rsidRPr="00813F3E" w:rsidRDefault="009703E7" w:rsidP="001642EC">
            <w:pPr>
              <w:pStyle w:val="Tabletextleft"/>
              <w:rPr>
                <w:rFonts w:cs="Arial"/>
                <w:sz w:val="17"/>
                <w:szCs w:val="17"/>
              </w:rPr>
            </w:pPr>
            <w:r w:rsidRPr="00813F3E">
              <w:rPr>
                <w:rFonts w:cs="Arial"/>
                <w:sz w:val="17"/>
                <w:szCs w:val="17"/>
                <w:lang w:eastAsia="en-AU"/>
              </w:rPr>
              <w:t>Adelaide</w:t>
            </w:r>
          </w:p>
        </w:tc>
        <w:tc>
          <w:tcPr>
            <w:tcW w:w="1296" w:type="pct"/>
            <w:vAlign w:val="bottom"/>
          </w:tcPr>
          <w:p w14:paraId="16C319F3" w14:textId="1B14CCE0"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47.3</w:t>
            </w:r>
          </w:p>
        </w:tc>
        <w:tc>
          <w:tcPr>
            <w:tcW w:w="1330" w:type="pct"/>
            <w:vAlign w:val="bottom"/>
          </w:tcPr>
          <w:p w14:paraId="55C741AA" w14:textId="08047A55"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16.5</w:t>
            </w:r>
          </w:p>
        </w:tc>
      </w:tr>
      <w:tr w:rsidR="009703E7" w:rsidRPr="00813F3E" w14:paraId="6E6BA7AB"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1B6F33A7" w14:textId="77777777" w:rsidR="009703E7" w:rsidRPr="00813F3E" w:rsidRDefault="009703E7" w:rsidP="001642EC">
            <w:pPr>
              <w:pStyle w:val="Tabletextleft"/>
              <w:rPr>
                <w:rFonts w:cs="Arial"/>
                <w:sz w:val="17"/>
                <w:szCs w:val="17"/>
              </w:rPr>
            </w:pPr>
            <w:r w:rsidRPr="00813F3E">
              <w:rPr>
                <w:rFonts w:cs="Arial"/>
                <w:sz w:val="17"/>
                <w:szCs w:val="17"/>
                <w:lang w:eastAsia="en-AU"/>
              </w:rPr>
              <w:t>Country SA</w:t>
            </w:r>
          </w:p>
        </w:tc>
        <w:tc>
          <w:tcPr>
            <w:tcW w:w="1296" w:type="pct"/>
            <w:vAlign w:val="bottom"/>
          </w:tcPr>
          <w:p w14:paraId="7EA051EF" w14:textId="56869304"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125.9</w:t>
            </w:r>
          </w:p>
        </w:tc>
        <w:tc>
          <w:tcPr>
            <w:tcW w:w="1330" w:type="pct"/>
            <w:vAlign w:val="bottom"/>
          </w:tcPr>
          <w:p w14:paraId="67742992" w14:textId="03C2D20E"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141.9</w:t>
            </w:r>
          </w:p>
        </w:tc>
      </w:tr>
      <w:tr w:rsidR="009703E7" w:rsidRPr="00813F3E" w14:paraId="1D1E35E9"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shd w:val="clear" w:color="auto" w:fill="E6E6E6" w:themeFill="background2"/>
          </w:tcPr>
          <w:p w14:paraId="0103326F" w14:textId="1F42CEDF" w:rsidR="009703E7" w:rsidRPr="00813F3E" w:rsidRDefault="009703E7" w:rsidP="001642EC">
            <w:pPr>
              <w:pStyle w:val="Tabletextleft"/>
              <w:keepNext/>
              <w:rPr>
                <w:rFonts w:cs="Arial"/>
                <w:sz w:val="17"/>
                <w:szCs w:val="17"/>
                <w:lang w:eastAsia="en-AU"/>
              </w:rPr>
            </w:pPr>
            <w:r w:rsidRPr="00813F3E">
              <w:rPr>
                <w:rFonts w:cs="Arial"/>
                <w:b/>
                <w:bCs/>
                <w:sz w:val="17"/>
                <w:szCs w:val="17"/>
                <w:lang w:eastAsia="en-AU"/>
              </w:rPr>
              <w:t>Western Australia</w:t>
            </w:r>
          </w:p>
        </w:tc>
        <w:tc>
          <w:tcPr>
            <w:tcW w:w="1296" w:type="pct"/>
            <w:shd w:val="clear" w:color="auto" w:fill="E6E6E6" w:themeFill="background2"/>
            <w:vAlign w:val="bottom"/>
          </w:tcPr>
          <w:p w14:paraId="59C8E3A0" w14:textId="77777777"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30" w:type="pct"/>
            <w:shd w:val="clear" w:color="auto" w:fill="E6E6E6" w:themeFill="background2"/>
            <w:vAlign w:val="bottom"/>
          </w:tcPr>
          <w:p w14:paraId="0AD15E60" w14:textId="77777777"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9703E7" w:rsidRPr="00813F3E" w14:paraId="27E1E5D1"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3CA877D3" w14:textId="77777777" w:rsidR="009703E7" w:rsidRPr="00813F3E" w:rsidRDefault="009703E7" w:rsidP="001642EC">
            <w:pPr>
              <w:pStyle w:val="Tabletextleft"/>
              <w:keepNext/>
              <w:rPr>
                <w:rFonts w:cs="Arial"/>
                <w:sz w:val="17"/>
                <w:szCs w:val="17"/>
              </w:rPr>
            </w:pPr>
            <w:r w:rsidRPr="00813F3E">
              <w:rPr>
                <w:rFonts w:cs="Arial"/>
                <w:sz w:val="17"/>
                <w:szCs w:val="17"/>
                <w:lang w:eastAsia="en-AU"/>
              </w:rPr>
              <w:t>Country WA</w:t>
            </w:r>
          </w:p>
        </w:tc>
        <w:tc>
          <w:tcPr>
            <w:tcW w:w="1296" w:type="pct"/>
            <w:vAlign w:val="bottom"/>
          </w:tcPr>
          <w:p w14:paraId="6C01B2F2" w14:textId="152172B6"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21.4</w:t>
            </w:r>
          </w:p>
        </w:tc>
        <w:tc>
          <w:tcPr>
            <w:tcW w:w="1330" w:type="pct"/>
            <w:vAlign w:val="bottom"/>
          </w:tcPr>
          <w:p w14:paraId="183AEEA5" w14:textId="3F3A62B2"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17.9</w:t>
            </w:r>
          </w:p>
        </w:tc>
      </w:tr>
      <w:tr w:rsidR="009703E7" w:rsidRPr="00813F3E" w14:paraId="2F1EDC31"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203A4D68" w14:textId="77777777" w:rsidR="009703E7" w:rsidRPr="00813F3E" w:rsidRDefault="009703E7" w:rsidP="001642EC">
            <w:pPr>
              <w:pStyle w:val="Tabletextleft"/>
              <w:rPr>
                <w:rFonts w:cs="Arial"/>
                <w:sz w:val="17"/>
                <w:szCs w:val="17"/>
              </w:rPr>
            </w:pPr>
            <w:r w:rsidRPr="00813F3E">
              <w:rPr>
                <w:rFonts w:cs="Arial"/>
                <w:sz w:val="17"/>
                <w:szCs w:val="17"/>
                <w:lang w:eastAsia="en-AU"/>
              </w:rPr>
              <w:t>Perth North</w:t>
            </w:r>
          </w:p>
        </w:tc>
        <w:tc>
          <w:tcPr>
            <w:tcW w:w="1296" w:type="pct"/>
            <w:vAlign w:val="bottom"/>
          </w:tcPr>
          <w:p w14:paraId="66DB1282" w14:textId="2C12A5D9"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47.2</w:t>
            </w:r>
          </w:p>
        </w:tc>
        <w:tc>
          <w:tcPr>
            <w:tcW w:w="1330" w:type="pct"/>
            <w:vAlign w:val="bottom"/>
          </w:tcPr>
          <w:p w14:paraId="7D61E1C2" w14:textId="62714062"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sz w:val="17"/>
                <w:szCs w:val="17"/>
              </w:rPr>
            </w:pPr>
            <w:r w:rsidRPr="00813F3E">
              <w:rPr>
                <w:rFonts w:cs="Arial"/>
                <w:color w:val="auto"/>
                <w:sz w:val="17"/>
                <w:szCs w:val="17"/>
                <w:lang w:eastAsia="en-AU"/>
              </w:rPr>
              <w:t>44.1</w:t>
            </w:r>
          </w:p>
        </w:tc>
      </w:tr>
      <w:tr w:rsidR="009703E7" w:rsidRPr="00813F3E" w14:paraId="3E23DCD4"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4DF2226F" w14:textId="77777777" w:rsidR="009703E7" w:rsidRPr="00813F3E" w:rsidRDefault="009703E7" w:rsidP="001642EC">
            <w:pPr>
              <w:pStyle w:val="Tabletextleft"/>
              <w:rPr>
                <w:rFonts w:cs="Arial"/>
                <w:sz w:val="17"/>
                <w:szCs w:val="17"/>
              </w:rPr>
            </w:pPr>
            <w:r w:rsidRPr="00813F3E">
              <w:rPr>
                <w:rFonts w:cs="Arial"/>
                <w:sz w:val="17"/>
                <w:szCs w:val="17"/>
                <w:lang w:eastAsia="en-AU"/>
              </w:rPr>
              <w:t>Perth South</w:t>
            </w:r>
          </w:p>
        </w:tc>
        <w:tc>
          <w:tcPr>
            <w:tcW w:w="1296" w:type="pct"/>
            <w:vAlign w:val="bottom"/>
          </w:tcPr>
          <w:p w14:paraId="374E8FEC" w14:textId="582FB653"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35.8</w:t>
            </w:r>
          </w:p>
        </w:tc>
        <w:tc>
          <w:tcPr>
            <w:tcW w:w="1330" w:type="pct"/>
            <w:vAlign w:val="bottom"/>
          </w:tcPr>
          <w:p w14:paraId="5BF41704" w14:textId="39727089"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37.4</w:t>
            </w:r>
          </w:p>
        </w:tc>
      </w:tr>
      <w:tr w:rsidR="009703E7" w:rsidRPr="00813F3E" w14:paraId="487A8E35"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shd w:val="clear" w:color="auto" w:fill="E6E6E6" w:themeFill="background2"/>
          </w:tcPr>
          <w:p w14:paraId="730F7669" w14:textId="67100AB2" w:rsidR="009703E7" w:rsidRPr="00813F3E" w:rsidRDefault="009703E7" w:rsidP="00871404">
            <w:pPr>
              <w:pStyle w:val="Tabletextleft"/>
              <w:keepNext/>
              <w:rPr>
                <w:rFonts w:cs="Arial"/>
                <w:sz w:val="17"/>
                <w:szCs w:val="17"/>
                <w:lang w:eastAsia="en-AU"/>
              </w:rPr>
            </w:pPr>
            <w:r w:rsidRPr="00813F3E">
              <w:rPr>
                <w:rFonts w:cs="Arial"/>
                <w:b/>
                <w:bCs/>
                <w:sz w:val="17"/>
                <w:szCs w:val="17"/>
                <w:lang w:eastAsia="en-AU"/>
              </w:rPr>
              <w:t>Tasmania</w:t>
            </w:r>
          </w:p>
        </w:tc>
        <w:tc>
          <w:tcPr>
            <w:tcW w:w="1296" w:type="pct"/>
            <w:shd w:val="clear" w:color="auto" w:fill="E6E6E6" w:themeFill="background2"/>
            <w:vAlign w:val="bottom"/>
          </w:tcPr>
          <w:p w14:paraId="73934679" w14:textId="77777777"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30" w:type="pct"/>
            <w:shd w:val="clear" w:color="auto" w:fill="E6E6E6" w:themeFill="background2"/>
            <w:vAlign w:val="bottom"/>
          </w:tcPr>
          <w:p w14:paraId="74039510" w14:textId="77777777"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9703E7" w:rsidRPr="00813F3E" w14:paraId="2234F2E9"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11B0A268" w14:textId="77777777" w:rsidR="009703E7" w:rsidRPr="00813F3E" w:rsidRDefault="009703E7" w:rsidP="001642EC">
            <w:pPr>
              <w:pStyle w:val="Tabletextleft"/>
              <w:rPr>
                <w:rFonts w:cs="Arial"/>
                <w:sz w:val="17"/>
                <w:szCs w:val="17"/>
              </w:rPr>
            </w:pPr>
            <w:r w:rsidRPr="00813F3E">
              <w:rPr>
                <w:rFonts w:cs="Arial"/>
                <w:sz w:val="17"/>
                <w:szCs w:val="17"/>
                <w:lang w:eastAsia="en-AU"/>
              </w:rPr>
              <w:t>Tasmania</w:t>
            </w:r>
          </w:p>
        </w:tc>
        <w:tc>
          <w:tcPr>
            <w:tcW w:w="1296" w:type="pct"/>
            <w:vAlign w:val="bottom"/>
          </w:tcPr>
          <w:p w14:paraId="38281835" w14:textId="41BA6A19"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96.4</w:t>
            </w:r>
          </w:p>
        </w:tc>
        <w:tc>
          <w:tcPr>
            <w:tcW w:w="1330" w:type="pct"/>
            <w:vAlign w:val="bottom"/>
          </w:tcPr>
          <w:p w14:paraId="75358B7B" w14:textId="582BC0B4"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102</w:t>
            </w:r>
          </w:p>
        </w:tc>
      </w:tr>
      <w:tr w:rsidR="009703E7" w:rsidRPr="00813F3E" w14:paraId="7DEBC3AA"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shd w:val="clear" w:color="auto" w:fill="E6E6E6" w:themeFill="background2"/>
          </w:tcPr>
          <w:p w14:paraId="3F4EE774" w14:textId="0DF26BF2" w:rsidR="009703E7" w:rsidRPr="00813F3E" w:rsidRDefault="009703E7" w:rsidP="001642EC">
            <w:pPr>
              <w:pStyle w:val="Tabletextleft"/>
              <w:rPr>
                <w:rFonts w:cs="Arial"/>
                <w:sz w:val="17"/>
                <w:szCs w:val="17"/>
                <w:lang w:eastAsia="en-AU"/>
              </w:rPr>
            </w:pPr>
            <w:r w:rsidRPr="00813F3E">
              <w:rPr>
                <w:rFonts w:cs="Arial"/>
                <w:b/>
                <w:bCs/>
                <w:sz w:val="17"/>
                <w:szCs w:val="17"/>
                <w:lang w:eastAsia="en-AU"/>
              </w:rPr>
              <w:t>Northern Territory</w:t>
            </w:r>
          </w:p>
        </w:tc>
        <w:tc>
          <w:tcPr>
            <w:tcW w:w="1296" w:type="pct"/>
            <w:shd w:val="clear" w:color="auto" w:fill="E6E6E6" w:themeFill="background2"/>
            <w:vAlign w:val="bottom"/>
          </w:tcPr>
          <w:p w14:paraId="60D347FC" w14:textId="77777777"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30" w:type="pct"/>
            <w:shd w:val="clear" w:color="auto" w:fill="E6E6E6" w:themeFill="background2"/>
            <w:vAlign w:val="bottom"/>
          </w:tcPr>
          <w:p w14:paraId="247D81DD" w14:textId="77777777"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9703E7" w:rsidRPr="00813F3E" w14:paraId="30173A4E"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4AAE0A66" w14:textId="77777777" w:rsidR="009703E7" w:rsidRPr="00813F3E" w:rsidRDefault="009703E7" w:rsidP="001642EC">
            <w:pPr>
              <w:pStyle w:val="Tabletextleft"/>
              <w:rPr>
                <w:rFonts w:cs="Arial"/>
                <w:sz w:val="17"/>
                <w:szCs w:val="17"/>
              </w:rPr>
            </w:pPr>
            <w:r w:rsidRPr="00813F3E">
              <w:rPr>
                <w:rFonts w:cs="Arial"/>
                <w:sz w:val="17"/>
                <w:szCs w:val="17"/>
                <w:lang w:eastAsia="en-AU"/>
              </w:rPr>
              <w:t>Northern Territory</w:t>
            </w:r>
          </w:p>
        </w:tc>
        <w:tc>
          <w:tcPr>
            <w:tcW w:w="1296" w:type="pct"/>
            <w:vAlign w:val="bottom"/>
          </w:tcPr>
          <w:p w14:paraId="4166667D" w14:textId="3716B0D9"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109.3</w:t>
            </w:r>
          </w:p>
        </w:tc>
        <w:tc>
          <w:tcPr>
            <w:tcW w:w="1330" w:type="pct"/>
            <w:vAlign w:val="bottom"/>
          </w:tcPr>
          <w:p w14:paraId="107693F8" w14:textId="7C8B4D78"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117.2</w:t>
            </w:r>
          </w:p>
        </w:tc>
      </w:tr>
      <w:tr w:rsidR="009703E7" w:rsidRPr="00813F3E" w14:paraId="5B7B7B0F" w14:textId="77777777" w:rsidTr="00CB64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shd w:val="clear" w:color="auto" w:fill="E6E6E6" w:themeFill="background2"/>
          </w:tcPr>
          <w:p w14:paraId="61D666CF" w14:textId="46813B12" w:rsidR="009703E7" w:rsidRPr="00813F3E" w:rsidRDefault="009703E7" w:rsidP="001642EC">
            <w:pPr>
              <w:pStyle w:val="Tabletextleft"/>
              <w:rPr>
                <w:rFonts w:cs="Arial"/>
                <w:sz w:val="17"/>
                <w:szCs w:val="17"/>
                <w:lang w:eastAsia="en-AU"/>
              </w:rPr>
            </w:pPr>
            <w:r w:rsidRPr="00813F3E">
              <w:rPr>
                <w:rFonts w:cs="Arial"/>
                <w:b/>
                <w:bCs/>
                <w:sz w:val="17"/>
                <w:szCs w:val="17"/>
                <w:lang w:eastAsia="en-AU"/>
              </w:rPr>
              <w:t>Australian Capital Territory</w:t>
            </w:r>
          </w:p>
        </w:tc>
        <w:tc>
          <w:tcPr>
            <w:tcW w:w="1296" w:type="pct"/>
            <w:shd w:val="clear" w:color="auto" w:fill="E6E6E6" w:themeFill="background2"/>
            <w:vAlign w:val="bottom"/>
          </w:tcPr>
          <w:p w14:paraId="2E22340B" w14:textId="77777777"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c>
          <w:tcPr>
            <w:tcW w:w="1330" w:type="pct"/>
            <w:shd w:val="clear" w:color="auto" w:fill="E6E6E6" w:themeFill="background2"/>
            <w:vAlign w:val="bottom"/>
          </w:tcPr>
          <w:p w14:paraId="71336375" w14:textId="77777777" w:rsidR="009703E7" w:rsidRPr="00813F3E" w:rsidRDefault="009703E7" w:rsidP="001642EC">
            <w:pPr>
              <w:pStyle w:val="Tabletextleft"/>
              <w:jc w:val="center"/>
              <w:cnfStyle w:val="000000010000" w:firstRow="0" w:lastRow="0" w:firstColumn="0" w:lastColumn="0" w:oddVBand="0" w:evenVBand="0" w:oddHBand="0" w:evenHBand="1" w:firstRowFirstColumn="0" w:firstRowLastColumn="0" w:lastRowFirstColumn="0" w:lastRowLastColumn="0"/>
              <w:rPr>
                <w:rFonts w:cs="Arial"/>
                <w:color w:val="auto"/>
                <w:sz w:val="17"/>
                <w:szCs w:val="17"/>
                <w:lang w:eastAsia="en-AU"/>
              </w:rPr>
            </w:pPr>
          </w:p>
        </w:tc>
      </w:tr>
      <w:tr w:rsidR="009703E7" w:rsidRPr="00813F3E" w14:paraId="46801E9F" w14:textId="77777777" w:rsidTr="00CB64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74" w:type="pct"/>
          </w:tcPr>
          <w:p w14:paraId="0CB2B6AD" w14:textId="77777777" w:rsidR="009703E7" w:rsidRPr="00813F3E" w:rsidRDefault="009703E7" w:rsidP="001642EC">
            <w:pPr>
              <w:pStyle w:val="Tabletextleft"/>
              <w:rPr>
                <w:rFonts w:cs="Arial"/>
                <w:sz w:val="17"/>
                <w:szCs w:val="17"/>
              </w:rPr>
            </w:pPr>
            <w:r w:rsidRPr="00813F3E">
              <w:rPr>
                <w:rFonts w:cs="Arial"/>
                <w:sz w:val="17"/>
                <w:szCs w:val="17"/>
                <w:lang w:eastAsia="en-AU"/>
              </w:rPr>
              <w:t>Australian Capital Territory</w:t>
            </w:r>
          </w:p>
        </w:tc>
        <w:tc>
          <w:tcPr>
            <w:tcW w:w="1296" w:type="pct"/>
            <w:vAlign w:val="bottom"/>
          </w:tcPr>
          <w:p w14:paraId="499319F1" w14:textId="07C256B7"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19.5</w:t>
            </w:r>
          </w:p>
        </w:tc>
        <w:tc>
          <w:tcPr>
            <w:tcW w:w="1330" w:type="pct"/>
            <w:vAlign w:val="bottom"/>
          </w:tcPr>
          <w:p w14:paraId="2B5712FC" w14:textId="45855650" w:rsidR="009703E7" w:rsidRPr="00813F3E" w:rsidRDefault="009703E7" w:rsidP="001642EC">
            <w:pPr>
              <w:pStyle w:val="Tabletextleft"/>
              <w:jc w:val="center"/>
              <w:cnfStyle w:val="000000100000" w:firstRow="0" w:lastRow="0" w:firstColumn="0" w:lastColumn="0" w:oddVBand="0" w:evenVBand="0" w:oddHBand="1" w:evenHBand="0" w:firstRowFirstColumn="0" w:firstRowLastColumn="0" w:lastRowFirstColumn="0" w:lastRowLastColumn="0"/>
              <w:rPr>
                <w:rFonts w:cs="Arial"/>
                <w:sz w:val="17"/>
                <w:szCs w:val="17"/>
              </w:rPr>
            </w:pPr>
            <w:r w:rsidRPr="00813F3E">
              <w:rPr>
                <w:rFonts w:cs="Arial"/>
                <w:color w:val="auto"/>
                <w:sz w:val="17"/>
                <w:szCs w:val="17"/>
                <w:lang w:eastAsia="en-AU"/>
              </w:rPr>
              <w:t>24.6</w:t>
            </w:r>
          </w:p>
        </w:tc>
      </w:tr>
    </w:tbl>
    <w:p w14:paraId="13063E33" w14:textId="77777777" w:rsidR="00FC03F6" w:rsidRDefault="00FC03F6" w:rsidP="00DB1F1E"/>
    <w:p w14:paraId="41584B1C" w14:textId="1C75DD6E" w:rsidR="00DB1F1E" w:rsidRDefault="00FC03F6" w:rsidP="00FC03F6">
      <w:pPr>
        <w:pStyle w:val="Heading3"/>
      </w:pPr>
      <w:r>
        <w:t>MH4 –</w:t>
      </w:r>
      <w:r w:rsidR="000E3903">
        <w:t xml:space="preserve"> I</w:t>
      </w:r>
      <w:r w:rsidRPr="00427467">
        <w:t xml:space="preserve">ntegrated </w:t>
      </w:r>
      <w:r w:rsidR="00BE494A">
        <w:t>P</w:t>
      </w:r>
      <w:r w:rsidRPr="00427467">
        <w:t xml:space="preserve">lanning and </w:t>
      </w:r>
      <w:r w:rsidR="00BE494A">
        <w:t>S</w:t>
      </w:r>
      <w:r w:rsidRPr="00427467">
        <w:t xml:space="preserve">ervice </w:t>
      </w:r>
      <w:r w:rsidR="00BE494A">
        <w:t>D</w:t>
      </w:r>
      <w:r w:rsidRPr="00427467">
        <w:t>elivery</w:t>
      </w:r>
    </w:p>
    <w:p w14:paraId="3BF821EC" w14:textId="641BA82A" w:rsidR="00FC03F6" w:rsidRDefault="00C7725A" w:rsidP="00184541">
      <w:r>
        <w:t>In</w:t>
      </w:r>
      <w:r w:rsidR="006439CE">
        <w:t xml:space="preserve"> partnership with </w:t>
      </w:r>
      <w:r w:rsidR="00A46C1B">
        <w:t>Local Health Networks (or equivalent) and relevant stakeholders</w:t>
      </w:r>
      <w:r w:rsidR="00184541">
        <w:t xml:space="preserve">, </w:t>
      </w:r>
      <w:r>
        <w:t xml:space="preserve">PHNs </w:t>
      </w:r>
      <w:r w:rsidR="00184541">
        <w:t xml:space="preserve">are required to </w:t>
      </w:r>
      <w:r w:rsidR="00A46C1B">
        <w:t>develop</w:t>
      </w:r>
      <w:r w:rsidR="00184541">
        <w:t xml:space="preserve"> a Joint Regional Mental Health and Suicide Prevention Plan. Coordinated service delivery across multiple providers and jurisdictions is essential for identifying needs and gaps, as well as reduc</w:t>
      </w:r>
      <w:r w:rsidR="00B878B0">
        <w:t>ing</w:t>
      </w:r>
      <w:r w:rsidR="00184541">
        <w:t xml:space="preserve"> duplication of services and inefficiencies. Plans should be reviewed regularly and updated as required. </w:t>
      </w:r>
    </w:p>
    <w:p w14:paraId="4560332F" w14:textId="7EEF2B4E" w:rsidR="00184541" w:rsidRDefault="00866E2A" w:rsidP="00FC03F6">
      <w:r>
        <w:lastRenderedPageBreak/>
        <w:t xml:space="preserve">For the 2022–23 </w:t>
      </w:r>
      <w:r w:rsidR="00642B33">
        <w:t xml:space="preserve">and 2024–25 </w:t>
      </w:r>
      <w:r>
        <w:t>reporting period</w:t>
      </w:r>
      <w:r w:rsidR="00642B33">
        <w:t>s</w:t>
      </w:r>
      <w:r>
        <w:t xml:space="preserve"> all PHNs were assessed as meeting this indicator. One PHN </w:t>
      </w:r>
      <w:r w:rsidR="00642B33">
        <w:t>received an extension for</w:t>
      </w:r>
      <w:r>
        <w:t xml:space="preserve"> renew</w:t>
      </w:r>
      <w:r w:rsidR="00642B33">
        <w:t>al of</w:t>
      </w:r>
      <w:r>
        <w:t xml:space="preserve"> </w:t>
      </w:r>
      <w:r w:rsidR="00B878B0">
        <w:t>the</w:t>
      </w:r>
      <w:r w:rsidR="00642B33">
        <w:t>ir</w:t>
      </w:r>
      <w:r w:rsidR="00B878B0">
        <w:t xml:space="preserve"> </w:t>
      </w:r>
      <w:r>
        <w:t xml:space="preserve">Joint Regional Mental Health and Suicide Prevention Plan for their region. </w:t>
      </w:r>
    </w:p>
    <w:p w14:paraId="46D75348" w14:textId="77777777" w:rsidR="009D5389" w:rsidRDefault="009D5389" w:rsidP="00FC03F6"/>
    <w:p w14:paraId="0A5B9CF2" w14:textId="7C530038" w:rsidR="00184541" w:rsidRDefault="00184541" w:rsidP="00184541">
      <w:pPr>
        <w:pStyle w:val="Heading3"/>
      </w:pPr>
      <w:r w:rsidRPr="000602D8">
        <w:t>MH5</w:t>
      </w:r>
      <w:r>
        <w:t xml:space="preserve"> – </w:t>
      </w:r>
      <w:r w:rsidR="000E3903">
        <w:t xml:space="preserve">Suicide </w:t>
      </w:r>
      <w:r w:rsidR="00BE494A">
        <w:t>P</w:t>
      </w:r>
      <w:r w:rsidR="000E3903">
        <w:t xml:space="preserve">revention and </w:t>
      </w:r>
      <w:r w:rsidR="00BE494A">
        <w:t>R</w:t>
      </w:r>
      <w:r w:rsidR="000E3903">
        <w:t>eferral</w:t>
      </w:r>
    </w:p>
    <w:p w14:paraId="385114A5" w14:textId="7BF7BE3A" w:rsidR="00184541" w:rsidRDefault="00184541" w:rsidP="00FC03F6">
      <w:r>
        <w:t xml:space="preserve">PHNs </w:t>
      </w:r>
      <w:r w:rsidR="00A46C1B">
        <w:t xml:space="preserve">are required to support a systems-based regional approach to </w:t>
      </w:r>
      <w:r>
        <w:t>planning and coordinatin</w:t>
      </w:r>
      <w:r w:rsidR="00A46C1B">
        <w:t>g</w:t>
      </w:r>
      <w:r>
        <w:t xml:space="preserve"> suicide prevention activities for their region. To ensure the utmost care and support for </w:t>
      </w:r>
      <w:r w:rsidR="00C7725A">
        <w:t>vulnerable individuals</w:t>
      </w:r>
      <w:r>
        <w:t xml:space="preserve">, PHNs are expected to work with </w:t>
      </w:r>
      <w:r w:rsidR="00EF2FE7">
        <w:t>L</w:t>
      </w:r>
      <w:r>
        <w:t xml:space="preserve">ocal </w:t>
      </w:r>
      <w:r w:rsidR="00EF2FE7" w:rsidRPr="004E4EAF">
        <w:t>H</w:t>
      </w:r>
      <w:r w:rsidRPr="004E4EAF">
        <w:t>ospital</w:t>
      </w:r>
      <w:r>
        <w:t xml:space="preserve"> </w:t>
      </w:r>
      <w:r w:rsidR="00EF2FE7">
        <w:t>N</w:t>
      </w:r>
      <w:r>
        <w:t>etworks and other service providers to</w:t>
      </w:r>
      <w:r w:rsidR="00A46C1B">
        <w:t xml:space="preserve"> address the needs of people at risk of suicide, including Aboriginal and Torres Strait Islander people, and to give priority to follow-up care and support in the period after a suicide attempt</w:t>
      </w:r>
      <w:r w:rsidR="00C7725A">
        <w:t xml:space="preserve">. </w:t>
      </w:r>
    </w:p>
    <w:p w14:paraId="075E2FE1" w14:textId="2B4EF535" w:rsidR="00184541" w:rsidRDefault="005A6FFA" w:rsidP="00FC03F6">
      <w:r>
        <w:t xml:space="preserve">Following a slight decrease in the </w:t>
      </w:r>
      <w:r w:rsidR="00A46C1B">
        <w:t xml:space="preserve">average proportion of patients referred that were </w:t>
      </w:r>
      <w:r>
        <w:t>follow</w:t>
      </w:r>
      <w:r w:rsidR="00A46C1B">
        <w:t>ed</w:t>
      </w:r>
      <w:r>
        <w:t xml:space="preserve"> up </w:t>
      </w:r>
      <w:r w:rsidR="00A46C1B">
        <w:t xml:space="preserve">within </w:t>
      </w:r>
      <w:r w:rsidR="00017F99">
        <w:t>seven</w:t>
      </w:r>
      <w:r w:rsidR="00A46C1B">
        <w:t xml:space="preserve"> days </w:t>
      </w:r>
      <w:r>
        <w:t>for the 2022–23 reporting period to 66.5 per cent (from 67.8 per cent in 2021–22) the rate for 2023–24 has increased to 72.5 per cent</w:t>
      </w:r>
      <w:r w:rsidR="00A46C1B">
        <w:t xml:space="preserve"> – </w:t>
      </w:r>
      <w:r>
        <w:t xml:space="preserve">the highest rate recorded under the current reporting framework. The increase </w:t>
      </w:r>
      <w:r w:rsidR="00674494">
        <w:t>reflects a</w:t>
      </w:r>
      <w:r>
        <w:t xml:space="preserve"> greater </w:t>
      </w:r>
      <w:r w:rsidR="00D4471A">
        <w:t xml:space="preserve">proportion </w:t>
      </w:r>
      <w:r>
        <w:t xml:space="preserve">of </w:t>
      </w:r>
      <w:r w:rsidR="00D4471A">
        <w:t xml:space="preserve">patients </w:t>
      </w:r>
      <w:r>
        <w:t>follow</w:t>
      </w:r>
      <w:r w:rsidR="00D4471A">
        <w:t>ed</w:t>
      </w:r>
      <w:r>
        <w:t xml:space="preserve"> up in metropolitan PHN regions (68.8 per cent in 2021–22, 62.8 per cent in 2022–23 and 72 per cent in 2023–24) and continued steady growth in regional PHN areas (66.8 per cent in 2021–22, </w:t>
      </w:r>
      <w:r w:rsidRPr="00CD18D4">
        <w:t>70</w:t>
      </w:r>
      <w:r>
        <w:t xml:space="preserve"> per cent in 2022–23 and 73</w:t>
      </w:r>
      <w:r w:rsidR="00EB4D18">
        <w:t> </w:t>
      </w:r>
      <w:r>
        <w:t xml:space="preserve">per cent in 2023–24). </w:t>
      </w:r>
    </w:p>
    <w:p w14:paraId="435F9FCC" w14:textId="77777777" w:rsidR="00184541" w:rsidRDefault="00184541" w:rsidP="00FC03F6"/>
    <w:p w14:paraId="6CF042FE" w14:textId="7912F733" w:rsidR="00AF3A1B" w:rsidRDefault="00AF3A1B" w:rsidP="003C0F35">
      <w:pPr>
        <w:pStyle w:val="FigureTitle"/>
        <w:keepNext/>
        <w:rPr>
          <w:rFonts w:ascii="Helvetica" w:eastAsia="Cambria Math" w:hAnsi="Helvetica" w:cs="Helvetica"/>
        </w:rPr>
      </w:pPr>
      <w:r>
        <w:t>Figure 3</w:t>
      </w:r>
      <w:r w:rsidR="00743B06">
        <w:t>1</w:t>
      </w:r>
      <w:r>
        <w:t>:</w:t>
      </w:r>
      <w:r w:rsidR="00411034">
        <w:t xml:space="preserve"> </w:t>
      </w:r>
      <w:r w:rsidR="0033598E" w:rsidRPr="003C37BE">
        <w:rPr>
          <w:rFonts w:ascii="Helvetica" w:eastAsia="Cambria Math" w:hAnsi="Helvetica" w:cs="Helvetica"/>
        </w:rPr>
        <w:t>Proportion of people referred to PHN commissioned services due to a recent suicide attempt or because they were at risk of suicide followed up within 7</w:t>
      </w:r>
      <w:r w:rsidR="00EF2FE7">
        <w:rPr>
          <w:rFonts w:ascii="Helvetica" w:eastAsia="Cambria Math" w:hAnsi="Helvetica" w:cs="Helvetica"/>
        </w:rPr>
        <w:t> </w:t>
      </w:r>
      <w:r w:rsidR="0033598E" w:rsidRPr="003C37BE">
        <w:rPr>
          <w:rFonts w:ascii="Helvetica" w:eastAsia="Cambria Math" w:hAnsi="Helvetica" w:cs="Helvetica"/>
        </w:rPr>
        <w:t>days of referral</w:t>
      </w:r>
      <w:r w:rsidR="00DF3875">
        <w:rPr>
          <w:rFonts w:ascii="Helvetica" w:eastAsia="Cambria Math" w:hAnsi="Helvetica" w:cs="Helvetica"/>
        </w:rPr>
        <w:t>, 2018–19 to 2023–24</w:t>
      </w:r>
      <w:r w:rsidR="00D4471A" w:rsidRPr="7F43BA72">
        <w:rPr>
          <w:rStyle w:val="FootnoteReference"/>
          <w:rFonts w:ascii="Helvetica" w:eastAsia="Cambria Math" w:hAnsi="Helvetica" w:cs="Helvetica"/>
        </w:rPr>
        <w:footnoteReference w:id="41"/>
      </w:r>
    </w:p>
    <w:p w14:paraId="3A40F490" w14:textId="77777777" w:rsidR="009F6408" w:rsidRDefault="009F6408" w:rsidP="002B7E07"/>
    <w:p w14:paraId="774D57EA" w14:textId="01FBCEAE" w:rsidR="00340CD8" w:rsidRDefault="009F6408" w:rsidP="00FC03F6">
      <w:r>
        <w:rPr>
          <w:noProof/>
        </w:rPr>
        <w:drawing>
          <wp:inline distT="0" distB="0" distL="0" distR="0" wp14:anchorId="0DD0E552" wp14:editId="39139CCC">
            <wp:extent cx="5137809" cy="2538374"/>
            <wp:effectExtent l="0" t="0" r="5715" b="0"/>
            <wp:docPr id="1273983513" name="Picture 1" descr="Figure 31: A bar graph showing the proportion of people referred to PHN commissioned services due to a recent suicide attempt or because they were at risk of suicide followed up within 7 days of referral, 2018–19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83513" name="Picture 1" descr="Figure 31: A bar graph showing the proportion of people referred to PHN commissioned services due to a recent suicide attempt or because they were at risk of suicide followed up within 7 days of referral, 2018–19 to 2023–24"/>
                    <pic:cNvPicPr/>
                  </pic:nvPicPr>
                  <pic:blipFill>
                    <a:blip r:embed="rId55"/>
                    <a:stretch>
                      <a:fillRect/>
                    </a:stretch>
                  </pic:blipFill>
                  <pic:spPr>
                    <a:xfrm>
                      <a:off x="0" y="0"/>
                      <a:ext cx="5147540" cy="2543182"/>
                    </a:xfrm>
                    <a:prstGeom prst="rect">
                      <a:avLst/>
                    </a:prstGeom>
                  </pic:spPr>
                </pic:pic>
              </a:graphicData>
            </a:graphic>
          </wp:inline>
        </w:drawing>
      </w:r>
    </w:p>
    <w:p w14:paraId="440E22FB" w14:textId="77777777" w:rsidR="00A07E33" w:rsidRDefault="00A07E33" w:rsidP="00FC03F6"/>
    <w:p w14:paraId="71B872EF" w14:textId="000A41B8" w:rsidR="00184541" w:rsidRDefault="00184541" w:rsidP="00184541">
      <w:pPr>
        <w:pStyle w:val="Heading3"/>
      </w:pPr>
      <w:r>
        <w:lastRenderedPageBreak/>
        <w:t xml:space="preserve">FN7 – </w:t>
      </w:r>
      <w:r w:rsidR="000E3903">
        <w:t>Coordinate</w:t>
      </w:r>
      <w:r w:rsidR="00320208">
        <w:t>d</w:t>
      </w:r>
      <w:r w:rsidR="000E3903">
        <w:t xml:space="preserve"> </w:t>
      </w:r>
      <w:r w:rsidR="00BE494A">
        <w:t>C</w:t>
      </w:r>
      <w:r w:rsidR="000E3903">
        <w:t xml:space="preserve">are – </w:t>
      </w:r>
      <w:r w:rsidRPr="00427467">
        <w:t>I</w:t>
      </w:r>
      <w:r w:rsidR="000E3903">
        <w:t xml:space="preserve">ntegrated </w:t>
      </w:r>
      <w:r w:rsidRPr="00427467">
        <w:t>T</w:t>
      </w:r>
      <w:r w:rsidR="000E3903">
        <w:t xml:space="preserve">eam </w:t>
      </w:r>
      <w:r w:rsidRPr="00427467">
        <w:t>C</w:t>
      </w:r>
      <w:r w:rsidR="000E3903">
        <w:t>are</w:t>
      </w:r>
      <w:r w:rsidRPr="00427467">
        <w:t xml:space="preserve"> </w:t>
      </w:r>
    </w:p>
    <w:p w14:paraId="5B8155F5" w14:textId="24FAEB33" w:rsidR="00C7725A" w:rsidRDefault="00C7725A" w:rsidP="00C7725A">
      <w:r>
        <w:t xml:space="preserve">To support </w:t>
      </w:r>
      <w:r w:rsidR="002D1DA2">
        <w:t xml:space="preserve">Aboriginal and Torres Strait Islander people </w:t>
      </w:r>
      <w:r>
        <w:t>with chronic conditions to receive coordinated care</w:t>
      </w:r>
      <w:r w:rsidR="00674494">
        <w:t>,</w:t>
      </w:r>
      <w:r>
        <w:t xml:space="preserve"> PHNs have processes in place to identify, assess and complete enrolment in the </w:t>
      </w:r>
      <w:r w:rsidR="00087FBE">
        <w:t>I</w:t>
      </w:r>
      <w:r w:rsidR="00FC787E">
        <w:t xml:space="preserve">ntegrated </w:t>
      </w:r>
      <w:r w:rsidR="00087FBE">
        <w:t>T</w:t>
      </w:r>
      <w:r w:rsidR="00FC787E">
        <w:t xml:space="preserve">eam </w:t>
      </w:r>
      <w:r w:rsidR="00087FBE">
        <w:t>C</w:t>
      </w:r>
      <w:r w:rsidR="00FC787E">
        <w:t>are</w:t>
      </w:r>
      <w:r>
        <w:t xml:space="preserve"> program. PHNs report on processes in place for referral, intake and discharge for the ITC program. </w:t>
      </w:r>
    </w:p>
    <w:p w14:paraId="1654C97A" w14:textId="15DDD8FC" w:rsidR="000602D8" w:rsidRPr="00184541" w:rsidRDefault="000602D8" w:rsidP="00C7725A">
      <w:r>
        <w:t>For the 2022–23 and 2023–24 reporting periods all PHNs have been assessed as meeting this indicator (noting that three Queensland PHNs are no longer assessed for this indicator).</w:t>
      </w:r>
      <w:r w:rsidR="00674494">
        <w:rPr>
          <w:rStyle w:val="FootnoteReference"/>
        </w:rPr>
        <w:footnoteReference w:id="42"/>
      </w:r>
      <w:r>
        <w:t xml:space="preserve"> </w:t>
      </w:r>
      <w:r w:rsidR="00D3486B">
        <w:t>Information provided by PHNs includes processes for triage, intake and prioritisation of clients, including utilisation of central intake services. PHNs have also detailed processes for engagement with general practices, ITC providers and Care Coordinators, as well as the operation of outreach programs.</w:t>
      </w:r>
    </w:p>
    <w:p w14:paraId="584E6813" w14:textId="77777777" w:rsidR="00C7725A" w:rsidRDefault="00C7725A" w:rsidP="00B76981">
      <w:pPr>
        <w:pStyle w:val="Paragraphtext"/>
        <w:rPr>
          <w:lang w:val="en-GB" w:eastAsia="en-US"/>
        </w:rPr>
      </w:pPr>
    </w:p>
    <w:p w14:paraId="16D9C317" w14:textId="7E968A19" w:rsidR="00C7725A" w:rsidRDefault="00236316" w:rsidP="00236316">
      <w:pPr>
        <w:pStyle w:val="Heading3"/>
      </w:pPr>
      <w:r>
        <w:t>AOD2 –</w:t>
      </w:r>
      <w:r w:rsidR="000E3903">
        <w:t xml:space="preserve"> Partnerships – </w:t>
      </w:r>
      <w:r w:rsidR="00BE494A">
        <w:t>A</w:t>
      </w:r>
      <w:r w:rsidR="000E3903">
        <w:t xml:space="preserve">lcohol and </w:t>
      </w:r>
      <w:r w:rsidR="00BE494A">
        <w:t>O</w:t>
      </w:r>
      <w:r w:rsidR="000E3903">
        <w:t xml:space="preserve">ther </w:t>
      </w:r>
      <w:r w:rsidR="00BE494A">
        <w:t>D</w:t>
      </w:r>
      <w:r w:rsidRPr="00427467">
        <w:t xml:space="preserve">rug </w:t>
      </w:r>
      <w:r w:rsidR="00BE494A">
        <w:t>S</w:t>
      </w:r>
      <w:r w:rsidRPr="00427467">
        <w:t>ervices</w:t>
      </w:r>
    </w:p>
    <w:p w14:paraId="2FA283E0" w14:textId="5D391960" w:rsidR="00236316" w:rsidRDefault="00236316" w:rsidP="00236316">
      <w:r>
        <w:t xml:space="preserve">Partnership and collaboration with key local stakeholders in the provision of drug and alcohol treatment services facilitate a coordinated approach to service delivery, allowing for an integrated approach to drug and alcohol treatment services. PHNs are assessed on the information provided of formalised partnerships and collaboration within the PHN region. </w:t>
      </w:r>
    </w:p>
    <w:p w14:paraId="37B486FF" w14:textId="5DEF1457" w:rsidR="008C5647" w:rsidRDefault="008C5647" w:rsidP="008C5647">
      <w:r>
        <w:t xml:space="preserve">For the two reporting periods all PHNs have </w:t>
      </w:r>
      <w:r w:rsidR="0081627D">
        <w:t xml:space="preserve">been </w:t>
      </w:r>
      <w:r>
        <w:t>assessed as meeting this indicator</w:t>
      </w:r>
      <w:r w:rsidR="00D3486B">
        <w:t xml:space="preserve">, providing information about working in partnership with </w:t>
      </w:r>
      <w:r w:rsidR="0081627D">
        <w:t xml:space="preserve">local treatment service providers, state and local government, hospitals, </w:t>
      </w:r>
      <w:r w:rsidR="00313BD4">
        <w:t xml:space="preserve">Aboriginal and Torres Strait Islander </w:t>
      </w:r>
      <w:r w:rsidR="0081627D">
        <w:t>organisations, and advisory and community groups.</w:t>
      </w:r>
    </w:p>
    <w:p w14:paraId="31B96DF0" w14:textId="18ADC0A9" w:rsidR="00D43D80" w:rsidRDefault="00D5165B" w:rsidP="00D5165B">
      <w:pPr>
        <w:pStyle w:val="Heading3"/>
      </w:pPr>
      <w:r>
        <w:t>Conclusion</w:t>
      </w:r>
    </w:p>
    <w:p w14:paraId="20DAC133" w14:textId="530978A8" w:rsidR="00D5165B" w:rsidRDefault="00D5165B" w:rsidP="00D5165B">
      <w:r>
        <w:t>An increase in the delivery of coordinated services has been supported by reported growth in the use of health needs assessment tools and clinical care coordinat</w:t>
      </w:r>
      <w:r w:rsidR="005A7DFE">
        <w:t>ion</w:t>
      </w:r>
      <w:r>
        <w:t xml:space="preserve"> services, as well as processes to support Aboriginal and Torres Strait Islander people with chronic conditions through Integrated Team Care. </w:t>
      </w:r>
      <w:r w:rsidR="00D4471A">
        <w:t xml:space="preserve">Most </w:t>
      </w:r>
      <w:r>
        <w:t xml:space="preserve">PHNs have Joint Regional Mental Health and Suicide Prevention Plans in place and have continued to engage with key stakeholders for the delivery of alcohol and other drug services in their regions. The use of digital health technology to support the coordination of care has continued to grow and </w:t>
      </w:r>
      <w:r w:rsidR="00674494">
        <w:t xml:space="preserve">is </w:t>
      </w:r>
      <w:r>
        <w:t xml:space="preserve">particularly high in regional areas, providing valuable access to patient information regardless of location. Follow up services for referral to a PHN commissioned mental health service related to suicide has continued to increase, although </w:t>
      </w:r>
      <w:r w:rsidR="00986095">
        <w:t xml:space="preserve">PHNs </w:t>
      </w:r>
      <w:r w:rsidR="00674494">
        <w:t>are</w:t>
      </w:r>
      <w:r>
        <w:t xml:space="preserve"> still not meeting the indicator benchmark</w:t>
      </w:r>
      <w:r w:rsidR="005A7DFE">
        <w:t xml:space="preserve"> of 100 per cent</w:t>
      </w:r>
      <w:r>
        <w:t xml:space="preserve">. </w:t>
      </w:r>
    </w:p>
    <w:p w14:paraId="036A520F" w14:textId="3ACE22DC" w:rsidR="00B66927" w:rsidRDefault="00B66927">
      <w:pPr>
        <w:spacing w:before="0" w:after="0" w:line="240" w:lineRule="auto"/>
      </w:pPr>
      <w:r>
        <w:br w:type="page"/>
      </w:r>
    </w:p>
    <w:p w14:paraId="0962F0C3" w14:textId="71FB8488" w:rsidR="00D43D80" w:rsidRDefault="00D43D80" w:rsidP="00402795">
      <w:pPr>
        <w:pStyle w:val="Heading2"/>
        <w:rPr>
          <w:lang w:val="en-GB"/>
        </w:rPr>
      </w:pPr>
      <w:bookmarkStart w:id="20" w:name="_Toc212100677"/>
      <w:r>
        <w:rPr>
          <w:lang w:val="en-GB"/>
        </w:rPr>
        <w:lastRenderedPageBreak/>
        <w:t>Capable Organisations</w:t>
      </w:r>
      <w:bookmarkEnd w:id="20"/>
    </w:p>
    <w:p w14:paraId="4F0A0A88" w14:textId="69165DF7" w:rsidR="009873AE" w:rsidRDefault="00C07153" w:rsidP="003C3F1C">
      <w:pPr>
        <w:rPr>
          <w:lang w:val="en-GB"/>
        </w:rPr>
      </w:pPr>
      <w:r>
        <w:rPr>
          <w:lang w:val="en-GB"/>
        </w:rPr>
        <w:t>For</w:t>
      </w:r>
      <w:r w:rsidR="00F504E6">
        <w:rPr>
          <w:lang w:val="en-GB"/>
        </w:rPr>
        <w:t xml:space="preserve"> PHNs </w:t>
      </w:r>
      <w:r>
        <w:rPr>
          <w:lang w:val="en-GB"/>
        </w:rPr>
        <w:t>to</w:t>
      </w:r>
      <w:r w:rsidR="00F504E6">
        <w:rPr>
          <w:lang w:val="en-GB"/>
        </w:rPr>
        <w:t xml:space="preserve"> deliver a successful program they must have strong governance</w:t>
      </w:r>
      <w:r>
        <w:rPr>
          <w:lang w:val="en-GB"/>
        </w:rPr>
        <w:t>, reporting</w:t>
      </w:r>
      <w:r w:rsidR="00F504E6">
        <w:rPr>
          <w:lang w:val="en-GB"/>
        </w:rPr>
        <w:t xml:space="preserve"> and compliance processes in place</w:t>
      </w:r>
      <w:r w:rsidR="009873AE">
        <w:rPr>
          <w:lang w:val="en-GB"/>
        </w:rPr>
        <w:t xml:space="preserve"> </w:t>
      </w:r>
      <w:r w:rsidR="00F504E6">
        <w:rPr>
          <w:lang w:val="en-GB"/>
        </w:rPr>
        <w:t xml:space="preserve">to support the delivery of outcomes. </w:t>
      </w:r>
      <w:r w:rsidR="009873AE">
        <w:rPr>
          <w:lang w:val="en-GB"/>
        </w:rPr>
        <w:t>Th</w:t>
      </w:r>
      <w:r>
        <w:rPr>
          <w:lang w:val="en-GB"/>
        </w:rPr>
        <w:t>rough</w:t>
      </w:r>
      <w:r w:rsidR="009873AE">
        <w:rPr>
          <w:lang w:val="en-GB"/>
        </w:rPr>
        <w:t xml:space="preserve"> </w:t>
      </w:r>
      <w:r>
        <w:rPr>
          <w:lang w:val="en-GB"/>
        </w:rPr>
        <w:t xml:space="preserve">demonstration of </w:t>
      </w:r>
      <w:r w:rsidR="009873AE">
        <w:rPr>
          <w:lang w:val="en-GB"/>
        </w:rPr>
        <w:t xml:space="preserve">robust commissioning processes, strong stakeholder engagement, and </w:t>
      </w:r>
      <w:r>
        <w:rPr>
          <w:lang w:val="en-GB"/>
        </w:rPr>
        <w:t>regular</w:t>
      </w:r>
      <w:r w:rsidR="009873AE">
        <w:rPr>
          <w:lang w:val="en-GB"/>
        </w:rPr>
        <w:t xml:space="preserve"> reporting</w:t>
      </w:r>
      <w:r w:rsidR="00986095">
        <w:rPr>
          <w:lang w:val="en-GB"/>
        </w:rPr>
        <w:t>,</w:t>
      </w:r>
      <w:r w:rsidR="009873AE">
        <w:rPr>
          <w:lang w:val="en-GB"/>
        </w:rPr>
        <w:t xml:space="preserve"> </w:t>
      </w:r>
      <w:r>
        <w:rPr>
          <w:lang w:val="en-GB"/>
        </w:rPr>
        <w:t xml:space="preserve">the performance of PHNs against outputs provides visibility and accountability of the delivery of the PHN program. </w:t>
      </w:r>
    </w:p>
    <w:p w14:paraId="5AECE3DB" w14:textId="21E721AF" w:rsidR="009873AE" w:rsidRDefault="009873AE" w:rsidP="009873AE">
      <w:pPr>
        <w:pStyle w:val="Heading3"/>
        <w:rPr>
          <w:lang w:val="en-GB"/>
        </w:rPr>
      </w:pPr>
      <w:r>
        <w:rPr>
          <w:lang w:val="en-GB"/>
        </w:rPr>
        <w:t xml:space="preserve">P13 – </w:t>
      </w:r>
      <w:r w:rsidR="00320208">
        <w:rPr>
          <w:lang w:val="en-GB"/>
        </w:rPr>
        <w:t>H</w:t>
      </w:r>
      <w:r>
        <w:rPr>
          <w:lang w:val="en-GB"/>
        </w:rPr>
        <w:t xml:space="preserve">ealth </w:t>
      </w:r>
      <w:r w:rsidR="00BE494A">
        <w:rPr>
          <w:lang w:val="en-GB"/>
        </w:rPr>
        <w:t>C</w:t>
      </w:r>
      <w:r w:rsidR="00320208">
        <w:rPr>
          <w:lang w:val="en-GB"/>
        </w:rPr>
        <w:t xml:space="preserve">are </w:t>
      </w:r>
      <w:r w:rsidR="00BE494A">
        <w:rPr>
          <w:lang w:val="en-GB"/>
        </w:rPr>
        <w:t>P</w:t>
      </w:r>
      <w:r>
        <w:rPr>
          <w:lang w:val="en-GB"/>
        </w:rPr>
        <w:t>rofessional</w:t>
      </w:r>
      <w:r w:rsidR="00320208">
        <w:rPr>
          <w:lang w:val="en-GB"/>
        </w:rPr>
        <w:t>s</w:t>
      </w:r>
    </w:p>
    <w:p w14:paraId="37BA0961" w14:textId="080ADA2F" w:rsidR="00D43D80" w:rsidRDefault="00F504E6" w:rsidP="003C3F1C">
      <w:pPr>
        <w:rPr>
          <w:lang w:val="en-GB"/>
        </w:rPr>
      </w:pPr>
      <w:r>
        <w:rPr>
          <w:lang w:val="en-GB"/>
        </w:rPr>
        <w:t xml:space="preserve">To </w:t>
      </w:r>
      <w:r w:rsidR="003C3F1C">
        <w:rPr>
          <w:lang w:val="en-GB"/>
        </w:rPr>
        <w:t>gauge</w:t>
      </w:r>
      <w:r w:rsidR="009873AE">
        <w:rPr>
          <w:lang w:val="en-GB"/>
        </w:rPr>
        <w:t xml:space="preserve"> capacity to meet the needs of PHN regions the number of health care professionals available provides valuable supporting </w:t>
      </w:r>
      <w:r w:rsidR="003C3F1C">
        <w:rPr>
          <w:lang w:val="en-GB"/>
        </w:rPr>
        <w:t>data to</w:t>
      </w:r>
      <w:r w:rsidR="009873AE">
        <w:rPr>
          <w:lang w:val="en-GB"/>
        </w:rPr>
        <w:t xml:space="preserve"> </w:t>
      </w:r>
      <w:r w:rsidR="003C3F1C">
        <w:rPr>
          <w:lang w:val="en-GB"/>
        </w:rPr>
        <w:t>assess</w:t>
      </w:r>
      <w:r w:rsidR="009873AE">
        <w:rPr>
          <w:lang w:val="en-GB"/>
        </w:rPr>
        <w:t xml:space="preserve"> the ability to deliver</w:t>
      </w:r>
      <w:r w:rsidR="003C3F1C">
        <w:rPr>
          <w:lang w:val="en-GB"/>
        </w:rPr>
        <w:t xml:space="preserve"> </w:t>
      </w:r>
      <w:r w:rsidR="009873AE">
        <w:rPr>
          <w:lang w:val="en-GB"/>
        </w:rPr>
        <w:t>and improve service</w:t>
      </w:r>
      <w:r w:rsidR="003C3F1C">
        <w:rPr>
          <w:lang w:val="en-GB"/>
        </w:rPr>
        <w:t>s</w:t>
      </w:r>
      <w:r w:rsidR="009873AE">
        <w:rPr>
          <w:lang w:val="en-GB"/>
        </w:rPr>
        <w:t xml:space="preserve"> and assess trends in service delivery over time.</w:t>
      </w:r>
      <w:r w:rsidR="003C3F1C">
        <w:rPr>
          <w:lang w:val="en-GB"/>
        </w:rPr>
        <w:t xml:space="preserve"> This indicator also provides insight into the healthcare environment for PHN regions. </w:t>
      </w:r>
      <w:r w:rsidR="008936F5">
        <w:rPr>
          <w:lang w:val="en-GB"/>
        </w:rPr>
        <w:t xml:space="preserve">Data for this indicator is used for individual performance assessments of PHNs and to calculate other indicators. </w:t>
      </w:r>
      <w:r w:rsidR="003C3F1C">
        <w:rPr>
          <w:lang w:val="en-GB"/>
        </w:rPr>
        <w:t>PHNs are not assessed directly against this indicator</w:t>
      </w:r>
      <w:r w:rsidR="0029410E">
        <w:rPr>
          <w:lang w:val="en-GB"/>
        </w:rPr>
        <w:t xml:space="preserve"> and data is not included in program performance reporting</w:t>
      </w:r>
      <w:r w:rsidR="003C3F1C">
        <w:rPr>
          <w:lang w:val="en-GB"/>
        </w:rPr>
        <w:t>.</w:t>
      </w:r>
      <w:r w:rsidR="006D4442">
        <w:rPr>
          <w:lang w:val="en-GB"/>
        </w:rPr>
        <w:t xml:space="preserve"> </w:t>
      </w:r>
    </w:p>
    <w:p w14:paraId="5F0710D2" w14:textId="77777777" w:rsidR="003C3F1C" w:rsidRDefault="003C3F1C" w:rsidP="00D43D80">
      <w:pPr>
        <w:rPr>
          <w:lang w:val="en-GB"/>
        </w:rPr>
      </w:pPr>
    </w:p>
    <w:p w14:paraId="2777C1BA" w14:textId="1E760061" w:rsidR="00D43D80" w:rsidRDefault="003C3F1C" w:rsidP="003C3F1C">
      <w:pPr>
        <w:pStyle w:val="Heading3"/>
      </w:pPr>
      <w:r>
        <w:t xml:space="preserve">O7 – Variance </w:t>
      </w:r>
      <w:r w:rsidR="00BE494A">
        <w:t>R</w:t>
      </w:r>
      <w:r>
        <w:t xml:space="preserve">eport </w:t>
      </w:r>
      <w:r w:rsidR="00320208">
        <w:t>–</w:t>
      </w:r>
      <w:r>
        <w:t xml:space="preserve"> </w:t>
      </w:r>
      <w:r w:rsidR="00BE494A">
        <w:t>S</w:t>
      </w:r>
      <w:r>
        <w:t xml:space="preserve">cheduled </w:t>
      </w:r>
      <w:r w:rsidR="00BE494A">
        <w:t>A</w:t>
      </w:r>
      <w:r>
        <w:t>ctivities</w:t>
      </w:r>
    </w:p>
    <w:p w14:paraId="11464628" w14:textId="0019FD75" w:rsidR="003C3F1C" w:rsidRDefault="003C3F1C" w:rsidP="003C3F1C">
      <w:r w:rsidRPr="003C3F1C">
        <w:t xml:space="preserve">All PHNs </w:t>
      </w:r>
      <w:r>
        <w:t xml:space="preserve">are required to </w:t>
      </w:r>
      <w:r w:rsidRPr="003C3F1C">
        <w:t xml:space="preserve">provide a variance report to indicate how their </w:t>
      </w:r>
      <w:r>
        <w:t>sch</w:t>
      </w:r>
      <w:r w:rsidR="00F90778">
        <w:t xml:space="preserve">eduled </w:t>
      </w:r>
      <w:r w:rsidRPr="003C3F1C">
        <w:t>activities are tracking in terms of timeliness, actual expenditure and engagement with stakeholders.</w:t>
      </w:r>
      <w:r>
        <w:t xml:space="preserve"> For the 2022–23 and 2023–24 reporting period</w:t>
      </w:r>
      <w:r w:rsidR="00EA2E18">
        <w:t>s</w:t>
      </w:r>
      <w:r>
        <w:t xml:space="preserve"> all PHNs have met this requirement. </w:t>
      </w:r>
      <w:r w:rsidR="00EA2E18">
        <w:t>Findings for this indicator are used for individual performance assessments of PHNs and are not included in program performance reporting.</w:t>
      </w:r>
    </w:p>
    <w:p w14:paraId="5535C3C4" w14:textId="77777777" w:rsidR="00EA2E18" w:rsidRDefault="00EA2E18" w:rsidP="003C3F1C"/>
    <w:p w14:paraId="51C66D28" w14:textId="76C91984" w:rsidR="00EA2E18" w:rsidRDefault="00EA2E18" w:rsidP="00EA2E18">
      <w:pPr>
        <w:pStyle w:val="Heading3"/>
      </w:pPr>
      <w:r>
        <w:t xml:space="preserve">O13 – Annual </w:t>
      </w:r>
      <w:r w:rsidR="00BE494A">
        <w:t>R</w:t>
      </w:r>
      <w:r>
        <w:t xml:space="preserve">eport and </w:t>
      </w:r>
      <w:r w:rsidR="00BE494A">
        <w:t>A</w:t>
      </w:r>
      <w:r>
        <w:t xml:space="preserve">udited </w:t>
      </w:r>
      <w:r w:rsidR="00BE494A">
        <w:t>F</w:t>
      </w:r>
      <w:r>
        <w:t xml:space="preserve">inancial </w:t>
      </w:r>
      <w:r w:rsidR="00BE494A">
        <w:t>S</w:t>
      </w:r>
      <w:r>
        <w:t>tatements</w:t>
      </w:r>
    </w:p>
    <w:p w14:paraId="044C7B17" w14:textId="4B14D96C" w:rsidR="00EA2E18" w:rsidRDefault="00EA2E18" w:rsidP="003C3F1C">
      <w:r>
        <w:t xml:space="preserve">The submission of an annual report and audited financial statements to the department is a contractual obligation and a requirement of the </w:t>
      </w:r>
      <w:r w:rsidRPr="002A659A">
        <w:rPr>
          <w:i/>
          <w:iCs/>
        </w:rPr>
        <w:t>Corporations Act 2001</w:t>
      </w:r>
      <w:r w:rsidR="002A659A">
        <w:t xml:space="preserve"> (</w:t>
      </w:r>
      <w:proofErr w:type="spellStart"/>
      <w:r w:rsidR="002A659A">
        <w:t>Cth</w:t>
      </w:r>
      <w:proofErr w:type="spellEnd"/>
      <w:r w:rsidR="002A659A">
        <w:t>)</w:t>
      </w:r>
      <w:r>
        <w:t>. All PHNs have met this requirement for the two reporting periods. Findings for this indicator are used for individual performance assessments of PHNs and are not included in program performance reporting.</w:t>
      </w:r>
    </w:p>
    <w:p w14:paraId="077E90EB" w14:textId="77777777" w:rsidR="00EA2E18" w:rsidRDefault="00EA2E18" w:rsidP="003C3F1C"/>
    <w:p w14:paraId="30417296" w14:textId="77777777" w:rsidR="00910488" w:rsidRDefault="00910488" w:rsidP="00910488">
      <w:pPr>
        <w:pStyle w:val="Heading3"/>
      </w:pPr>
      <w:r>
        <w:t>Conclusion</w:t>
      </w:r>
    </w:p>
    <w:p w14:paraId="59D5ABBF" w14:textId="77777777" w:rsidR="00910488" w:rsidRDefault="00910488" w:rsidP="00910488">
      <w:pPr>
        <w:rPr>
          <w:rStyle w:val="normaltextrun"/>
          <w:rFonts w:ascii="Helvetica" w:hAnsi="Helvetica" w:cs="Helvetica"/>
        </w:rPr>
      </w:pPr>
      <w:r>
        <w:rPr>
          <w:rStyle w:val="normaltextrun"/>
          <w:rFonts w:ascii="Helvetica" w:hAnsi="Helvetica" w:cs="Helvetica"/>
        </w:rPr>
        <w:t xml:space="preserve">PHNs have fulfilled their obligations for the reporting periods for current indicators for this outcome theme. </w:t>
      </w:r>
    </w:p>
    <w:p w14:paraId="752AB49F" w14:textId="2BC83C5E" w:rsidR="00871404" w:rsidRDefault="00871404">
      <w:pPr>
        <w:spacing w:before="0" w:after="0" w:line="240" w:lineRule="auto"/>
      </w:pPr>
      <w:r>
        <w:br w:type="page"/>
      </w:r>
    </w:p>
    <w:p w14:paraId="22FA7FA3" w14:textId="46CD0005" w:rsidR="00F124E4" w:rsidRDefault="00F124E4" w:rsidP="00920F54">
      <w:pPr>
        <w:pStyle w:val="Heading1"/>
      </w:pPr>
      <w:bookmarkStart w:id="21" w:name="_Toc212100678"/>
      <w:r w:rsidRPr="00C13C02">
        <w:lastRenderedPageBreak/>
        <w:t xml:space="preserve">Appendix </w:t>
      </w:r>
      <w:r w:rsidR="00920F54">
        <w:t xml:space="preserve">– </w:t>
      </w:r>
      <w:r w:rsidRPr="00920F54">
        <w:t>Performance</w:t>
      </w:r>
      <w:r w:rsidRPr="002B692D">
        <w:t xml:space="preserve"> and Quality Framework Indicators</w:t>
      </w:r>
      <w:bookmarkEnd w:id="21"/>
    </w:p>
    <w:p w14:paraId="4D99A335" w14:textId="77777777" w:rsidR="00B5552C" w:rsidRPr="00B5552C" w:rsidRDefault="00B5552C" w:rsidP="00B5552C"/>
    <w:tbl>
      <w:tblPr>
        <w:tblW w:w="9071" w:type="dxa"/>
        <w:tblInd w:w="-10" w:type="dxa"/>
        <w:tblLayout w:type="fixed"/>
        <w:tblLook w:val="04A0" w:firstRow="1" w:lastRow="0" w:firstColumn="1" w:lastColumn="0" w:noHBand="0" w:noVBand="1"/>
        <w:tblCaption w:val="Appendix table 1 Performance and Quality Framework Indicators – code and titles"/>
        <w:tblDescription w:val="This table lists all the indicators referred to in the document and their correposnign codes grouped by program, priority area and organisational capability."/>
      </w:tblPr>
      <w:tblGrid>
        <w:gridCol w:w="9071"/>
      </w:tblGrid>
      <w:tr w:rsidR="00F124E4" w:rsidRPr="003B15F7" w14:paraId="035E829F"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shd w:val="clear" w:color="auto" w:fill="3F4A75"/>
            <w:tcMar>
              <w:left w:w="108" w:type="dxa"/>
              <w:right w:w="108" w:type="dxa"/>
            </w:tcMar>
            <w:vAlign w:val="bottom"/>
          </w:tcPr>
          <w:p w14:paraId="582AF74F" w14:textId="77777777" w:rsidR="00F124E4" w:rsidRPr="003B15F7" w:rsidRDefault="00F124E4">
            <w:pPr>
              <w:spacing w:before="0" w:after="0"/>
              <w:rPr>
                <w:rFonts w:eastAsia="Aptos Narrow" w:cs="Arial"/>
                <w:b/>
                <w:color w:val="FFFFFF" w:themeColor="background1"/>
                <w:szCs w:val="22"/>
              </w:rPr>
            </w:pPr>
            <w:r w:rsidRPr="003B15F7">
              <w:rPr>
                <w:rFonts w:eastAsia="Aptos Narrow" w:cs="Arial"/>
                <w:b/>
                <w:color w:val="FFFFFF" w:themeColor="background1"/>
                <w:szCs w:val="22"/>
              </w:rPr>
              <w:t>Aged Care (AC) Indicators</w:t>
            </w:r>
          </w:p>
        </w:tc>
      </w:tr>
      <w:tr w:rsidR="00F124E4" w:rsidRPr="003B15F7" w14:paraId="4B09448D"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BC5B6F9" w14:textId="77777777" w:rsidR="00F124E4" w:rsidRPr="003B15F7" w:rsidRDefault="00F124E4">
            <w:pPr>
              <w:spacing w:before="0" w:after="0"/>
              <w:rPr>
                <w:rFonts w:eastAsia="Aptos Narrow" w:cs="Arial"/>
                <w:szCs w:val="22"/>
              </w:rPr>
            </w:pPr>
            <w:r w:rsidRPr="003B15F7">
              <w:rPr>
                <w:rFonts w:eastAsia="Aptos Narrow" w:cs="Arial"/>
                <w:szCs w:val="22"/>
              </w:rPr>
              <w:t>AC1 – Residential Aged Care Home Services</w:t>
            </w:r>
          </w:p>
        </w:tc>
      </w:tr>
      <w:tr w:rsidR="00F124E4" w:rsidRPr="003B15F7" w14:paraId="7D71BE02"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D97A3BF" w14:textId="77777777" w:rsidR="00F124E4" w:rsidRPr="003B15F7" w:rsidRDefault="00F124E4">
            <w:pPr>
              <w:spacing w:before="0" w:after="0"/>
              <w:rPr>
                <w:rFonts w:eastAsia="Aptos Narrow" w:cs="Arial"/>
                <w:szCs w:val="22"/>
              </w:rPr>
            </w:pPr>
            <w:r w:rsidRPr="003B15F7">
              <w:rPr>
                <w:rFonts w:eastAsia="Aptos Narrow" w:cs="Arial"/>
                <w:szCs w:val="22"/>
              </w:rPr>
              <w:t>AC2 – Aged 65 and Over – Health Assessment</w:t>
            </w:r>
          </w:p>
        </w:tc>
      </w:tr>
      <w:tr w:rsidR="00F124E4" w:rsidRPr="003B15F7" w14:paraId="2314D872"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shd w:val="clear" w:color="auto" w:fill="3F4A75"/>
            <w:tcMar>
              <w:left w:w="108" w:type="dxa"/>
              <w:right w:w="108" w:type="dxa"/>
            </w:tcMar>
            <w:vAlign w:val="bottom"/>
          </w:tcPr>
          <w:p w14:paraId="0F935AF3" w14:textId="77777777" w:rsidR="00F124E4" w:rsidRPr="003B15F7" w:rsidRDefault="00F124E4">
            <w:pPr>
              <w:spacing w:before="0" w:after="0"/>
              <w:rPr>
                <w:rFonts w:eastAsia="Aptos Narrow" w:cs="Arial"/>
                <w:b/>
                <w:color w:val="FFFFFF" w:themeColor="background1"/>
                <w:szCs w:val="22"/>
              </w:rPr>
            </w:pPr>
            <w:r w:rsidRPr="003B15F7">
              <w:rPr>
                <w:rFonts w:eastAsia="Aptos Narrow" w:cs="Arial"/>
                <w:b/>
                <w:color w:val="FFFFFF" w:themeColor="background1"/>
                <w:szCs w:val="22"/>
              </w:rPr>
              <w:t>Alcohol and Other Drugs (AOD) Indicators</w:t>
            </w:r>
          </w:p>
        </w:tc>
      </w:tr>
      <w:tr w:rsidR="00F124E4" w:rsidRPr="003B15F7" w14:paraId="7C7423B9"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1C061C8" w14:textId="77777777" w:rsidR="00F124E4" w:rsidRPr="003B15F7" w:rsidRDefault="00F124E4">
            <w:pPr>
              <w:spacing w:before="0" w:after="0"/>
              <w:rPr>
                <w:rFonts w:eastAsia="Aptos Narrow" w:cs="Arial"/>
                <w:szCs w:val="22"/>
              </w:rPr>
            </w:pPr>
            <w:r w:rsidRPr="003B15F7">
              <w:rPr>
                <w:rFonts w:eastAsia="Aptos Narrow" w:cs="Arial"/>
                <w:szCs w:val="22"/>
              </w:rPr>
              <w:t>AOD1 – Active Alcohol and Other Drug Services</w:t>
            </w:r>
          </w:p>
        </w:tc>
      </w:tr>
      <w:tr w:rsidR="00F124E4" w:rsidRPr="003B15F7" w14:paraId="156D0904"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E8B69F8" w14:textId="77777777" w:rsidR="00F124E4" w:rsidRPr="003B15F7" w:rsidRDefault="00F124E4">
            <w:pPr>
              <w:spacing w:before="0" w:after="0"/>
              <w:rPr>
                <w:rFonts w:eastAsia="Aptos Narrow" w:cs="Arial"/>
                <w:szCs w:val="22"/>
              </w:rPr>
            </w:pPr>
            <w:r w:rsidRPr="003B15F7">
              <w:rPr>
                <w:rFonts w:eastAsia="Aptos Narrow" w:cs="Arial"/>
                <w:szCs w:val="22"/>
              </w:rPr>
              <w:t>AOD2 – Partnerships – Alcohol and Other Drug Services</w:t>
            </w:r>
          </w:p>
        </w:tc>
      </w:tr>
      <w:tr w:rsidR="00F124E4" w:rsidRPr="003B15F7" w14:paraId="73E6EE1A"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shd w:val="clear" w:color="auto" w:fill="3F4A75"/>
            <w:tcMar>
              <w:left w:w="108" w:type="dxa"/>
              <w:right w:w="108" w:type="dxa"/>
            </w:tcMar>
            <w:vAlign w:val="bottom"/>
          </w:tcPr>
          <w:p w14:paraId="12FFA198" w14:textId="77777777" w:rsidR="00F124E4" w:rsidRPr="003B15F7" w:rsidRDefault="00F124E4">
            <w:pPr>
              <w:spacing w:before="0" w:after="0"/>
              <w:rPr>
                <w:rFonts w:eastAsia="Aptos Narrow" w:cs="Arial"/>
                <w:b/>
                <w:color w:val="FFFFFF" w:themeColor="background1"/>
                <w:szCs w:val="22"/>
              </w:rPr>
            </w:pPr>
            <w:r w:rsidRPr="003B15F7">
              <w:rPr>
                <w:rFonts w:eastAsia="Aptos Narrow" w:cs="Arial"/>
                <w:b/>
                <w:color w:val="FFFFFF" w:themeColor="background1"/>
                <w:szCs w:val="22"/>
              </w:rPr>
              <w:t>Digital Health (DH) Indicators</w:t>
            </w:r>
          </w:p>
        </w:tc>
      </w:tr>
      <w:tr w:rsidR="00F124E4" w:rsidRPr="003B15F7" w14:paraId="7FA47FC6"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D4949E3" w14:textId="77777777" w:rsidR="00F124E4" w:rsidRPr="003B15F7" w:rsidRDefault="00F124E4">
            <w:pPr>
              <w:spacing w:before="0" w:after="0"/>
              <w:rPr>
                <w:rFonts w:eastAsia="Aptos Narrow" w:cs="Arial"/>
                <w:szCs w:val="22"/>
              </w:rPr>
            </w:pPr>
            <w:r w:rsidRPr="003B15F7">
              <w:rPr>
                <w:rFonts w:eastAsia="Aptos Narrow" w:cs="Arial"/>
                <w:szCs w:val="22"/>
              </w:rPr>
              <w:t>DH2 – Digital Health Systems</w:t>
            </w:r>
          </w:p>
        </w:tc>
      </w:tr>
      <w:tr w:rsidR="00F124E4" w:rsidRPr="003B15F7" w14:paraId="38F12984"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4C6C7F0" w14:textId="77777777" w:rsidR="00F124E4" w:rsidRPr="003B15F7" w:rsidRDefault="00F124E4">
            <w:pPr>
              <w:spacing w:before="0" w:after="0"/>
              <w:rPr>
                <w:rFonts w:eastAsia="Aptos Narrow" w:cs="Arial"/>
                <w:szCs w:val="22"/>
              </w:rPr>
            </w:pPr>
            <w:r w:rsidRPr="003B15F7">
              <w:rPr>
                <w:rFonts w:eastAsia="Aptos Narrow" w:cs="Arial"/>
                <w:szCs w:val="22"/>
              </w:rPr>
              <w:t>DH3 – Data Sharing – Accredited General Practices</w:t>
            </w:r>
          </w:p>
        </w:tc>
      </w:tr>
      <w:tr w:rsidR="00F124E4" w:rsidRPr="003B15F7" w14:paraId="22902DB1"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shd w:val="clear" w:color="auto" w:fill="3F4A75"/>
            <w:tcMar>
              <w:left w:w="108" w:type="dxa"/>
              <w:right w:w="108" w:type="dxa"/>
            </w:tcMar>
            <w:vAlign w:val="bottom"/>
          </w:tcPr>
          <w:p w14:paraId="16D272F0" w14:textId="77777777" w:rsidR="00F124E4" w:rsidRPr="003B15F7" w:rsidRDefault="00F124E4">
            <w:pPr>
              <w:spacing w:before="0" w:after="0"/>
              <w:rPr>
                <w:rFonts w:eastAsia="Aptos Narrow" w:cs="Arial"/>
                <w:b/>
                <w:color w:val="FFFFFF" w:themeColor="background1"/>
                <w:szCs w:val="22"/>
              </w:rPr>
            </w:pPr>
            <w:r w:rsidRPr="003B15F7">
              <w:rPr>
                <w:rFonts w:eastAsia="Aptos Narrow" w:cs="Arial"/>
                <w:b/>
                <w:color w:val="FFFFFF" w:themeColor="background1"/>
                <w:szCs w:val="22"/>
              </w:rPr>
              <w:t>First Nations Health (FN) Indicators</w:t>
            </w:r>
          </w:p>
        </w:tc>
      </w:tr>
      <w:tr w:rsidR="00F124E4" w:rsidRPr="003B15F7" w14:paraId="74EA6FD4"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035A43D" w14:textId="77777777" w:rsidR="00F124E4" w:rsidRPr="003B15F7" w:rsidRDefault="00F124E4">
            <w:pPr>
              <w:spacing w:before="0" w:after="0"/>
              <w:rPr>
                <w:rFonts w:eastAsia="Aptos Narrow" w:cs="Arial"/>
                <w:szCs w:val="22"/>
              </w:rPr>
            </w:pPr>
            <w:r w:rsidRPr="003B15F7">
              <w:rPr>
                <w:rFonts w:eastAsia="Aptos Narrow" w:cs="Arial"/>
                <w:szCs w:val="22"/>
              </w:rPr>
              <w:t>FN1 – Integrated Team Care – Delivery</w:t>
            </w:r>
          </w:p>
        </w:tc>
      </w:tr>
      <w:tr w:rsidR="00F124E4" w:rsidRPr="003B15F7" w14:paraId="505E90E1"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D116A5" w14:textId="77777777" w:rsidR="00F124E4" w:rsidRPr="003B15F7" w:rsidRDefault="00F124E4">
            <w:pPr>
              <w:spacing w:before="0" w:after="0"/>
              <w:rPr>
                <w:rFonts w:eastAsia="Aptos Narrow" w:cs="Arial"/>
                <w:szCs w:val="22"/>
              </w:rPr>
            </w:pPr>
            <w:r w:rsidRPr="003B15F7">
              <w:rPr>
                <w:rFonts w:eastAsia="Aptos Narrow" w:cs="Arial"/>
                <w:szCs w:val="22"/>
              </w:rPr>
              <w:t>FN2 – Integrated Team Care services – Organisations</w:t>
            </w:r>
          </w:p>
        </w:tc>
      </w:tr>
      <w:tr w:rsidR="00F124E4" w:rsidRPr="003B15F7" w14:paraId="42A0B438"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E8F8E1" w14:textId="77777777" w:rsidR="00F124E4" w:rsidRPr="003B15F7" w:rsidRDefault="00F124E4">
            <w:pPr>
              <w:spacing w:before="0" w:after="0"/>
              <w:rPr>
                <w:rFonts w:eastAsia="Aptos Narrow" w:cs="Arial"/>
                <w:szCs w:val="22"/>
              </w:rPr>
            </w:pPr>
            <w:r w:rsidRPr="003B15F7">
              <w:rPr>
                <w:rFonts w:eastAsia="Aptos Narrow" w:cs="Arial"/>
                <w:szCs w:val="22"/>
              </w:rPr>
              <w:t>FN3 – Culturally Safe Alcohol and Other Drug Services</w:t>
            </w:r>
          </w:p>
        </w:tc>
      </w:tr>
      <w:tr w:rsidR="00F124E4" w:rsidRPr="003B15F7" w14:paraId="57A6B28D"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A2E9213" w14:textId="77777777" w:rsidR="00F124E4" w:rsidRPr="003B15F7" w:rsidRDefault="00F124E4">
            <w:pPr>
              <w:spacing w:before="0" w:after="0"/>
              <w:rPr>
                <w:rFonts w:eastAsia="Aptos Narrow" w:cs="Arial"/>
                <w:szCs w:val="22"/>
              </w:rPr>
            </w:pPr>
            <w:r w:rsidRPr="003B15F7">
              <w:rPr>
                <w:rFonts w:eastAsia="Aptos Narrow" w:cs="Arial"/>
                <w:szCs w:val="22"/>
              </w:rPr>
              <w:t>FN4 – Culturally Safe Mental Health Services</w:t>
            </w:r>
          </w:p>
        </w:tc>
      </w:tr>
      <w:tr w:rsidR="00F124E4" w:rsidRPr="003B15F7" w14:paraId="3370C2ED"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11CA849" w14:textId="77777777" w:rsidR="00F124E4" w:rsidRPr="003B15F7" w:rsidRDefault="00F124E4">
            <w:pPr>
              <w:spacing w:before="0" w:after="0"/>
              <w:rPr>
                <w:rFonts w:eastAsia="Aptos Narrow" w:cs="Arial"/>
                <w:szCs w:val="22"/>
              </w:rPr>
            </w:pPr>
            <w:r w:rsidRPr="003B15F7">
              <w:rPr>
                <w:rFonts w:eastAsia="Aptos Narrow" w:cs="Arial"/>
                <w:szCs w:val="22"/>
              </w:rPr>
              <w:t>FN5 – Culturally Safe Mainstream Primary Health Care Services</w:t>
            </w:r>
          </w:p>
        </w:tc>
      </w:tr>
      <w:tr w:rsidR="00F124E4" w:rsidRPr="003B15F7" w14:paraId="06B26DA3"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7F2BFBD" w14:textId="77777777" w:rsidR="00F124E4" w:rsidRPr="003B15F7" w:rsidRDefault="00F124E4">
            <w:pPr>
              <w:spacing w:before="0" w:after="0"/>
              <w:rPr>
                <w:rFonts w:eastAsia="Aptos Narrow" w:cs="Arial"/>
                <w:szCs w:val="22"/>
              </w:rPr>
            </w:pPr>
            <w:r w:rsidRPr="003B15F7">
              <w:rPr>
                <w:rFonts w:eastAsia="Aptos Narrow" w:cs="Arial"/>
                <w:szCs w:val="22"/>
              </w:rPr>
              <w:t>FN6 – Aboriginal and Torres Strait Islander Health Workforce</w:t>
            </w:r>
          </w:p>
        </w:tc>
      </w:tr>
      <w:tr w:rsidR="00F124E4" w:rsidRPr="003B15F7" w14:paraId="4825C1CB"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624ADA2" w14:textId="77777777" w:rsidR="00F124E4" w:rsidRPr="003B15F7" w:rsidRDefault="00F124E4">
            <w:pPr>
              <w:spacing w:before="0" w:after="0"/>
              <w:rPr>
                <w:rFonts w:eastAsia="Aptos Narrow" w:cs="Arial"/>
                <w:szCs w:val="22"/>
              </w:rPr>
            </w:pPr>
            <w:r w:rsidRPr="003B15F7">
              <w:rPr>
                <w:rFonts w:eastAsia="Aptos Narrow" w:cs="Arial"/>
                <w:szCs w:val="22"/>
              </w:rPr>
              <w:t>FN7 – Coordinated Care – Integrated Team Care</w:t>
            </w:r>
          </w:p>
        </w:tc>
      </w:tr>
      <w:tr w:rsidR="00F124E4" w:rsidRPr="003B15F7" w14:paraId="6BDBB369"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B886D73" w14:textId="77777777" w:rsidR="00F124E4" w:rsidRPr="003B15F7" w:rsidRDefault="00F124E4">
            <w:pPr>
              <w:spacing w:before="0" w:after="0"/>
              <w:rPr>
                <w:rFonts w:eastAsia="Aptos Narrow" w:cs="Arial"/>
                <w:szCs w:val="22"/>
              </w:rPr>
            </w:pPr>
            <w:r w:rsidRPr="003B15F7">
              <w:rPr>
                <w:rFonts w:eastAsia="Aptos Narrow" w:cs="Arial"/>
                <w:szCs w:val="22"/>
              </w:rPr>
              <w:t>FN8 – Aboriginal and Torres Strait Islander – Health Assessments</w:t>
            </w:r>
          </w:p>
        </w:tc>
      </w:tr>
      <w:tr w:rsidR="00F124E4" w:rsidRPr="003B15F7" w14:paraId="24BAA5E1"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shd w:val="clear" w:color="auto" w:fill="3F4A75"/>
            <w:tcMar>
              <w:left w:w="108" w:type="dxa"/>
              <w:right w:w="108" w:type="dxa"/>
            </w:tcMar>
            <w:vAlign w:val="bottom"/>
          </w:tcPr>
          <w:p w14:paraId="667EACDE" w14:textId="77777777" w:rsidR="00F124E4" w:rsidRPr="003B15F7" w:rsidRDefault="00F124E4">
            <w:pPr>
              <w:spacing w:before="0" w:after="0"/>
              <w:rPr>
                <w:rFonts w:eastAsia="Aptos Narrow" w:cs="Arial"/>
                <w:b/>
                <w:color w:val="FFFFFF" w:themeColor="background1"/>
                <w:szCs w:val="22"/>
              </w:rPr>
            </w:pPr>
            <w:r w:rsidRPr="003B15F7">
              <w:rPr>
                <w:rFonts w:eastAsia="Aptos Narrow" w:cs="Arial"/>
                <w:b/>
                <w:color w:val="FFFFFF" w:themeColor="background1"/>
                <w:szCs w:val="22"/>
              </w:rPr>
              <w:t>Mental Health (MH) Indicators</w:t>
            </w:r>
          </w:p>
        </w:tc>
      </w:tr>
      <w:tr w:rsidR="00F124E4" w:rsidRPr="003B15F7" w14:paraId="1E780167"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7A6B6D" w14:textId="77777777" w:rsidR="00F124E4" w:rsidRPr="003B15F7" w:rsidRDefault="00F124E4">
            <w:pPr>
              <w:spacing w:before="0" w:after="0"/>
              <w:rPr>
                <w:rFonts w:eastAsia="Aptos Narrow" w:cs="Arial"/>
                <w:szCs w:val="22"/>
              </w:rPr>
            </w:pPr>
            <w:r w:rsidRPr="003B15F7">
              <w:rPr>
                <w:rFonts w:eastAsia="Aptos Narrow" w:cs="Arial"/>
                <w:szCs w:val="22"/>
              </w:rPr>
              <w:t>MH1 – Low-intensity Psychological Interventions</w:t>
            </w:r>
          </w:p>
        </w:tc>
      </w:tr>
      <w:tr w:rsidR="00F124E4" w:rsidRPr="003B15F7" w14:paraId="667499D5"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DA86DC" w14:textId="77777777" w:rsidR="00F124E4" w:rsidRPr="003B15F7" w:rsidRDefault="00F124E4">
            <w:pPr>
              <w:spacing w:before="0" w:after="0"/>
              <w:rPr>
                <w:rFonts w:eastAsia="Aptos Narrow" w:cs="Arial"/>
                <w:szCs w:val="22"/>
              </w:rPr>
            </w:pPr>
            <w:r w:rsidRPr="003B15F7">
              <w:rPr>
                <w:rFonts w:eastAsia="Aptos Narrow" w:cs="Arial"/>
                <w:szCs w:val="22"/>
              </w:rPr>
              <w:t>MH2 – Psychological Therapies</w:t>
            </w:r>
          </w:p>
        </w:tc>
      </w:tr>
      <w:tr w:rsidR="00F124E4" w:rsidRPr="003B15F7" w14:paraId="52D7A5CD"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3E8095" w14:textId="77777777" w:rsidR="00F124E4" w:rsidRPr="003B15F7" w:rsidRDefault="00F124E4">
            <w:pPr>
              <w:spacing w:before="0" w:after="0"/>
              <w:rPr>
                <w:rFonts w:eastAsia="Aptos Narrow" w:cs="Arial"/>
                <w:szCs w:val="22"/>
              </w:rPr>
            </w:pPr>
            <w:r w:rsidRPr="003B15F7">
              <w:rPr>
                <w:rFonts w:eastAsia="Aptos Narrow" w:cs="Arial"/>
                <w:szCs w:val="22"/>
              </w:rPr>
              <w:t>MH3 – Coordination of Care – Severe and Complex Mental Illness</w:t>
            </w:r>
          </w:p>
        </w:tc>
      </w:tr>
      <w:tr w:rsidR="00F124E4" w:rsidRPr="003B15F7" w14:paraId="4CA92683"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60082DD" w14:textId="77777777" w:rsidR="00F124E4" w:rsidRPr="003B15F7" w:rsidRDefault="00F124E4">
            <w:pPr>
              <w:spacing w:before="0" w:after="0"/>
              <w:rPr>
                <w:rFonts w:eastAsia="Aptos Narrow" w:cs="Arial"/>
                <w:szCs w:val="22"/>
              </w:rPr>
            </w:pPr>
            <w:r w:rsidRPr="003B15F7">
              <w:rPr>
                <w:rFonts w:eastAsia="Aptos Narrow" w:cs="Arial"/>
                <w:szCs w:val="22"/>
              </w:rPr>
              <w:t>MH4 – Integrated Planning and Service Delivery</w:t>
            </w:r>
          </w:p>
        </w:tc>
      </w:tr>
      <w:tr w:rsidR="00F124E4" w:rsidRPr="003B15F7" w14:paraId="31EC6AF2"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0373B58" w14:textId="77777777" w:rsidR="00F124E4" w:rsidRPr="003B15F7" w:rsidRDefault="00F124E4">
            <w:pPr>
              <w:spacing w:before="0" w:after="0"/>
              <w:rPr>
                <w:rFonts w:eastAsia="Aptos Narrow" w:cs="Arial"/>
                <w:szCs w:val="22"/>
              </w:rPr>
            </w:pPr>
            <w:r w:rsidRPr="003B15F7">
              <w:rPr>
                <w:rFonts w:eastAsia="Aptos Narrow" w:cs="Arial"/>
                <w:szCs w:val="22"/>
              </w:rPr>
              <w:t>MH5 – Suicide Prevention and Referral</w:t>
            </w:r>
          </w:p>
        </w:tc>
      </w:tr>
      <w:tr w:rsidR="00F124E4" w:rsidRPr="003B15F7" w14:paraId="1A3EB4A2"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CFA6CC" w14:textId="77777777" w:rsidR="00F124E4" w:rsidRPr="003B15F7" w:rsidRDefault="00F124E4">
            <w:pPr>
              <w:spacing w:before="0" w:after="0"/>
              <w:rPr>
                <w:rFonts w:eastAsia="Aptos Narrow" w:cs="Arial"/>
                <w:szCs w:val="22"/>
              </w:rPr>
            </w:pPr>
            <w:r w:rsidRPr="003B15F7">
              <w:rPr>
                <w:rFonts w:eastAsia="Aptos Narrow" w:cs="Arial"/>
                <w:szCs w:val="22"/>
              </w:rPr>
              <w:t>MH6 – Clinical Outcome Measures</w:t>
            </w:r>
          </w:p>
        </w:tc>
      </w:tr>
      <w:tr w:rsidR="00F124E4" w:rsidRPr="003B15F7" w14:paraId="2622956E"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shd w:val="clear" w:color="auto" w:fill="3F4A75"/>
            <w:tcMar>
              <w:left w:w="108" w:type="dxa"/>
              <w:right w:w="108" w:type="dxa"/>
            </w:tcMar>
            <w:vAlign w:val="bottom"/>
          </w:tcPr>
          <w:p w14:paraId="72A45A21" w14:textId="77777777" w:rsidR="00F124E4" w:rsidRPr="003B15F7" w:rsidRDefault="00F124E4">
            <w:pPr>
              <w:spacing w:before="0" w:after="0"/>
              <w:rPr>
                <w:rFonts w:eastAsia="Aptos Narrow" w:cs="Arial"/>
                <w:b/>
                <w:color w:val="FFFFFF" w:themeColor="background1"/>
                <w:szCs w:val="22"/>
              </w:rPr>
            </w:pPr>
            <w:r w:rsidRPr="003B15F7">
              <w:rPr>
                <w:rFonts w:eastAsia="Aptos Narrow" w:cs="Arial"/>
                <w:b/>
                <w:color w:val="FFFFFF" w:themeColor="background1"/>
                <w:szCs w:val="22"/>
              </w:rPr>
              <w:t>Organisational (O) Indicators</w:t>
            </w:r>
          </w:p>
        </w:tc>
      </w:tr>
      <w:tr w:rsidR="00F124E4" w:rsidRPr="003B15F7" w14:paraId="73A4E7A0"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CB771A" w14:textId="77777777" w:rsidR="00F124E4" w:rsidRPr="003B15F7" w:rsidRDefault="00F124E4">
            <w:pPr>
              <w:spacing w:before="0" w:after="0"/>
              <w:rPr>
                <w:rFonts w:eastAsia="Aptos Narrow" w:cs="Arial"/>
                <w:szCs w:val="22"/>
              </w:rPr>
            </w:pPr>
            <w:r w:rsidRPr="003B15F7">
              <w:rPr>
                <w:rFonts w:eastAsia="Aptos Narrow" w:cs="Arial"/>
                <w:szCs w:val="22"/>
              </w:rPr>
              <w:t>O7 – Variance Report – Scheduled Activities</w:t>
            </w:r>
          </w:p>
        </w:tc>
      </w:tr>
      <w:tr w:rsidR="00F124E4" w:rsidRPr="003B15F7" w14:paraId="561EF67D"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856D465" w14:textId="77777777" w:rsidR="00F124E4" w:rsidRPr="003B15F7" w:rsidRDefault="00F124E4">
            <w:pPr>
              <w:spacing w:before="0" w:after="0"/>
              <w:rPr>
                <w:rFonts w:eastAsia="Aptos Narrow" w:cs="Arial"/>
                <w:szCs w:val="22"/>
              </w:rPr>
            </w:pPr>
            <w:r w:rsidRPr="003B15F7">
              <w:rPr>
                <w:rFonts w:eastAsia="Aptos Narrow" w:cs="Arial"/>
                <w:szCs w:val="22"/>
              </w:rPr>
              <w:t>O12 – Output and Outcome Performance Indicators</w:t>
            </w:r>
          </w:p>
        </w:tc>
      </w:tr>
      <w:tr w:rsidR="00F124E4" w:rsidRPr="003B15F7" w14:paraId="2C2CF24F"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E30468" w14:textId="77777777" w:rsidR="00F124E4" w:rsidRPr="003B15F7" w:rsidRDefault="00F124E4">
            <w:pPr>
              <w:spacing w:before="0" w:after="0"/>
              <w:rPr>
                <w:rFonts w:eastAsia="Aptos Narrow" w:cs="Arial"/>
                <w:szCs w:val="22"/>
              </w:rPr>
            </w:pPr>
            <w:r w:rsidRPr="003B15F7">
              <w:rPr>
                <w:rFonts w:eastAsia="Aptos Narrow" w:cs="Arial"/>
                <w:szCs w:val="22"/>
              </w:rPr>
              <w:t>O13 – Annual Report and Audited Financial Statements</w:t>
            </w:r>
          </w:p>
        </w:tc>
      </w:tr>
      <w:tr w:rsidR="00F124E4" w:rsidRPr="003B15F7" w14:paraId="05AC9A29"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shd w:val="clear" w:color="auto" w:fill="3F4A75"/>
            <w:tcMar>
              <w:left w:w="108" w:type="dxa"/>
              <w:right w:w="108" w:type="dxa"/>
            </w:tcMar>
            <w:vAlign w:val="bottom"/>
          </w:tcPr>
          <w:p w14:paraId="53588329" w14:textId="77777777" w:rsidR="00F124E4" w:rsidRPr="003B15F7" w:rsidRDefault="00F124E4">
            <w:pPr>
              <w:spacing w:before="0" w:after="0"/>
              <w:rPr>
                <w:rFonts w:eastAsia="Aptos Narrow" w:cs="Arial"/>
                <w:b/>
                <w:bCs/>
                <w:szCs w:val="22"/>
              </w:rPr>
            </w:pPr>
            <w:r w:rsidRPr="003B15F7">
              <w:rPr>
                <w:rFonts w:eastAsia="Aptos Narrow" w:cs="Arial"/>
                <w:b/>
                <w:color w:val="FFFFFF" w:themeColor="background1"/>
                <w:szCs w:val="22"/>
              </w:rPr>
              <w:t>Program (P) Indicators</w:t>
            </w:r>
          </w:p>
        </w:tc>
      </w:tr>
      <w:tr w:rsidR="00F124E4" w:rsidRPr="003B15F7" w14:paraId="02605109"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9A2B757" w14:textId="77777777" w:rsidR="00F124E4" w:rsidRPr="003B15F7" w:rsidRDefault="00F124E4">
            <w:pPr>
              <w:spacing w:before="0" w:after="0"/>
              <w:rPr>
                <w:rFonts w:eastAsia="Aptos Narrow" w:cs="Arial"/>
                <w:szCs w:val="22"/>
              </w:rPr>
            </w:pPr>
            <w:r w:rsidRPr="003B15F7">
              <w:rPr>
                <w:rFonts w:eastAsia="Aptos Narrow" w:cs="Arial"/>
                <w:szCs w:val="22"/>
              </w:rPr>
              <w:t>P1 – Activities Address Prioritised Needs</w:t>
            </w:r>
          </w:p>
        </w:tc>
      </w:tr>
      <w:tr w:rsidR="00F124E4" w:rsidRPr="003B15F7" w14:paraId="6F0AD3F4"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11843C" w14:textId="77777777" w:rsidR="00F124E4" w:rsidRPr="003B15F7" w:rsidRDefault="00F124E4">
            <w:pPr>
              <w:spacing w:before="0" w:after="0"/>
              <w:rPr>
                <w:rFonts w:eastAsia="Aptos Narrow" w:cs="Arial"/>
                <w:szCs w:val="22"/>
              </w:rPr>
            </w:pPr>
            <w:r w:rsidRPr="003B15F7">
              <w:rPr>
                <w:rFonts w:eastAsia="Aptos Narrow" w:cs="Arial"/>
                <w:szCs w:val="22"/>
              </w:rPr>
              <w:t>P2 – Health System Improvement and Innovation</w:t>
            </w:r>
          </w:p>
        </w:tc>
      </w:tr>
      <w:tr w:rsidR="00F124E4" w:rsidRPr="003B15F7" w14:paraId="6F3D2903"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D72268A" w14:textId="77777777" w:rsidR="00F124E4" w:rsidRPr="003B15F7" w:rsidRDefault="00F124E4">
            <w:pPr>
              <w:spacing w:before="0" w:after="0"/>
              <w:rPr>
                <w:rFonts w:eastAsia="Aptos Narrow" w:cs="Arial"/>
                <w:szCs w:val="22"/>
              </w:rPr>
            </w:pPr>
            <w:r w:rsidRPr="003B15F7">
              <w:rPr>
                <w:rFonts w:eastAsia="Aptos Narrow" w:cs="Arial"/>
                <w:szCs w:val="22"/>
              </w:rPr>
              <w:t>P3 – General Practice Accreditation</w:t>
            </w:r>
          </w:p>
        </w:tc>
      </w:tr>
      <w:tr w:rsidR="00F124E4" w:rsidRPr="003B15F7" w14:paraId="0234B422"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85B50BA" w14:textId="77777777" w:rsidR="00F124E4" w:rsidRPr="003B15F7" w:rsidRDefault="00F124E4">
            <w:pPr>
              <w:spacing w:before="0" w:after="0"/>
              <w:rPr>
                <w:rFonts w:eastAsia="Aptos Narrow" w:cs="Arial"/>
                <w:szCs w:val="22"/>
              </w:rPr>
            </w:pPr>
            <w:r w:rsidRPr="003B15F7">
              <w:rPr>
                <w:rFonts w:eastAsia="Aptos Narrow" w:cs="Arial"/>
                <w:szCs w:val="22"/>
              </w:rPr>
              <w:t>P4 – General Practice and Health Care Provider Support</w:t>
            </w:r>
          </w:p>
        </w:tc>
      </w:tr>
      <w:tr w:rsidR="00F124E4" w:rsidRPr="003B15F7" w14:paraId="0632BC60"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EF378C" w14:textId="77777777" w:rsidR="00F124E4" w:rsidRPr="003B15F7" w:rsidRDefault="00F124E4">
            <w:pPr>
              <w:spacing w:before="0" w:after="0"/>
              <w:rPr>
                <w:rFonts w:eastAsia="Aptos Narrow" w:cs="Arial"/>
                <w:szCs w:val="22"/>
              </w:rPr>
            </w:pPr>
            <w:r w:rsidRPr="003B15F7">
              <w:rPr>
                <w:rFonts w:eastAsia="Aptos Narrow" w:cs="Arial"/>
                <w:szCs w:val="22"/>
              </w:rPr>
              <w:t>P5 – My Health Record – Uploads</w:t>
            </w:r>
          </w:p>
        </w:tc>
      </w:tr>
      <w:tr w:rsidR="00F124E4" w:rsidRPr="003B15F7" w14:paraId="0D1987ED"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715011" w14:textId="77777777" w:rsidR="00F124E4" w:rsidRPr="003B15F7" w:rsidRDefault="00F124E4">
            <w:pPr>
              <w:spacing w:before="0" w:after="0"/>
              <w:rPr>
                <w:rFonts w:eastAsia="Aptos Narrow" w:cs="Arial"/>
                <w:szCs w:val="22"/>
              </w:rPr>
            </w:pPr>
            <w:r w:rsidRPr="003B15F7">
              <w:rPr>
                <w:rFonts w:eastAsia="Aptos Narrow" w:cs="Arial"/>
                <w:szCs w:val="22"/>
              </w:rPr>
              <w:t>P6 – General Practices – After-hours Services</w:t>
            </w:r>
          </w:p>
        </w:tc>
      </w:tr>
      <w:tr w:rsidR="00F124E4" w:rsidRPr="003B15F7" w14:paraId="7FAC05E1"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804A38" w14:textId="77777777" w:rsidR="00F124E4" w:rsidRPr="003B15F7" w:rsidRDefault="00F124E4">
            <w:pPr>
              <w:spacing w:before="0" w:after="0"/>
              <w:rPr>
                <w:rFonts w:eastAsia="Aptos Narrow" w:cs="Arial"/>
                <w:szCs w:val="22"/>
              </w:rPr>
            </w:pPr>
            <w:r w:rsidRPr="003B15F7">
              <w:rPr>
                <w:rFonts w:eastAsia="Aptos Narrow" w:cs="Arial"/>
                <w:szCs w:val="22"/>
              </w:rPr>
              <w:t>P7 – Emergency Department Presentations</w:t>
            </w:r>
          </w:p>
        </w:tc>
      </w:tr>
      <w:tr w:rsidR="00F124E4" w:rsidRPr="003B15F7" w14:paraId="6342553A"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56A8A25" w14:textId="77777777" w:rsidR="00F124E4" w:rsidRPr="003B15F7" w:rsidRDefault="00F124E4">
            <w:pPr>
              <w:spacing w:before="0" w:after="0"/>
              <w:rPr>
                <w:rFonts w:eastAsia="Aptos Narrow" w:cs="Arial"/>
                <w:szCs w:val="22"/>
              </w:rPr>
            </w:pPr>
            <w:r w:rsidRPr="003B15F7">
              <w:rPr>
                <w:rFonts w:eastAsia="Aptos Narrow" w:cs="Arial"/>
                <w:szCs w:val="22"/>
              </w:rPr>
              <w:lastRenderedPageBreak/>
              <w:t>P9 – Coordination of Care – Collective Health Care Needs</w:t>
            </w:r>
          </w:p>
        </w:tc>
      </w:tr>
      <w:tr w:rsidR="00F124E4" w:rsidRPr="003B15F7" w14:paraId="79EC9D70"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2CC7D39" w14:textId="77777777" w:rsidR="00F124E4" w:rsidRPr="003B15F7" w:rsidRDefault="00F124E4">
            <w:pPr>
              <w:spacing w:before="0" w:after="0"/>
              <w:rPr>
                <w:rFonts w:eastAsia="Aptos Narrow" w:cs="Arial"/>
                <w:szCs w:val="22"/>
              </w:rPr>
            </w:pPr>
            <w:r w:rsidRPr="003B15F7">
              <w:rPr>
                <w:rFonts w:eastAsia="Aptos Narrow" w:cs="Arial"/>
                <w:szCs w:val="22"/>
              </w:rPr>
              <w:t>P10 – My Health Record – Cross views</w:t>
            </w:r>
          </w:p>
        </w:tc>
      </w:tr>
      <w:tr w:rsidR="00F124E4" w:rsidRPr="003B15F7" w14:paraId="6F60D511"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560D891" w14:textId="77777777" w:rsidR="00F124E4" w:rsidRPr="003B15F7" w:rsidRDefault="00F124E4">
            <w:pPr>
              <w:spacing w:before="0" w:after="0"/>
              <w:rPr>
                <w:rFonts w:eastAsia="Aptos Narrow" w:cs="Arial"/>
                <w:szCs w:val="22"/>
              </w:rPr>
            </w:pPr>
            <w:r w:rsidRPr="003B15F7">
              <w:rPr>
                <w:rFonts w:eastAsia="Aptos Narrow" w:cs="Arial"/>
                <w:szCs w:val="22"/>
              </w:rPr>
              <w:t>P12 – Potentially Preventable Hospitalisations</w:t>
            </w:r>
          </w:p>
        </w:tc>
      </w:tr>
      <w:tr w:rsidR="00F124E4" w:rsidRPr="003B15F7" w14:paraId="1636BD94"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0DAD553" w14:textId="77777777" w:rsidR="00F124E4" w:rsidRPr="003B15F7" w:rsidRDefault="00F124E4">
            <w:pPr>
              <w:spacing w:before="0" w:after="0"/>
              <w:rPr>
                <w:rFonts w:eastAsia="Aptos Narrow" w:cs="Arial"/>
                <w:szCs w:val="22"/>
              </w:rPr>
            </w:pPr>
            <w:r w:rsidRPr="003B15F7">
              <w:rPr>
                <w:rFonts w:eastAsia="Aptos Narrow" w:cs="Arial"/>
                <w:szCs w:val="22"/>
              </w:rPr>
              <w:t>P13 – Health Care Professionals</w:t>
            </w:r>
          </w:p>
        </w:tc>
      </w:tr>
      <w:tr w:rsidR="00F124E4" w:rsidRPr="003B15F7" w14:paraId="00B9C910"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shd w:val="clear" w:color="auto" w:fill="3F4A75"/>
            <w:tcMar>
              <w:left w:w="108" w:type="dxa"/>
              <w:right w:w="108" w:type="dxa"/>
            </w:tcMar>
            <w:vAlign w:val="bottom"/>
          </w:tcPr>
          <w:p w14:paraId="4D1383F2" w14:textId="239C1041" w:rsidR="00F124E4" w:rsidRPr="003B15F7" w:rsidRDefault="00FE1719">
            <w:pPr>
              <w:spacing w:before="0" w:after="0"/>
              <w:rPr>
                <w:rFonts w:eastAsia="Aptos Narrow" w:cs="Arial"/>
                <w:b/>
                <w:bCs/>
                <w:szCs w:val="22"/>
              </w:rPr>
            </w:pPr>
            <w:r w:rsidRPr="003B15F7">
              <w:rPr>
                <w:rFonts w:eastAsia="Aptos Narrow" w:cs="Arial"/>
                <w:b/>
                <w:color w:val="FFFFFF" w:themeColor="background1"/>
                <w:szCs w:val="22"/>
              </w:rPr>
              <w:t>Population</w:t>
            </w:r>
            <w:r w:rsidR="00F124E4" w:rsidRPr="003B15F7">
              <w:rPr>
                <w:rFonts w:eastAsia="Aptos Narrow" w:cs="Arial"/>
                <w:b/>
                <w:color w:val="FFFFFF" w:themeColor="background1"/>
                <w:szCs w:val="22"/>
              </w:rPr>
              <w:t xml:space="preserve"> Health (PH) Indicators</w:t>
            </w:r>
          </w:p>
        </w:tc>
      </w:tr>
      <w:tr w:rsidR="00F124E4" w:rsidRPr="003B15F7" w14:paraId="5F9F0DC7"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2631EBC" w14:textId="77777777" w:rsidR="00F124E4" w:rsidRPr="003B15F7" w:rsidRDefault="00F124E4">
            <w:pPr>
              <w:spacing w:before="0" w:after="0"/>
              <w:rPr>
                <w:rFonts w:eastAsia="Aptos Narrow" w:cs="Arial"/>
                <w:szCs w:val="22"/>
              </w:rPr>
            </w:pPr>
            <w:r w:rsidRPr="003B15F7">
              <w:rPr>
                <w:rFonts w:eastAsia="Aptos Narrow" w:cs="Arial"/>
                <w:szCs w:val="22"/>
              </w:rPr>
              <w:t>PH1 – Childhood Immunisation</w:t>
            </w:r>
          </w:p>
        </w:tc>
      </w:tr>
      <w:tr w:rsidR="00F124E4" w:rsidRPr="003B15F7" w14:paraId="0649305A" w14:textId="77777777" w:rsidTr="002B692D">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3E07DDB" w14:textId="77777777" w:rsidR="00F124E4" w:rsidRPr="003B15F7" w:rsidRDefault="00F124E4">
            <w:pPr>
              <w:spacing w:before="0" w:after="0"/>
              <w:rPr>
                <w:rFonts w:eastAsia="Aptos Narrow" w:cs="Arial"/>
                <w:szCs w:val="22"/>
              </w:rPr>
            </w:pPr>
            <w:r w:rsidRPr="003B15F7">
              <w:rPr>
                <w:rFonts w:eastAsia="Aptos Narrow" w:cs="Arial"/>
                <w:szCs w:val="22"/>
              </w:rPr>
              <w:t>PH2 – Cancer Screening</w:t>
            </w:r>
          </w:p>
        </w:tc>
      </w:tr>
      <w:tr w:rsidR="00B5552C" w:rsidRPr="003B15F7" w14:paraId="2FB23165" w14:textId="77777777" w:rsidTr="002B207E">
        <w:trPr>
          <w:trHeight w:val="300"/>
        </w:trPr>
        <w:tc>
          <w:tcPr>
            <w:tcW w:w="9071" w:type="dxa"/>
            <w:tcBorders>
              <w:top w:val="single" w:sz="8" w:space="0" w:color="auto"/>
              <w:left w:val="single" w:sz="8" w:space="0" w:color="auto"/>
              <w:bottom w:val="single" w:sz="8" w:space="0" w:color="auto"/>
              <w:right w:val="single" w:sz="8" w:space="0" w:color="auto"/>
            </w:tcBorders>
            <w:shd w:val="clear" w:color="auto" w:fill="3F4A75"/>
            <w:tcMar>
              <w:left w:w="108" w:type="dxa"/>
              <w:right w:w="108" w:type="dxa"/>
            </w:tcMar>
            <w:vAlign w:val="bottom"/>
          </w:tcPr>
          <w:p w14:paraId="44ACAE94" w14:textId="77777777" w:rsidR="00B5552C" w:rsidRPr="003B15F7" w:rsidRDefault="00B5552C" w:rsidP="002B207E">
            <w:pPr>
              <w:spacing w:before="0" w:after="0"/>
              <w:rPr>
                <w:rFonts w:eastAsia="Aptos Narrow" w:cs="Arial"/>
                <w:b/>
                <w:color w:val="FFFFFF" w:themeColor="background1"/>
                <w:szCs w:val="22"/>
              </w:rPr>
            </w:pPr>
            <w:r w:rsidRPr="003B15F7">
              <w:rPr>
                <w:rFonts w:eastAsia="Aptos Narrow" w:cs="Arial"/>
                <w:b/>
                <w:color w:val="FFFFFF" w:themeColor="background1"/>
                <w:szCs w:val="22"/>
              </w:rPr>
              <w:t>Workforce (W) Indicators</w:t>
            </w:r>
          </w:p>
        </w:tc>
      </w:tr>
      <w:tr w:rsidR="00B5552C" w:rsidRPr="003B15F7" w14:paraId="2711EE66" w14:textId="77777777" w:rsidTr="002B207E">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21DAA0F" w14:textId="77777777" w:rsidR="00B5552C" w:rsidRPr="003B15F7" w:rsidRDefault="00B5552C" w:rsidP="002B207E">
            <w:pPr>
              <w:spacing w:before="0" w:after="0"/>
              <w:rPr>
                <w:rFonts w:eastAsia="Aptos Narrow" w:cs="Arial"/>
                <w:szCs w:val="22"/>
              </w:rPr>
            </w:pPr>
            <w:r w:rsidRPr="003B15F7">
              <w:rPr>
                <w:rFonts w:eastAsia="Aptos Narrow" w:cs="Arial"/>
                <w:szCs w:val="22"/>
              </w:rPr>
              <w:t>W1 – Alcohol and Other Drug Services – Accreditation</w:t>
            </w:r>
          </w:p>
        </w:tc>
      </w:tr>
      <w:tr w:rsidR="00B5552C" w:rsidRPr="003B15F7" w14:paraId="1818D619" w14:textId="77777777" w:rsidTr="002B207E">
        <w:trPr>
          <w:trHeight w:val="300"/>
        </w:trPr>
        <w:tc>
          <w:tcPr>
            <w:tcW w:w="907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5F37693" w14:textId="77777777" w:rsidR="00B5552C" w:rsidRPr="003B15F7" w:rsidRDefault="00B5552C" w:rsidP="002B207E">
            <w:pPr>
              <w:spacing w:before="0" w:after="0"/>
              <w:rPr>
                <w:rFonts w:eastAsia="Aptos Narrow" w:cs="Arial"/>
                <w:szCs w:val="22"/>
              </w:rPr>
            </w:pPr>
            <w:r w:rsidRPr="003B15F7">
              <w:rPr>
                <w:rFonts w:eastAsia="Aptos Narrow" w:cs="Arial"/>
                <w:szCs w:val="22"/>
              </w:rPr>
              <w:t>W2 – Alcohol and Other Drug – Health Professionals</w:t>
            </w:r>
          </w:p>
        </w:tc>
      </w:tr>
    </w:tbl>
    <w:p w14:paraId="1BF7282E" w14:textId="77777777" w:rsidR="00F124E4" w:rsidRPr="00E842CE" w:rsidRDefault="00F124E4" w:rsidP="00AA5420">
      <w:pPr>
        <w:pStyle w:val="Tabletext"/>
      </w:pPr>
    </w:p>
    <w:p w14:paraId="23FFF098" w14:textId="73CD2D39" w:rsidR="00F124E4" w:rsidRDefault="00F124E4" w:rsidP="00910488"/>
    <w:p w14:paraId="3FD0A9A1" w14:textId="77777777" w:rsidR="00910488" w:rsidRPr="00E842CE" w:rsidRDefault="00910488" w:rsidP="00910488">
      <w:pPr>
        <w:sectPr w:rsidR="00910488" w:rsidRPr="00E842CE" w:rsidSect="00910488">
          <w:headerReference w:type="even" r:id="rId56"/>
          <w:headerReference w:type="default" r:id="rId57"/>
          <w:footerReference w:type="even" r:id="rId58"/>
          <w:footerReference w:type="default" r:id="rId59"/>
          <w:headerReference w:type="first" r:id="rId60"/>
          <w:footerReference w:type="first" r:id="rId61"/>
          <w:pgSz w:w="11906" w:h="16838"/>
          <w:pgMar w:top="1701" w:right="1418" w:bottom="1418" w:left="1418" w:header="709" w:footer="709" w:gutter="0"/>
          <w:cols w:space="708"/>
          <w:docGrid w:linePitch="360"/>
        </w:sectPr>
      </w:pPr>
    </w:p>
    <w:p w14:paraId="3082D601" w14:textId="77777777" w:rsidR="00F124E4" w:rsidRPr="00E842CE" w:rsidRDefault="00F124E4" w:rsidP="00F124E4">
      <w:pPr>
        <w:pStyle w:val="URL"/>
      </w:pPr>
      <w:r w:rsidRPr="00E842CE">
        <w:lastRenderedPageBreak/>
        <w:t>Health.gov.au</w:t>
      </w:r>
    </w:p>
    <w:p w14:paraId="39C9AFA8" w14:textId="0D46695B" w:rsidR="00205A93" w:rsidRPr="00E842CE" w:rsidRDefault="00F124E4" w:rsidP="00205A93">
      <w:pPr>
        <w:jc w:val="center"/>
      </w:pPr>
      <w:r w:rsidRPr="00E842CE">
        <w:t xml:space="preserve">All information in this publication is correct as </w:t>
      </w:r>
      <w:proofErr w:type="gramStart"/>
      <w:r w:rsidRPr="00E842CE">
        <w:t>at</w:t>
      </w:r>
      <w:proofErr w:type="gramEnd"/>
      <w:r w:rsidRPr="00E842CE">
        <w:t xml:space="preserve"> </w:t>
      </w:r>
      <w:r>
        <w:t>August</w:t>
      </w:r>
      <w:r w:rsidRPr="00E842CE">
        <w:t xml:space="preserve"> </w:t>
      </w:r>
      <w:r>
        <w:t>2025</w:t>
      </w:r>
    </w:p>
    <w:sectPr w:rsidR="00205A93" w:rsidRPr="00E842CE" w:rsidSect="00925B54">
      <w:headerReference w:type="even" r:id="rId62"/>
      <w:headerReference w:type="default" r:id="rId63"/>
      <w:footerReference w:type="even" r:id="rId64"/>
      <w:footerReference w:type="default" r:id="rId65"/>
      <w:headerReference w:type="first" r:id="rId66"/>
      <w:footerReference w:type="first" r:id="rId67"/>
      <w:pgSz w:w="11906" w:h="16838"/>
      <w:pgMar w:top="1701" w:right="1418" w:bottom="1418" w:left="141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42514" w14:textId="77777777" w:rsidR="001237E8" w:rsidRDefault="001237E8" w:rsidP="006B56BB">
      <w:r>
        <w:separator/>
      </w:r>
    </w:p>
    <w:p w14:paraId="3E8F551F" w14:textId="77777777" w:rsidR="001237E8" w:rsidRDefault="001237E8"/>
  </w:endnote>
  <w:endnote w:type="continuationSeparator" w:id="0">
    <w:p w14:paraId="619F7900" w14:textId="77777777" w:rsidR="001237E8" w:rsidRDefault="001237E8" w:rsidP="006B56BB">
      <w:r>
        <w:continuationSeparator/>
      </w:r>
    </w:p>
    <w:p w14:paraId="3DF1D3EF" w14:textId="77777777" w:rsidR="001237E8" w:rsidRDefault="001237E8"/>
  </w:endnote>
  <w:endnote w:type="continuationNotice" w:id="1">
    <w:p w14:paraId="4E81CF3F" w14:textId="77777777" w:rsidR="001237E8" w:rsidRDefault="001237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D0B4D" w14:textId="6BAD2706" w:rsidR="00E22D63" w:rsidRDefault="00E22D63">
    <w:pPr>
      <w:pStyle w:val="Footer"/>
    </w:pPr>
    <w:r>
      <w:rPr>
        <w:noProof/>
      </w:rPr>
      <mc:AlternateContent>
        <mc:Choice Requires="wps">
          <w:drawing>
            <wp:anchor distT="0" distB="0" distL="0" distR="0" simplePos="0" relativeHeight="251658252" behindDoc="0" locked="0" layoutInCell="1" allowOverlap="1" wp14:anchorId="6CBF0BC3" wp14:editId="1C18B109">
              <wp:simplePos x="635" y="635"/>
              <wp:positionH relativeFrom="page">
                <wp:align>center</wp:align>
              </wp:positionH>
              <wp:positionV relativeFrom="page">
                <wp:align>bottom</wp:align>
              </wp:positionV>
              <wp:extent cx="551815" cy="480695"/>
              <wp:effectExtent l="0" t="0" r="635" b="0"/>
              <wp:wrapNone/>
              <wp:docPr id="114589816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FEA8341" w14:textId="52BA1ECB"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BF0BC3" id="_x0000_t202" coordsize="21600,21600" o:spt="202" path="m,l,21600r21600,l21600,xe">
              <v:stroke joinstyle="miter"/>
              <v:path gradientshapeok="t" o:connecttype="rect"/>
            </v:shapetype>
            <v:shape id="Text Box 11" o:spid="_x0000_s1028" type="#_x0000_t202" alt="OFFICIAL" style="position:absolute;left:0;text-align:left;margin-left:0;margin-top:0;width:43.45pt;height:37.8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2FEA8341" w14:textId="52BA1ECB"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B4DAB" w14:textId="6168E009" w:rsidR="00E22D63" w:rsidRDefault="00E22D63">
    <w:pPr>
      <w:pStyle w:val="Footer"/>
    </w:pPr>
    <w:r>
      <w:rPr>
        <w:noProof/>
      </w:rPr>
      <mc:AlternateContent>
        <mc:Choice Requires="wps">
          <w:drawing>
            <wp:anchor distT="0" distB="0" distL="0" distR="0" simplePos="0" relativeHeight="251658253" behindDoc="0" locked="0" layoutInCell="1" allowOverlap="1" wp14:anchorId="0F67A2B2" wp14:editId="351A8699">
              <wp:simplePos x="635" y="635"/>
              <wp:positionH relativeFrom="page">
                <wp:align>center</wp:align>
              </wp:positionH>
              <wp:positionV relativeFrom="page">
                <wp:align>bottom</wp:align>
              </wp:positionV>
              <wp:extent cx="551815" cy="480695"/>
              <wp:effectExtent l="0" t="0" r="635" b="0"/>
              <wp:wrapNone/>
              <wp:docPr id="1282477729"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C362552" w14:textId="5442A94F"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67A2B2" id="_x0000_t202" coordsize="21600,21600" o:spt="202" path="m,l,21600r21600,l21600,xe">
              <v:stroke joinstyle="miter"/>
              <v:path gradientshapeok="t" o:connecttype="rect"/>
            </v:shapetype>
            <v:shape id="Text Box 12" o:spid="_x0000_s1029" type="#_x0000_t202" alt="OFFICIAL" style="position:absolute;left:0;text-align:left;margin-left:0;margin-top:0;width:43.45pt;height:37.8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4C362552" w14:textId="5442A94F"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6ABC0" w14:textId="77777777" w:rsidR="00A07E33" w:rsidRDefault="00A07E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3CAE8" w14:textId="77777777" w:rsidR="00910488" w:rsidRDefault="00910488" w:rsidP="00841111">
    <w:pPr>
      <w:pStyle w:val="Footer"/>
    </w:pPr>
    <w:r>
      <w:rPr>
        <w:noProof/>
      </w:rPr>
      <mc:AlternateContent>
        <mc:Choice Requires="wps">
          <w:drawing>
            <wp:anchor distT="0" distB="0" distL="0" distR="0" simplePos="0" relativeHeight="251658262" behindDoc="0" locked="0" layoutInCell="1" allowOverlap="1" wp14:anchorId="31055067" wp14:editId="33EA5822">
              <wp:simplePos x="635" y="635"/>
              <wp:positionH relativeFrom="page">
                <wp:align>center</wp:align>
              </wp:positionH>
              <wp:positionV relativeFrom="page">
                <wp:align>bottom</wp:align>
              </wp:positionV>
              <wp:extent cx="551815" cy="480695"/>
              <wp:effectExtent l="0" t="0" r="635" b="0"/>
              <wp:wrapNone/>
              <wp:docPr id="1181215955"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97B072F" w14:textId="77777777" w:rsidR="00910488" w:rsidRPr="00E22D63" w:rsidRDefault="00910488"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055067" id="_x0000_t202" coordsize="21600,21600" o:spt="202" path="m,l,21600r21600,l21600,xe">
              <v:stroke joinstyle="miter"/>
              <v:path gradientshapeok="t" o:connecttype="rect"/>
            </v:shapetype>
            <v:shape id="Text Box 14" o:spid="_x0000_s1031" type="#_x0000_t202" alt="OFFICIAL" style="position:absolute;left:0;text-align:left;margin-left:0;margin-top:0;width:43.45pt;height:37.8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797B072F" w14:textId="77777777" w:rsidR="00910488" w:rsidRPr="00E22D63" w:rsidRDefault="00910488"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v:textbox>
              <w10:wrap anchorx="page" anchory="page"/>
            </v:shape>
          </w:pict>
        </mc:Fallback>
      </mc:AlternateContent>
    </w:r>
    <w:r>
      <w:fldChar w:fldCharType="begin"/>
    </w:r>
    <w:r>
      <w:instrText xml:space="preserve"> PAGE   \* MERGEFORMAT </w:instrText>
    </w:r>
    <w:r>
      <w:fldChar w:fldCharType="separate"/>
    </w:r>
    <w:r>
      <w:rPr>
        <w:noProof/>
      </w:rPr>
      <w:t>4</w:t>
    </w:r>
    <w:r>
      <w:rPr>
        <w:noProof/>
      </w:rPr>
      <w:fldChar w:fldCharType="end"/>
    </w:r>
    <w:r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77DA" w14:textId="508C6912" w:rsidR="00910488" w:rsidRDefault="001561D2" w:rsidP="000D56E4">
    <w:pPr>
      <w:pStyle w:val="Footer"/>
    </w:pPr>
    <w:sdt>
      <w:sdtPr>
        <w:id w:val="-2072576618"/>
        <w:docPartObj>
          <w:docPartGallery w:val="Page Numbers (Bottom of Page)"/>
          <w:docPartUnique/>
        </w:docPartObj>
      </w:sdtPr>
      <w:sdtEndPr>
        <w:rPr>
          <w:noProof/>
        </w:rPr>
      </w:sdtEndPr>
      <w:sdtContent>
        <w:r w:rsidR="00910488">
          <w:t>Primary Health Network Program Annual Performance Report 2022–23 and 2023–24</w:t>
        </w:r>
        <w:r w:rsidR="00910488">
          <w:tab/>
        </w:r>
        <w:r w:rsidR="00910488">
          <w:fldChar w:fldCharType="begin"/>
        </w:r>
        <w:r w:rsidR="00910488">
          <w:instrText xml:space="preserve"> PAGE   \* MERGEFORMAT </w:instrText>
        </w:r>
        <w:r w:rsidR="00910488">
          <w:fldChar w:fldCharType="separate"/>
        </w:r>
        <w:r w:rsidR="00910488">
          <w:rPr>
            <w:noProof/>
          </w:rPr>
          <w:t>3</w:t>
        </w:r>
        <w:r w:rsidR="00910488">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9A2AC" w14:textId="77777777" w:rsidR="00910488" w:rsidRDefault="00910488" w:rsidP="000D56E4">
    <w:pPr>
      <w:pStyle w:val="Footer"/>
    </w:pPr>
    <w:r>
      <w:rPr>
        <w:noProof/>
      </w:rPr>
      <mc:AlternateContent>
        <mc:Choice Requires="wps">
          <w:drawing>
            <wp:anchor distT="0" distB="0" distL="0" distR="0" simplePos="0" relativeHeight="251658265" behindDoc="0" locked="0" layoutInCell="1" allowOverlap="1" wp14:anchorId="35BB2383" wp14:editId="674E1D5F">
              <wp:simplePos x="635" y="635"/>
              <wp:positionH relativeFrom="page">
                <wp:align>center</wp:align>
              </wp:positionH>
              <wp:positionV relativeFrom="page">
                <wp:align>bottom</wp:align>
              </wp:positionV>
              <wp:extent cx="551815" cy="480695"/>
              <wp:effectExtent l="0" t="0" r="635" b="0"/>
              <wp:wrapNone/>
              <wp:docPr id="562130937"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66625B5" w14:textId="77777777" w:rsidR="00910488" w:rsidRPr="00E22D63" w:rsidRDefault="00910488"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BB2383" id="_x0000_t202" coordsize="21600,21600" o:spt="202" path="m,l,21600r21600,l21600,xe">
              <v:stroke joinstyle="miter"/>
              <v:path gradientshapeok="t" o:connecttype="rect"/>
            </v:shapetype>
            <v:shape id="Text Box 13" o:spid="_x0000_s1033" type="#_x0000_t202" alt="OFFICIAL" style="position:absolute;left:0;text-align:left;margin-left:0;margin-top:0;width:43.45pt;height:37.8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R1DwIAABw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au6L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tuFHUPAgAA&#10;HAQAAA4AAAAAAAAAAAAAAAAALgIAAGRycy9lMm9Eb2MueG1sUEsBAi0AFAAGAAgAAAAhAFRLWxbb&#10;AAAAAwEAAA8AAAAAAAAAAAAAAAAAaQQAAGRycy9kb3ducmV2LnhtbFBLBQYAAAAABAAEAPMAAABx&#10;BQAAAAA=&#10;" filled="f" stroked="f">
              <v:textbox style="mso-fit-shape-to-text:t" inset="0,0,0,15pt">
                <w:txbxContent>
                  <w:p w14:paraId="766625B5" w14:textId="77777777" w:rsidR="00910488" w:rsidRPr="00E22D63" w:rsidRDefault="00910488"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v:textbox>
              <w10:wrap anchorx="page" anchory="page"/>
            </v:shape>
          </w:pict>
        </mc:Fallback>
      </mc:AlternateContent>
    </w:r>
  </w:p>
  <w:sdt>
    <w:sdtPr>
      <w:id w:val="-517081720"/>
      <w:docPartObj>
        <w:docPartGallery w:val="Page Numbers (Bottom of Page)"/>
        <w:docPartUnique/>
      </w:docPartObj>
    </w:sdtPr>
    <w:sdtEndPr>
      <w:rPr>
        <w:noProof/>
      </w:rPr>
    </w:sdtEndPr>
    <w:sdtContent>
      <w:p w14:paraId="48926DBC" w14:textId="77777777" w:rsidR="00910488" w:rsidRDefault="00910488"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D56B6" w14:textId="64316EA5" w:rsidR="00E22D63" w:rsidRDefault="00E22D63">
    <w:pPr>
      <w:pStyle w:val="Footer"/>
    </w:pPr>
    <w:r>
      <w:rPr>
        <w:noProof/>
      </w:rPr>
      <mc:AlternateContent>
        <mc:Choice Requires="wps">
          <w:drawing>
            <wp:anchor distT="0" distB="0" distL="0" distR="0" simplePos="0" relativeHeight="251658258" behindDoc="0" locked="0" layoutInCell="1" allowOverlap="1" wp14:anchorId="576E8BBA" wp14:editId="5DE33056">
              <wp:simplePos x="635" y="635"/>
              <wp:positionH relativeFrom="page">
                <wp:align>center</wp:align>
              </wp:positionH>
              <wp:positionV relativeFrom="page">
                <wp:align>bottom</wp:align>
              </wp:positionV>
              <wp:extent cx="551815" cy="480695"/>
              <wp:effectExtent l="0" t="0" r="635" b="0"/>
              <wp:wrapNone/>
              <wp:docPr id="10783831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C9251C8" w14:textId="045822BA"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6E8BBA" id="_x0000_t202" coordsize="21600,21600" o:spt="202" path="m,l,21600r21600,l21600,xe">
              <v:stroke joinstyle="miter"/>
              <v:path gradientshapeok="t" o:connecttype="rect"/>
            </v:shapetype>
            <v:shape id="Text Box 17" o:spid="_x0000_s1035" type="#_x0000_t202" alt="OFFICIAL" style="position:absolute;left:0;text-align:left;margin-left:0;margin-top:0;width:43.45pt;height:37.8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ODgIAABw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0rOh+730F9wqEcDPv2lq9bLL1hPrwwhwvGOVC0&#10;4RkPqaCrKJwtShpwP//lj/nIO0Yp6VAwFTWoaErUd4P7iNoaDTcau2QU8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TBBfzg4CAAAc&#10;BAAADgAAAAAAAAAAAAAAAAAuAgAAZHJzL2Uyb0RvYy54bWxQSwECLQAUAAYACAAAACEAVEtbFtsA&#10;AAADAQAADwAAAAAAAAAAAAAAAABoBAAAZHJzL2Rvd25yZXYueG1sUEsFBgAAAAAEAAQA8wAAAHAF&#10;AAAAAA==&#10;" filled="f" stroked="f">
              <v:textbox style="mso-fit-shape-to-text:t" inset="0,0,0,15pt">
                <w:txbxContent>
                  <w:p w14:paraId="2C9251C8" w14:textId="045822BA"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8C2EB" w14:textId="7F472A9B" w:rsidR="00205A93" w:rsidRDefault="00205A93" w:rsidP="000D56E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F5910" w14:textId="744A1AF9" w:rsidR="00E22D63" w:rsidRDefault="00E22D63">
    <w:pPr>
      <w:pStyle w:val="Footer"/>
    </w:pPr>
    <w:r>
      <w:rPr>
        <w:noProof/>
      </w:rPr>
      <mc:AlternateContent>
        <mc:Choice Requires="wps">
          <w:drawing>
            <wp:anchor distT="0" distB="0" distL="0" distR="0" simplePos="0" relativeHeight="251658257" behindDoc="0" locked="0" layoutInCell="1" allowOverlap="1" wp14:anchorId="59F9BB8A" wp14:editId="1BCBFFD2">
              <wp:simplePos x="635" y="635"/>
              <wp:positionH relativeFrom="page">
                <wp:align>center</wp:align>
              </wp:positionH>
              <wp:positionV relativeFrom="page">
                <wp:align>bottom</wp:align>
              </wp:positionV>
              <wp:extent cx="551815" cy="480695"/>
              <wp:effectExtent l="0" t="0" r="635" b="0"/>
              <wp:wrapNone/>
              <wp:docPr id="100145237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C1B4DA3" w14:textId="1E7E4DB1"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F9BB8A" id="_x0000_t202" coordsize="21600,21600" o:spt="202" path="m,l,21600r21600,l21600,xe">
              <v:stroke joinstyle="miter"/>
              <v:path gradientshapeok="t" o:connecttype="rect"/>
            </v:shapetype>
            <v:shape id="Text Box 16" o:spid="_x0000_s1037" type="#_x0000_t202" alt="OFFICIAL" style="position:absolute;left:0;text-align:left;margin-left:0;margin-top:0;width:43.45pt;height:37.8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Kf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9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PUCnw4CAAAd&#10;BAAADgAAAAAAAAAAAAAAAAAuAgAAZHJzL2Uyb0RvYy54bWxQSwECLQAUAAYACAAAACEAVEtbFtsA&#10;AAADAQAADwAAAAAAAAAAAAAAAABoBAAAZHJzL2Rvd25yZXYueG1sUEsFBgAAAAAEAAQA8wAAAHAF&#10;AAAAAA==&#10;" filled="f" stroked="f">
              <v:textbox style="mso-fit-shape-to-text:t" inset="0,0,0,15pt">
                <w:txbxContent>
                  <w:p w14:paraId="5C1B4DA3" w14:textId="1E7E4DB1"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76AFC" w14:textId="77777777" w:rsidR="001237E8" w:rsidRDefault="001237E8" w:rsidP="006B56BB">
      <w:r>
        <w:separator/>
      </w:r>
    </w:p>
    <w:p w14:paraId="0C504501" w14:textId="77777777" w:rsidR="001237E8" w:rsidRDefault="001237E8"/>
  </w:footnote>
  <w:footnote w:type="continuationSeparator" w:id="0">
    <w:p w14:paraId="3FDCCD97" w14:textId="77777777" w:rsidR="001237E8" w:rsidRDefault="001237E8" w:rsidP="006B56BB">
      <w:r>
        <w:continuationSeparator/>
      </w:r>
    </w:p>
    <w:p w14:paraId="14C7E037" w14:textId="77777777" w:rsidR="001237E8" w:rsidRDefault="001237E8"/>
  </w:footnote>
  <w:footnote w:type="continuationNotice" w:id="1">
    <w:p w14:paraId="1207C210" w14:textId="77777777" w:rsidR="001237E8" w:rsidRDefault="001237E8"/>
  </w:footnote>
  <w:footnote w:id="2">
    <w:p w14:paraId="3847CE3A" w14:textId="77777777" w:rsidR="00B76981" w:rsidRDefault="00B76981" w:rsidP="00B76981">
      <w:pPr>
        <w:pStyle w:val="FootnoteText"/>
      </w:pPr>
      <w:r>
        <w:rPr>
          <w:rStyle w:val="FootnoteReference"/>
        </w:rPr>
        <w:footnoteRef/>
      </w:r>
      <w:r>
        <w:t xml:space="preserve"> </w:t>
      </w:r>
      <w:hyperlink r:id="rId1" w:history="1">
        <w:r>
          <w:rPr>
            <w:rStyle w:val="Hyperlink"/>
          </w:rPr>
          <w:t>https://www.health.gov.au/resources/publications/primary-health-networks-phn-performance-and-quality-framework</w:t>
        </w:r>
      </w:hyperlink>
    </w:p>
  </w:footnote>
  <w:footnote w:id="3">
    <w:p w14:paraId="6B36059D" w14:textId="694E102A" w:rsidR="008B67A4" w:rsidRDefault="008B67A4">
      <w:pPr>
        <w:pStyle w:val="FootnoteText"/>
      </w:pPr>
      <w:r>
        <w:rPr>
          <w:rStyle w:val="FootnoteReference"/>
        </w:rPr>
        <w:footnoteRef/>
      </w:r>
      <w:r>
        <w:t xml:space="preserve"> </w:t>
      </w:r>
      <w:r w:rsidRPr="003C37BE">
        <w:t xml:space="preserve">PHN </w:t>
      </w:r>
      <w:r w:rsidRPr="003C37BE" w:rsidDel="000B7B1C">
        <w:t>r</w:t>
      </w:r>
      <w:r w:rsidRPr="003C37BE">
        <w:t xml:space="preserve">emoteness </w:t>
      </w:r>
      <w:r>
        <w:t xml:space="preserve">aligns with the Australian Institute of Health and Welfare definition: </w:t>
      </w:r>
      <w:hyperlink r:id="rId2" w:history="1">
        <w:r w:rsidRPr="00740F86">
          <w:rPr>
            <w:rStyle w:val="Hyperlink"/>
          </w:rPr>
          <w:t>https://www.aihw.gov.au/reports-data/population-groups/rural-remote-australians/glossary on AIHW classification</w:t>
        </w:r>
      </w:hyperlink>
    </w:p>
  </w:footnote>
  <w:footnote w:id="4">
    <w:p w14:paraId="6C9000DC" w14:textId="57FCABD7" w:rsidR="00EB4836" w:rsidRDefault="00EB4836">
      <w:pPr>
        <w:pStyle w:val="FootnoteText"/>
      </w:pPr>
      <w:r>
        <w:rPr>
          <w:rStyle w:val="FootnoteReference"/>
        </w:rPr>
        <w:footnoteRef/>
      </w:r>
      <w:r>
        <w:t xml:space="preserve"> </w:t>
      </w:r>
      <w:r w:rsidR="008B67A4">
        <w:t>L</w:t>
      </w:r>
      <w:r w:rsidR="009D2BFC" w:rsidRPr="000326D2">
        <w:t xml:space="preserve">evel of disadvantage </w:t>
      </w:r>
      <w:r w:rsidR="008B67A4">
        <w:t xml:space="preserve">for a PHN </w:t>
      </w:r>
      <w:r w:rsidR="005A3454">
        <w:t xml:space="preserve">region </w:t>
      </w:r>
      <w:r w:rsidR="008B67A4">
        <w:t xml:space="preserve">is </w:t>
      </w:r>
      <w:r w:rsidR="009D2BFC" w:rsidRPr="000326D2">
        <w:t>based on the 2021 Index of Relative Socio-Economic Disadvantage</w:t>
      </w:r>
      <w:r w:rsidR="008B67A4">
        <w:t>, as</w:t>
      </w:r>
      <w:r w:rsidR="009D2BFC" w:rsidRPr="000326D2">
        <w:t xml:space="preserve"> part of the Australian Bureau of Statistics Socio-Economic Indexes for Areas (SEIFA) series.</w:t>
      </w:r>
      <w:r w:rsidR="009D2BFC">
        <w:t xml:space="preserve"> </w:t>
      </w:r>
    </w:p>
  </w:footnote>
  <w:footnote w:id="5">
    <w:p w14:paraId="2DD5BC4A" w14:textId="6ABB20A9" w:rsidR="008B67A4" w:rsidRDefault="008B67A4">
      <w:pPr>
        <w:pStyle w:val="FootnoteText"/>
      </w:pPr>
      <w:r>
        <w:rPr>
          <w:rStyle w:val="FootnoteReference"/>
        </w:rPr>
        <w:footnoteRef/>
      </w:r>
      <w:r>
        <w:t xml:space="preserve"> Including by remoteness, socio-economic disadvantage</w:t>
      </w:r>
      <w:r w:rsidR="00740F86">
        <w:t>,</w:t>
      </w:r>
      <w:r>
        <w:t xml:space="preserve"> and state and territory</w:t>
      </w:r>
      <w:r w:rsidRPr="003C37BE">
        <w:t xml:space="preserve"> group</w:t>
      </w:r>
      <w:r>
        <w:t>s</w:t>
      </w:r>
      <w:r w:rsidRPr="003C37BE">
        <w:t xml:space="preserve"> </w:t>
      </w:r>
      <w:r w:rsidR="00740F86">
        <w:t xml:space="preserve">which are </w:t>
      </w:r>
      <w:r w:rsidRPr="003C37BE">
        <w:t xml:space="preserve">based on PHN state and territory </w:t>
      </w:r>
      <w:r>
        <w:t>boundaries (</w:t>
      </w:r>
      <w:r w:rsidRPr="003C37BE">
        <w:t xml:space="preserve">Murray PHN </w:t>
      </w:r>
      <w:r>
        <w:t>includes</w:t>
      </w:r>
      <w:r w:rsidRPr="003C37BE">
        <w:t xml:space="preserve"> the </w:t>
      </w:r>
      <w:r>
        <w:t>City</w:t>
      </w:r>
      <w:r w:rsidRPr="003C37BE">
        <w:t xml:space="preserve"> of Albury</w:t>
      </w:r>
      <w:r>
        <w:t>).</w:t>
      </w:r>
    </w:p>
  </w:footnote>
  <w:footnote w:id="6">
    <w:p w14:paraId="597B6A8E" w14:textId="13504D16" w:rsidR="00AC6BAA" w:rsidRDefault="00AC6BAA">
      <w:pPr>
        <w:pStyle w:val="FootnoteText"/>
      </w:pPr>
      <w:r>
        <w:rPr>
          <w:rStyle w:val="FootnoteReference"/>
        </w:rPr>
        <w:footnoteRef/>
      </w:r>
      <w:r>
        <w:t xml:space="preserve"> </w:t>
      </w:r>
      <w:r>
        <w:rPr>
          <w:rFonts w:ascii="Helvetica" w:hAnsi="Helvetica" w:cs="Helvetica"/>
        </w:rPr>
        <w:t>D</w:t>
      </w:r>
      <w:r w:rsidRPr="003C37BE">
        <w:rPr>
          <w:rFonts w:ascii="Helvetica" w:hAnsi="Helvetica" w:cs="Helvetica"/>
        </w:rPr>
        <w:t>ata</w:t>
      </w:r>
      <w:r>
        <w:rPr>
          <w:rFonts w:ascii="Helvetica" w:hAnsi="Helvetica" w:cs="Helvetica"/>
        </w:rPr>
        <w:t xml:space="preserve"> </w:t>
      </w:r>
      <w:r w:rsidRPr="003C37BE">
        <w:rPr>
          <w:rFonts w:ascii="Helvetica" w:hAnsi="Helvetica" w:cs="Helvetica"/>
        </w:rPr>
        <w:t>from the Australian Bureau of Statistics, Australian Digital Health Agency, Australian Institute of Health and Welfare, Primary Mental Health Care Minimum Data Set, Australian Immunisation Register, Medicare Benefits Scheme and</w:t>
      </w:r>
      <w:r>
        <w:rPr>
          <w:rFonts w:ascii="Helvetica" w:hAnsi="Helvetica" w:cs="Helvetica"/>
        </w:rPr>
        <w:t xml:space="preserve"> individual </w:t>
      </w:r>
      <w:r w:rsidRPr="003C37BE">
        <w:rPr>
          <w:rFonts w:ascii="Helvetica" w:hAnsi="Helvetica" w:cs="Helvetica"/>
        </w:rPr>
        <w:t>PHN</w:t>
      </w:r>
      <w:r>
        <w:rPr>
          <w:rFonts w:ascii="Helvetica" w:hAnsi="Helvetica" w:cs="Helvetica"/>
        </w:rPr>
        <w:t xml:space="preserve"> 12-Month Performance Reports</w:t>
      </w:r>
      <w:r w:rsidRPr="003C37BE">
        <w:rPr>
          <w:rFonts w:ascii="Helvetica" w:hAnsi="Helvetica" w:cs="Helvetica"/>
        </w:rPr>
        <w:t>.</w:t>
      </w:r>
      <w:r w:rsidR="00861DC4">
        <w:rPr>
          <w:rFonts w:ascii="Helvetica" w:hAnsi="Helvetica" w:cs="Helvetica"/>
        </w:rPr>
        <w:t xml:space="preserve"> Data tables </w:t>
      </w:r>
      <w:r w:rsidR="00740F86">
        <w:rPr>
          <w:rFonts w:ascii="Helvetica" w:hAnsi="Helvetica" w:cs="Helvetica"/>
        </w:rPr>
        <w:t xml:space="preserve">for this report </w:t>
      </w:r>
      <w:r w:rsidR="00861DC4">
        <w:rPr>
          <w:rFonts w:ascii="Helvetica" w:hAnsi="Helvetica" w:cs="Helvetica"/>
        </w:rPr>
        <w:t xml:space="preserve">will be published separately on the Department of Health, Disability and Ageing website. </w:t>
      </w:r>
    </w:p>
  </w:footnote>
  <w:footnote w:id="7">
    <w:p w14:paraId="35BF4842" w14:textId="77777777" w:rsidR="00B76981" w:rsidRDefault="00B76981" w:rsidP="00B76981">
      <w:pPr>
        <w:pStyle w:val="FootnoteText"/>
      </w:pPr>
      <w:r>
        <w:rPr>
          <w:rStyle w:val="FootnoteReference"/>
        </w:rPr>
        <w:footnoteRef/>
      </w:r>
      <w:r>
        <w:t xml:space="preserve"> </w:t>
      </w:r>
      <w:hyperlink r:id="rId3" w:history="1">
        <w:r w:rsidRPr="00B33FE2">
          <w:rPr>
            <w:rStyle w:val="Hyperlink"/>
          </w:rPr>
          <w:t>https://www.anao.gov.au/work/performance-audit/effectiveness-the-department-health-and-aged-cares-performance-management-primary-health-networks</w:t>
        </w:r>
      </w:hyperlink>
      <w:r>
        <w:t xml:space="preserve"> </w:t>
      </w:r>
    </w:p>
  </w:footnote>
  <w:footnote w:id="8">
    <w:p w14:paraId="0643E6DE" w14:textId="77777777" w:rsidR="00B76981" w:rsidRDefault="00B76981" w:rsidP="00B76981">
      <w:pPr>
        <w:pStyle w:val="FootnoteText"/>
      </w:pPr>
      <w:r>
        <w:rPr>
          <w:rStyle w:val="FootnoteReference"/>
        </w:rPr>
        <w:footnoteRef/>
      </w:r>
      <w:r>
        <w:t xml:space="preserve"> Ibid, in response to Recommendation 6.</w:t>
      </w:r>
    </w:p>
  </w:footnote>
  <w:footnote w:id="9">
    <w:p w14:paraId="75FC92C9" w14:textId="77777777" w:rsidR="00B76981" w:rsidRDefault="00B76981" w:rsidP="00B76981">
      <w:pPr>
        <w:pStyle w:val="FootnoteText"/>
      </w:pPr>
      <w:r>
        <w:rPr>
          <w:rStyle w:val="FootnoteReference"/>
        </w:rPr>
        <w:footnoteRef/>
      </w:r>
      <w:r>
        <w:t xml:space="preserve"> Ibid, Recommendation 5.</w:t>
      </w:r>
    </w:p>
  </w:footnote>
  <w:footnote w:id="10">
    <w:p w14:paraId="0D8924E4" w14:textId="52F94FA6" w:rsidR="00AC6BAA" w:rsidRDefault="00AC6BAA" w:rsidP="00AC6BAA">
      <w:pPr>
        <w:pStyle w:val="FootnoteText"/>
      </w:pPr>
      <w:r>
        <w:rPr>
          <w:rStyle w:val="FootnoteReference"/>
        </w:rPr>
        <w:footnoteRef/>
      </w:r>
      <w:r>
        <w:t xml:space="preserve"> </w:t>
      </w:r>
      <w:hyperlink r:id="rId4" w:history="1">
        <w:r w:rsidRPr="00C9175C">
          <w:rPr>
            <w:rStyle w:val="Hyperlink"/>
          </w:rPr>
          <w:t>https://www.health.gov.au/news/end-of-covid-19-emergency-response?language=en</w:t>
        </w:r>
      </w:hyperlink>
    </w:p>
  </w:footnote>
  <w:footnote w:id="11">
    <w:p w14:paraId="0D8E082D" w14:textId="2C5E40B9" w:rsidR="004B1EFE" w:rsidRDefault="004B1EFE">
      <w:pPr>
        <w:pStyle w:val="FootnoteText"/>
      </w:pPr>
      <w:r>
        <w:rPr>
          <w:rStyle w:val="FootnoteReference"/>
        </w:rPr>
        <w:footnoteRef/>
      </w:r>
      <w:r>
        <w:t xml:space="preserve"> </w:t>
      </w:r>
      <w:hyperlink r:id="rId5" w:history="1">
        <w:r w:rsidRPr="004B1EFE">
          <w:rPr>
            <w:rStyle w:val="Hyperlink"/>
          </w:rPr>
          <w:t>https://www.health.gov.au/our-work/strengthening-medicare-measures/increasing-access-to-primary-care</w:t>
        </w:r>
      </w:hyperlink>
    </w:p>
  </w:footnote>
  <w:footnote w:id="12">
    <w:p w14:paraId="777CDF88" w14:textId="2B00B3AF" w:rsidR="004B1EFE" w:rsidRDefault="004B1EFE">
      <w:pPr>
        <w:pStyle w:val="FootnoteText"/>
      </w:pPr>
      <w:r>
        <w:rPr>
          <w:rStyle w:val="FootnoteReference"/>
        </w:rPr>
        <w:footnoteRef/>
      </w:r>
      <w:r>
        <w:t xml:space="preserve"> </w:t>
      </w:r>
      <w:hyperlink r:id="rId6" w:history="1">
        <w:r w:rsidRPr="004B1EFE">
          <w:rPr>
            <w:rStyle w:val="Hyperlink"/>
          </w:rPr>
          <w:t>https://www.health.gov.au/committees-and-groups/primary-care-and-workforce-reviews-taskforce</w:t>
        </w:r>
      </w:hyperlink>
    </w:p>
  </w:footnote>
  <w:footnote w:id="13">
    <w:p w14:paraId="77457A9F" w14:textId="5E614219" w:rsidR="004B1EFE" w:rsidRDefault="004B1EFE">
      <w:pPr>
        <w:pStyle w:val="FootnoteText"/>
      </w:pPr>
      <w:r>
        <w:rPr>
          <w:rStyle w:val="FootnoteReference"/>
        </w:rPr>
        <w:footnoteRef/>
      </w:r>
      <w:r>
        <w:t xml:space="preserve"> </w:t>
      </w:r>
      <w:hyperlink r:id="rId7" w:history="1">
        <w:r w:rsidRPr="004B1EFE">
          <w:rPr>
            <w:rStyle w:val="Hyperlink"/>
          </w:rPr>
          <w:t>https://www.royalcommission.gov.au/aged-care</w:t>
        </w:r>
      </w:hyperlink>
    </w:p>
  </w:footnote>
  <w:footnote w:id="14">
    <w:p w14:paraId="1B49058C" w14:textId="3AFFD017" w:rsidR="008A57CE" w:rsidRDefault="008A57CE" w:rsidP="008A57CE">
      <w:pPr>
        <w:pStyle w:val="FootnoteText"/>
      </w:pPr>
      <w:r>
        <w:rPr>
          <w:rStyle w:val="FootnoteReference"/>
        </w:rPr>
        <w:footnoteRef/>
      </w:r>
      <w:r>
        <w:t xml:space="preserve"> </w:t>
      </w:r>
      <w:bookmarkStart w:id="9" w:name="_Hlk204586461"/>
      <w:r>
        <w:t>Includes</w:t>
      </w:r>
      <w:r w:rsidRPr="00361114">
        <w:t xml:space="preserve"> funding </w:t>
      </w:r>
      <w:r>
        <w:t>for</w:t>
      </w:r>
      <w:r w:rsidRPr="00361114">
        <w:t xml:space="preserve"> the </w:t>
      </w:r>
      <w:r>
        <w:t xml:space="preserve">Strengthening Medicare – </w:t>
      </w:r>
      <w:r w:rsidRPr="00361114">
        <w:t>G</w:t>
      </w:r>
      <w:r>
        <w:t xml:space="preserve">eneral </w:t>
      </w:r>
      <w:r w:rsidRPr="00361114">
        <w:t>P</w:t>
      </w:r>
      <w:r>
        <w:t>ractice</w:t>
      </w:r>
      <w:r w:rsidRPr="00361114">
        <w:t xml:space="preserve"> Grants Program</w:t>
      </w:r>
      <w:r>
        <w:t>,</w:t>
      </w:r>
      <w:r w:rsidR="00826D48">
        <w:t xml:space="preserve"> which provided grant funding over two years and ended on 30 June 2023</w:t>
      </w:r>
      <w:r w:rsidRPr="00361114">
        <w:t xml:space="preserve">. Income levels </w:t>
      </w:r>
      <w:r w:rsidR="000B21AC">
        <w:t>for</w:t>
      </w:r>
      <w:r w:rsidRPr="00361114">
        <w:t xml:space="preserve"> all other P</w:t>
      </w:r>
      <w:r>
        <w:t xml:space="preserve">ilots and Targeted Programs </w:t>
      </w:r>
      <w:r w:rsidR="000B21AC" w:rsidRPr="00361114">
        <w:t xml:space="preserve">activities </w:t>
      </w:r>
      <w:r w:rsidRPr="00361114">
        <w:t xml:space="preserve">have either grown or remained </w:t>
      </w:r>
      <w:r w:rsidR="000B21AC">
        <w:t>the same</w:t>
      </w:r>
      <w:r w:rsidRPr="00361114">
        <w:t xml:space="preserve"> across the two years.</w:t>
      </w:r>
      <w:bookmarkEnd w:id="9"/>
    </w:p>
  </w:footnote>
  <w:footnote w:id="15">
    <w:p w14:paraId="1477CFB6" w14:textId="4FC0EF8A" w:rsidR="00404ED5" w:rsidRDefault="00404ED5">
      <w:pPr>
        <w:pStyle w:val="FootnoteText"/>
      </w:pPr>
      <w:r>
        <w:rPr>
          <w:rStyle w:val="FootnoteReference"/>
        </w:rPr>
        <w:footnoteRef/>
      </w:r>
      <w:r>
        <w:t xml:space="preserve"> Headings throughout this report include performance indicator </w:t>
      </w:r>
      <w:r w:rsidR="009067C5">
        <w:t>identifiers</w:t>
      </w:r>
      <w:r>
        <w:t xml:space="preserve"> </w:t>
      </w:r>
      <w:r w:rsidR="006301EC">
        <w:t>to</w:t>
      </w:r>
      <w:r>
        <w:t xml:space="preserve"> </w:t>
      </w:r>
      <w:r w:rsidR="006301EC">
        <w:t>connect</w:t>
      </w:r>
      <w:r>
        <w:t xml:space="preserve"> reporting with the Performance and Quality Framework</w:t>
      </w:r>
      <w:r w:rsidR="006301EC">
        <w:t>.</w:t>
      </w:r>
    </w:p>
  </w:footnote>
  <w:footnote w:id="16">
    <w:p w14:paraId="4C9D5669" w14:textId="20E60D7F" w:rsidR="00927421" w:rsidRDefault="00927421">
      <w:pPr>
        <w:pStyle w:val="FootnoteText"/>
      </w:pPr>
      <w:r>
        <w:rPr>
          <w:rStyle w:val="FootnoteReference"/>
        </w:rPr>
        <w:footnoteRef/>
      </w:r>
      <w:r>
        <w:t xml:space="preserve"> </w:t>
      </w:r>
      <w:hyperlink r:id="rId8" w:history="1">
        <w:r w:rsidR="00A21B38" w:rsidRPr="00A21B38">
          <w:rPr>
            <w:rStyle w:val="Hyperlink"/>
          </w:rPr>
          <w:t>https://www.aihw.gov.au/reports/primary-health-care/potentially-preventable-hospitalisations-2017-2023/contents/potentially-preventable-hospitalisations</w:t>
        </w:r>
      </w:hyperlink>
    </w:p>
  </w:footnote>
  <w:footnote w:id="17">
    <w:p w14:paraId="06B5FB19" w14:textId="76B58414" w:rsidR="000F561F" w:rsidRDefault="000F561F">
      <w:pPr>
        <w:pStyle w:val="FootnoteText"/>
      </w:pPr>
      <w:r>
        <w:rPr>
          <w:rStyle w:val="FootnoteReference"/>
        </w:rPr>
        <w:footnoteRef/>
      </w:r>
      <w:r>
        <w:t xml:space="preserve"> </w:t>
      </w:r>
      <w:r w:rsidR="00C16B5C">
        <w:t xml:space="preserve">Explanation of </w:t>
      </w:r>
      <w:r w:rsidR="00C16B5C" w:rsidRPr="00C16B5C">
        <w:t>a</w:t>
      </w:r>
      <w:r w:rsidRPr="00C16B5C">
        <w:t>ge-standardised rate</w:t>
      </w:r>
      <w:r w:rsidR="00C16B5C" w:rsidRPr="00C16B5C">
        <w:t>s</w:t>
      </w:r>
      <w:r w:rsidR="00C16B5C">
        <w:t xml:space="preserve">: </w:t>
      </w:r>
      <w:hyperlink r:id="rId9" w:history="1">
        <w:r w:rsidR="00C16B5C" w:rsidRPr="00C16B5C">
          <w:rPr>
            <w:rStyle w:val="Hyperlink"/>
          </w:rPr>
          <w:t>https://www.aihw.gov.au/getmedia/996b2236-c728-4e84-a67b-e775a8bf6a17/hrra-x01.pdf.aspx</w:t>
        </w:r>
      </w:hyperlink>
    </w:p>
  </w:footnote>
  <w:footnote w:id="18">
    <w:p w14:paraId="14ADAFF6" w14:textId="3A3C693B" w:rsidR="00861DC4" w:rsidRDefault="00861DC4">
      <w:pPr>
        <w:pStyle w:val="FootnoteText"/>
      </w:pPr>
      <w:r>
        <w:rPr>
          <w:rStyle w:val="FootnoteReference"/>
        </w:rPr>
        <w:footnoteRef/>
      </w:r>
      <w:r w:rsidR="00C16B5C">
        <w:t xml:space="preserve"> D</w:t>
      </w:r>
      <w:r>
        <w:t>efinitions of potentially preventable conditions</w:t>
      </w:r>
      <w:r w:rsidR="00C16B5C">
        <w:t>:</w:t>
      </w:r>
      <w:r>
        <w:t xml:space="preserve"> </w:t>
      </w:r>
      <w:hyperlink r:id="rId10" w:history="1">
        <w:r w:rsidR="00C16B5C" w:rsidRPr="009E2C33">
          <w:rPr>
            <w:rStyle w:val="Hyperlink"/>
          </w:rPr>
          <w:t>https://meteor.aihw.gov.au/content/800169</w:t>
        </w:r>
      </w:hyperlink>
    </w:p>
  </w:footnote>
  <w:footnote w:id="19">
    <w:p w14:paraId="61AF252E" w14:textId="12327CB8" w:rsidR="00292C5E" w:rsidRDefault="00292C5E">
      <w:pPr>
        <w:pStyle w:val="FootnoteText"/>
      </w:pPr>
      <w:r>
        <w:rPr>
          <w:rStyle w:val="FootnoteReference"/>
        </w:rPr>
        <w:footnoteRef/>
      </w:r>
      <w:r>
        <w:t xml:space="preserve"> </w:t>
      </w:r>
      <w:hyperlink r:id="rId11" w:history="1">
        <w:r w:rsidRPr="00C9175C">
          <w:rPr>
            <w:rStyle w:val="Hyperlink"/>
          </w:rPr>
          <w:t>https://www.health.gov.au/our-work/indigenous-australians-health-programme</w:t>
        </w:r>
      </w:hyperlink>
    </w:p>
  </w:footnote>
  <w:footnote w:id="20">
    <w:p w14:paraId="1AE6BA9D" w14:textId="77777777" w:rsidR="00087EB1" w:rsidRDefault="00087EB1" w:rsidP="00087EB1">
      <w:pPr>
        <w:pStyle w:val="FootnoteText"/>
      </w:pPr>
      <w:r>
        <w:rPr>
          <w:rStyle w:val="FootnoteReference"/>
        </w:rPr>
        <w:footnoteRef/>
      </w:r>
      <w:r>
        <w:t xml:space="preserve"> Brisbane North, Brisbane South and Gold Coast PHNs.</w:t>
      </w:r>
    </w:p>
  </w:footnote>
  <w:footnote w:id="21">
    <w:p w14:paraId="44F69BF9" w14:textId="7DD82426" w:rsidR="00CE407C" w:rsidRDefault="00CE407C">
      <w:pPr>
        <w:pStyle w:val="FootnoteText"/>
      </w:pPr>
      <w:r>
        <w:rPr>
          <w:rStyle w:val="FootnoteReference"/>
        </w:rPr>
        <w:footnoteRef/>
      </w:r>
      <w:r>
        <w:t xml:space="preserve"> </w:t>
      </w:r>
      <w:hyperlink r:id="rId12" w:history="1">
        <w:r>
          <w:rPr>
            <w:rStyle w:val="Hyperlink"/>
          </w:rPr>
          <w:t>https://www.health.gov.au/resources/publications/integrated-team-care-program-implementation-guidelines</w:t>
        </w:r>
      </w:hyperlink>
    </w:p>
  </w:footnote>
  <w:footnote w:id="22">
    <w:p w14:paraId="6135CE7F" w14:textId="00AFE5D3" w:rsidR="003D6524" w:rsidRDefault="003D6524">
      <w:pPr>
        <w:pStyle w:val="FootnoteText"/>
      </w:pPr>
      <w:r>
        <w:rPr>
          <w:rStyle w:val="FootnoteReference"/>
        </w:rPr>
        <w:footnoteRef/>
      </w:r>
      <w:r>
        <w:t xml:space="preserve"> </w:t>
      </w:r>
      <w:r w:rsidR="00DF5921">
        <w:t>Royal Australian College of General Practitioners (RACGP’s) response to Review of general practice accreditation</w:t>
      </w:r>
      <w:r w:rsidR="00045D09">
        <w:t xml:space="preserve"> arrangements consultation. Accessed 27/08/2025 </w:t>
      </w:r>
      <w:hyperlink r:id="rId13" w:history="1">
        <w:r w:rsidR="00045D09" w:rsidRPr="00045D09">
          <w:rPr>
            <w:rStyle w:val="Hyperlink"/>
          </w:rPr>
          <w:t>RACGP-response-General-practice-accreditation-arrangements-review.pdf</w:t>
        </w:r>
      </w:hyperlink>
      <w:r w:rsidR="00045D09">
        <w:t xml:space="preserve"> </w:t>
      </w:r>
    </w:p>
  </w:footnote>
  <w:footnote w:id="23">
    <w:p w14:paraId="0CB0A5FF" w14:textId="16C3F696" w:rsidR="006B3D78" w:rsidRDefault="006B3D78">
      <w:pPr>
        <w:pStyle w:val="FootnoteText"/>
      </w:pPr>
      <w:r>
        <w:rPr>
          <w:rStyle w:val="FootnoteReference"/>
        </w:rPr>
        <w:footnoteRef/>
      </w:r>
      <w:r>
        <w:t xml:space="preserve"> </w:t>
      </w:r>
      <w:r w:rsidR="00CD1698">
        <w:t>A</w:t>
      </w:r>
      <w:r w:rsidR="004D48F1">
        <w:t xml:space="preserve">n error </w:t>
      </w:r>
      <w:r w:rsidR="00CD1698">
        <w:t xml:space="preserve">in reporting </w:t>
      </w:r>
      <w:r w:rsidR="002131FA">
        <w:t xml:space="preserve">practice numbers led to an </w:t>
      </w:r>
      <w:r w:rsidR="008D09D4">
        <w:t>incorrect result</w:t>
      </w:r>
      <w:r w:rsidR="00D574F5">
        <w:t xml:space="preserve"> in 2021-22. </w:t>
      </w:r>
    </w:p>
  </w:footnote>
  <w:footnote w:id="24">
    <w:p w14:paraId="4F22DF83" w14:textId="12EC41C1" w:rsidR="00C110A9" w:rsidRDefault="00C110A9">
      <w:pPr>
        <w:pStyle w:val="FootnoteText"/>
      </w:pPr>
      <w:r>
        <w:rPr>
          <w:rStyle w:val="FootnoteReference"/>
        </w:rPr>
        <w:footnoteRef/>
      </w:r>
      <w:r>
        <w:t xml:space="preserve"> 2023–24 and 2022–23 indicator data extracted from the Primary Mental Health Care Minimum Data Set as </w:t>
      </w:r>
      <w:proofErr w:type="gramStart"/>
      <w:r>
        <w:t>at</w:t>
      </w:r>
      <w:proofErr w:type="gramEnd"/>
      <w:r>
        <w:t xml:space="preserve"> 30 September 2024 and may differ from data used to assess PHN performance for this indicator for 2022–23. As a dynamic administrative data set that can change over time, caution should be used when comparing data presented in this report.</w:t>
      </w:r>
    </w:p>
  </w:footnote>
  <w:footnote w:id="25">
    <w:p w14:paraId="24BC0A52" w14:textId="4EA2170D" w:rsidR="00A34AF7" w:rsidRDefault="00A34AF7">
      <w:pPr>
        <w:pStyle w:val="FootnoteText"/>
      </w:pPr>
      <w:r>
        <w:rPr>
          <w:rStyle w:val="FootnoteReference"/>
        </w:rPr>
        <w:footnoteRef/>
      </w:r>
      <w:r>
        <w:t xml:space="preserve"> </w:t>
      </w:r>
      <w:hyperlink r:id="rId14" w:history="1">
        <w:r w:rsidRPr="00F46B79">
          <w:rPr>
            <w:rStyle w:val="Hyperlink"/>
          </w:rPr>
          <w:t>https://nacchocommunique.com/wp-content/uploads/2016/12/cultural_respect_framework_1december2016_1.pdf</w:t>
        </w:r>
      </w:hyperlink>
    </w:p>
  </w:footnote>
  <w:footnote w:id="26">
    <w:p w14:paraId="60C827FE" w14:textId="148505AF" w:rsidR="009C59F4" w:rsidRDefault="009C59F4">
      <w:pPr>
        <w:pStyle w:val="FootnoteText"/>
      </w:pPr>
      <w:r>
        <w:rPr>
          <w:rStyle w:val="FootnoteReference"/>
        </w:rPr>
        <w:footnoteRef/>
      </w:r>
      <w:r>
        <w:t xml:space="preserve"> Brisbane North, Brisbane South and Gold Coast PHNs</w:t>
      </w:r>
      <w:r w:rsidR="005524C0">
        <w:t xml:space="preserve"> transferred funding and responsibility for delivery of ITC services for their regions to the Institute for Urban Indigenous Health in 2022–23</w:t>
      </w:r>
      <w:r>
        <w:t>.</w:t>
      </w:r>
    </w:p>
  </w:footnote>
  <w:footnote w:id="27">
    <w:p w14:paraId="72A81398" w14:textId="195DC88E" w:rsidR="00B11846" w:rsidRDefault="00B11846">
      <w:pPr>
        <w:pStyle w:val="FootnoteText"/>
      </w:pPr>
      <w:r>
        <w:rPr>
          <w:rStyle w:val="FootnoteReference"/>
        </w:rPr>
        <w:footnoteRef/>
      </w:r>
      <w:r>
        <w:t xml:space="preserve"> </w:t>
      </w:r>
      <w:r w:rsidRPr="00B11846">
        <w:t>https://www.health.gov.au/resources/publications/national-immunisation-strategy-for-australia-2025-2030</w:t>
      </w:r>
      <w:r>
        <w:t>.</w:t>
      </w:r>
    </w:p>
  </w:footnote>
  <w:footnote w:id="28">
    <w:p w14:paraId="71073C39" w14:textId="28FAE9FD" w:rsidR="00736C40" w:rsidRDefault="00736C40">
      <w:pPr>
        <w:pStyle w:val="FootnoteText"/>
      </w:pPr>
      <w:r>
        <w:rPr>
          <w:rStyle w:val="FootnoteReference"/>
        </w:rPr>
        <w:footnoteRef/>
      </w:r>
      <w:r>
        <w:t xml:space="preserve"> </w:t>
      </w:r>
      <w:r w:rsidRPr="00736C40">
        <w:t>Australian Institute of Health and Welfare (2024) BreastScreen Australia monitoring report 2024, catalogue number CAN 162, AIHW, Australian Government</w:t>
      </w:r>
      <w:r>
        <w:t xml:space="preserve"> at p</w:t>
      </w:r>
      <w:r w:rsidR="00BC0ED8">
        <w:t>p</w:t>
      </w:r>
      <w:r>
        <w:t>. 7</w:t>
      </w:r>
      <w:r w:rsidR="00BC0ED8">
        <w:t>–8</w:t>
      </w:r>
      <w:r>
        <w:t>.</w:t>
      </w:r>
    </w:p>
  </w:footnote>
  <w:footnote w:id="29">
    <w:p w14:paraId="1407A8CF" w14:textId="3A8422DD" w:rsidR="004E692F" w:rsidRDefault="004E692F">
      <w:pPr>
        <w:pStyle w:val="FootnoteText"/>
      </w:pPr>
      <w:r>
        <w:rPr>
          <w:rStyle w:val="FootnoteReference"/>
        </w:rPr>
        <w:footnoteRef/>
      </w:r>
      <w:r>
        <w:t xml:space="preserve"> Data for cancer screening is traditionally reported using collated PHN </w:t>
      </w:r>
      <w:r w:rsidR="00327EA3">
        <w:t>data;</w:t>
      </w:r>
      <w:r>
        <w:t xml:space="preserve"> </w:t>
      </w:r>
      <w:r w:rsidR="00327EA3">
        <w:t>however,</w:t>
      </w:r>
      <w:r>
        <w:t xml:space="preserve"> PHN data was unavailable at the time of reporting for 2020–21. As a result, national data has been used for reporting. </w:t>
      </w:r>
    </w:p>
  </w:footnote>
  <w:footnote w:id="30">
    <w:p w14:paraId="3BE13806" w14:textId="5BF568AD" w:rsidR="004E692F" w:rsidRDefault="004E692F">
      <w:pPr>
        <w:pStyle w:val="FootnoteText"/>
      </w:pPr>
      <w:r>
        <w:rPr>
          <w:rStyle w:val="FootnoteReference"/>
        </w:rPr>
        <w:footnoteRef/>
      </w:r>
      <w:r>
        <w:t xml:space="preserve"> Excludes consideration of 2020-21 in trend due to unavailability of PHN data.</w:t>
      </w:r>
    </w:p>
  </w:footnote>
  <w:footnote w:id="31">
    <w:p w14:paraId="5E775CF5" w14:textId="33C512E0" w:rsidR="00FE78AF" w:rsidRDefault="00FE78AF">
      <w:pPr>
        <w:pStyle w:val="FootnoteText"/>
      </w:pPr>
      <w:r>
        <w:rPr>
          <w:rStyle w:val="FootnoteReference"/>
        </w:rPr>
        <w:footnoteRef/>
      </w:r>
      <w:r>
        <w:t xml:space="preserve"> Screening recommendations </w:t>
      </w:r>
      <w:r w:rsidR="00B0678C">
        <w:t xml:space="preserve">changed from two-yearly to five-yearly from December 2017. </w:t>
      </w:r>
    </w:p>
  </w:footnote>
  <w:footnote w:id="32">
    <w:p w14:paraId="27A3209B" w14:textId="7A7A6F31" w:rsidR="00645A9C" w:rsidRDefault="00645A9C">
      <w:pPr>
        <w:pStyle w:val="FootnoteText"/>
      </w:pPr>
      <w:r>
        <w:rPr>
          <w:rStyle w:val="FootnoteReference"/>
        </w:rPr>
        <w:footnoteRef/>
      </w:r>
      <w:r>
        <w:t xml:space="preserve"> </w:t>
      </w:r>
      <w:r w:rsidRPr="00645A9C">
        <w:t>Australian Institute of Health and Welfare (2024) National Cervical Screening Program monitoring report 2024, catalogue number CAN 163, AIHW, Australian Government</w:t>
      </w:r>
      <w:r>
        <w:t>, p. 15.</w:t>
      </w:r>
    </w:p>
  </w:footnote>
  <w:footnote w:id="33">
    <w:p w14:paraId="31BF05AC" w14:textId="79FE8A0B" w:rsidR="00F369C0" w:rsidRDefault="00F369C0">
      <w:pPr>
        <w:pStyle w:val="FootnoteText"/>
      </w:pPr>
      <w:r>
        <w:rPr>
          <w:rStyle w:val="FootnoteReference"/>
        </w:rPr>
        <w:footnoteRef/>
      </w:r>
      <w:r>
        <w:t xml:space="preserve"> Ibid, p. 19.</w:t>
      </w:r>
    </w:p>
  </w:footnote>
  <w:footnote w:id="34">
    <w:p w14:paraId="43794E04" w14:textId="00DAD0B7" w:rsidR="00481A90" w:rsidRDefault="00481A90">
      <w:pPr>
        <w:pStyle w:val="FootnoteText"/>
      </w:pPr>
      <w:r>
        <w:rPr>
          <w:rStyle w:val="FootnoteReference"/>
        </w:rPr>
        <w:footnoteRef/>
      </w:r>
      <w:r>
        <w:t xml:space="preserve"> </w:t>
      </w:r>
      <w:r w:rsidR="008406FF">
        <w:t>R</w:t>
      </w:r>
      <w:r>
        <w:t>eport</w:t>
      </w:r>
      <w:r w:rsidR="008406FF">
        <w:t>ing</w:t>
      </w:r>
      <w:r>
        <w:t xml:space="preserve"> </w:t>
      </w:r>
      <w:r w:rsidR="008406FF">
        <w:t>for</w:t>
      </w:r>
      <w:r>
        <w:t xml:space="preserve"> this </w:t>
      </w:r>
      <w:r w:rsidR="008406FF">
        <w:t>indicator</w:t>
      </w:r>
      <w:r>
        <w:t xml:space="preserve"> is affected by delays </w:t>
      </w:r>
      <w:r w:rsidR="008406FF">
        <w:t xml:space="preserve">in publication of relevant data, creating limitations in comparing data with other indicators for the reporting period. </w:t>
      </w:r>
    </w:p>
  </w:footnote>
  <w:footnote w:id="35">
    <w:p w14:paraId="4C17C547" w14:textId="2676497D" w:rsidR="007A003B" w:rsidRDefault="007A003B" w:rsidP="007A003B">
      <w:pPr>
        <w:pStyle w:val="FootnoteText"/>
      </w:pPr>
      <w:r w:rsidRPr="7F43BA72">
        <w:rPr>
          <w:rStyle w:val="FootnoteReference"/>
        </w:rPr>
        <w:footnoteRef/>
      </w:r>
      <w:r>
        <w:t xml:space="preserve"> </w:t>
      </w:r>
      <w:r w:rsidR="00C110A9">
        <w:t xml:space="preserve">2023–24 and 2022–23 indicator data extracted from the Primary Mental Health Care Minimum Data Set as </w:t>
      </w:r>
      <w:proofErr w:type="gramStart"/>
      <w:r w:rsidR="00C110A9">
        <w:t>at</w:t>
      </w:r>
      <w:proofErr w:type="gramEnd"/>
      <w:r w:rsidR="00C110A9">
        <w:t xml:space="preserve"> 30 September 2024 and may differ from data used to assess PHN performance for this indicator for 2022–23. As a dynamic administrative data set that can change over time, caution should be used when comparing data presented in this report.</w:t>
      </w:r>
      <w:r w:rsidR="002661FF">
        <w:t xml:space="preserve"> </w:t>
      </w:r>
      <w:r w:rsidR="00671D9D" w:rsidRPr="00671D9D">
        <w:t xml:space="preserve">The data collection methodology changed in 2021-22. Data from 2018-19 to 2020-21 was self-reported to the department by PHNs using the PMHC MDS. From 2021-22, data is extracted </w:t>
      </w:r>
      <w:r w:rsidR="00C624FB">
        <w:t xml:space="preserve">directly </w:t>
      </w:r>
      <w:r w:rsidR="00671D9D" w:rsidRPr="00671D9D">
        <w:t>from the PMHC MDS by the department</w:t>
      </w:r>
      <w:r w:rsidR="00671D9D">
        <w:t xml:space="preserve">. </w:t>
      </w:r>
    </w:p>
  </w:footnote>
  <w:footnote w:id="36">
    <w:p w14:paraId="34CF713B" w14:textId="6876E110" w:rsidR="00C110A9" w:rsidRDefault="00C110A9">
      <w:pPr>
        <w:pStyle w:val="FootnoteText"/>
      </w:pPr>
      <w:r>
        <w:rPr>
          <w:rStyle w:val="FootnoteReference"/>
        </w:rPr>
        <w:footnoteRef/>
      </w:r>
      <w:r w:rsidR="00BF41D5">
        <w:t xml:space="preserve"> </w:t>
      </w:r>
      <w:r w:rsidR="004C3A4B">
        <w:t xml:space="preserve">2023–24 and 2022–23 indicator data extracted from the Primary Mental Health Care Minimum Data Set as </w:t>
      </w:r>
      <w:proofErr w:type="gramStart"/>
      <w:r w:rsidR="004C3A4B">
        <w:t>at</w:t>
      </w:r>
      <w:proofErr w:type="gramEnd"/>
      <w:r w:rsidR="004C3A4B">
        <w:t xml:space="preserve"> 30 September 2024 and may differ from data used to assess PHN performance for this indicator for 2022–23. As a dynamic administrative data set that can change over time, caution should be used when comparing data presented in this report. </w:t>
      </w:r>
      <w:r w:rsidR="004C3A4B" w:rsidRPr="00671D9D">
        <w:t xml:space="preserve">The data collection methodology changed in 2021-22. Data from 2018-19 to 2020-21 was self-reported to the department by PHNs using the PMHC MDS. From 2021-22, data is extracted </w:t>
      </w:r>
      <w:r w:rsidR="004C3A4B">
        <w:t xml:space="preserve">directly </w:t>
      </w:r>
      <w:r w:rsidR="004C3A4B" w:rsidRPr="00671D9D">
        <w:t>from the PMHC MDS by the department</w:t>
      </w:r>
      <w:r w:rsidR="004C3A4B">
        <w:t>.</w:t>
      </w:r>
    </w:p>
  </w:footnote>
  <w:footnote w:id="37">
    <w:p w14:paraId="71067AED" w14:textId="754F0AEA" w:rsidR="00FA532B" w:rsidRDefault="00FA532B">
      <w:pPr>
        <w:pStyle w:val="FootnoteText"/>
      </w:pPr>
      <w:r>
        <w:rPr>
          <w:rStyle w:val="FootnoteReference"/>
        </w:rPr>
        <w:footnoteRef/>
      </w:r>
      <w:r>
        <w:t xml:space="preserve"> </w:t>
      </w:r>
      <w:hyperlink r:id="rId15" w:history="1">
        <w:r w:rsidRPr="00263974">
          <w:rPr>
            <w:rStyle w:val="Hyperlink"/>
          </w:rPr>
          <w:t>https://www.aihw.gov.au/reports/primary-health-care/medicare-subsidised-care-2022-23/contents/about</w:t>
        </w:r>
      </w:hyperlink>
      <w:r>
        <w:t xml:space="preserve"> and </w:t>
      </w:r>
      <w:hyperlink r:id="rId16" w:history="1">
        <w:r w:rsidRPr="00263974">
          <w:rPr>
            <w:rStyle w:val="Hyperlink"/>
          </w:rPr>
          <w:t>https://www.aihw.gov.au/reports/primary-health-care/medicare-subsidised-gp-allied-health-specialist/contents/about</w:t>
        </w:r>
      </w:hyperlink>
    </w:p>
  </w:footnote>
  <w:footnote w:id="38">
    <w:p w14:paraId="30D14673" w14:textId="340E1F6E" w:rsidR="00FA532B" w:rsidRDefault="00FA532B" w:rsidP="00FA532B">
      <w:pPr>
        <w:pStyle w:val="FootnoteText"/>
      </w:pPr>
      <w:r>
        <w:rPr>
          <w:rStyle w:val="FootnoteReference"/>
        </w:rPr>
        <w:footnoteRef/>
      </w:r>
      <w:r>
        <w:t xml:space="preserve"> </w:t>
      </w:r>
      <w:hyperlink r:id="rId17" w:history="1">
        <w:r w:rsidRPr="00263974">
          <w:rPr>
            <w:rStyle w:val="Hyperlink"/>
          </w:rPr>
          <w:t>https://www.aihw.gov.au/reports/primary-health-care/medicare-subsidised-care-2022-23/contents/about</w:t>
        </w:r>
      </w:hyperlink>
      <w:r>
        <w:t xml:space="preserve"> and </w:t>
      </w:r>
      <w:hyperlink r:id="rId18" w:history="1">
        <w:r w:rsidRPr="00263974">
          <w:rPr>
            <w:rStyle w:val="Hyperlink"/>
          </w:rPr>
          <w:t>https://www.aihw.gov.au/reports/primary-health-care/medicare-subsidised-gp-allied-health-specialist/contents/about</w:t>
        </w:r>
      </w:hyperlink>
    </w:p>
  </w:footnote>
  <w:footnote w:id="39">
    <w:p w14:paraId="4DFA0C29" w14:textId="669D29F4" w:rsidR="007A003B" w:rsidRDefault="007A003B">
      <w:pPr>
        <w:pStyle w:val="FootnoteText"/>
      </w:pPr>
      <w:r>
        <w:rPr>
          <w:rStyle w:val="FootnoteReference"/>
        </w:rPr>
        <w:footnoteRef/>
      </w:r>
      <w:r>
        <w:t xml:space="preserve"> </w:t>
      </w:r>
      <w:r w:rsidR="009703E7">
        <w:t xml:space="preserve">2023–24 and 2022–23 indicator data extracted from the Primary Mental Health Care Minimum Data Set as </w:t>
      </w:r>
      <w:proofErr w:type="gramStart"/>
      <w:r w:rsidR="009703E7">
        <w:t>at</w:t>
      </w:r>
      <w:proofErr w:type="gramEnd"/>
      <w:r w:rsidR="009703E7">
        <w:t xml:space="preserve"> 30 September 2024 and may differ from data used to assess PHN performance for this indicator for 2022–23. As a dynamic administrative data set that can change over time, caution should be used when comparing data presented in this report. </w:t>
      </w:r>
      <w:r w:rsidR="009703E7" w:rsidRPr="00671D9D">
        <w:t xml:space="preserve">The data collection methodology changed in 2021-22. Data from 2018-19 to 2020-21 was self-reported to the department by PHNs using the PMHC MDS. From 2021-22, data is extracted </w:t>
      </w:r>
      <w:r w:rsidR="009703E7">
        <w:t xml:space="preserve">directly </w:t>
      </w:r>
      <w:r w:rsidR="009703E7" w:rsidRPr="00671D9D">
        <w:t>from the PMHC MDS by the department</w:t>
      </w:r>
      <w:r w:rsidR="009703E7">
        <w:t>.</w:t>
      </w:r>
    </w:p>
  </w:footnote>
  <w:footnote w:id="40">
    <w:p w14:paraId="62FC7080" w14:textId="7D3619F9" w:rsidR="007A003B" w:rsidRDefault="007A003B" w:rsidP="007A003B">
      <w:pPr>
        <w:pStyle w:val="FootnoteText"/>
      </w:pPr>
      <w:r w:rsidRPr="7F43BA72">
        <w:rPr>
          <w:rStyle w:val="FootnoteReference"/>
        </w:rPr>
        <w:footnoteRef/>
      </w:r>
      <w:r w:rsidR="00BF41D5">
        <w:t xml:space="preserve"> Ibid</w:t>
      </w:r>
      <w:r>
        <w:t>.</w:t>
      </w:r>
    </w:p>
  </w:footnote>
  <w:footnote w:id="41">
    <w:p w14:paraId="0E7CF333" w14:textId="6DAF006F" w:rsidR="00D4471A" w:rsidRDefault="00D4471A" w:rsidP="00D4471A">
      <w:pPr>
        <w:pStyle w:val="FootnoteText"/>
      </w:pPr>
      <w:r w:rsidRPr="7F43BA72">
        <w:rPr>
          <w:rStyle w:val="FootnoteReference"/>
        </w:rPr>
        <w:footnoteRef/>
      </w:r>
      <w:r>
        <w:t xml:space="preserve"> </w:t>
      </w:r>
      <w:r w:rsidR="00BF41D5">
        <w:t>Ibid</w:t>
      </w:r>
      <w:r w:rsidR="00C110A9">
        <w:t>.</w:t>
      </w:r>
    </w:p>
  </w:footnote>
  <w:footnote w:id="42">
    <w:p w14:paraId="7AD9FEAE" w14:textId="15A0960E" w:rsidR="00674494" w:rsidRDefault="00674494">
      <w:pPr>
        <w:pStyle w:val="FootnoteText"/>
      </w:pPr>
      <w:r>
        <w:rPr>
          <w:rStyle w:val="FootnoteReference"/>
        </w:rPr>
        <w:footnoteRef/>
      </w:r>
      <w:r>
        <w:t xml:space="preserve"> Brisbane North, Brisbane South and Gold Coast PHNs</w:t>
      </w:r>
      <w:r w:rsidR="005524C0">
        <w:t xml:space="preserve"> transferred funding and responsibility for delivery of ITC services for their regions to the Institute for Urban Indigenous Health in 2022–23.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3A018" w14:textId="62084BB5" w:rsidR="00E22D63" w:rsidRDefault="00E22D63">
    <w:pPr>
      <w:pStyle w:val="Header"/>
    </w:pPr>
    <w:r>
      <w:rPr>
        <w:noProof/>
      </w:rPr>
      <mc:AlternateContent>
        <mc:Choice Requires="wps">
          <w:drawing>
            <wp:anchor distT="0" distB="0" distL="0" distR="0" simplePos="0" relativeHeight="251658243" behindDoc="0" locked="0" layoutInCell="1" allowOverlap="1" wp14:anchorId="419DB32A" wp14:editId="31123D58">
              <wp:simplePos x="635" y="635"/>
              <wp:positionH relativeFrom="page">
                <wp:align>center</wp:align>
              </wp:positionH>
              <wp:positionV relativeFrom="page">
                <wp:align>top</wp:align>
              </wp:positionV>
              <wp:extent cx="551815" cy="480695"/>
              <wp:effectExtent l="0" t="0" r="635" b="14605"/>
              <wp:wrapNone/>
              <wp:docPr id="81470085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DDCE86F" w14:textId="2ECDBAE0"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9DB32A"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4DDCE86F" w14:textId="2ECDBAE0"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B75B9" w14:textId="734D4853" w:rsidR="008E0C77" w:rsidRDefault="00E22D63" w:rsidP="008E0C77">
    <w:pPr>
      <w:pStyle w:val="Headertext"/>
      <w:spacing w:after="180"/>
      <w:jc w:val="left"/>
    </w:pPr>
    <w:r>
      <w:rPr>
        <w:noProof/>
      </w:rPr>
      <mc:AlternateContent>
        <mc:Choice Requires="wps">
          <w:drawing>
            <wp:anchor distT="0" distB="0" distL="0" distR="0" simplePos="0" relativeHeight="251658244" behindDoc="0" locked="0" layoutInCell="1" allowOverlap="1" wp14:anchorId="447FA2A3" wp14:editId="1092E171">
              <wp:simplePos x="635" y="635"/>
              <wp:positionH relativeFrom="page">
                <wp:align>center</wp:align>
              </wp:positionH>
              <wp:positionV relativeFrom="page">
                <wp:align>top</wp:align>
              </wp:positionV>
              <wp:extent cx="551815" cy="480695"/>
              <wp:effectExtent l="0" t="0" r="635" b="14605"/>
              <wp:wrapNone/>
              <wp:docPr id="12277452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F119126" w14:textId="4FFA392B"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7FA2A3" id="_x0000_t202" coordsize="21600,21600" o:spt="202" path="m,l,21600r21600,l21600,xe">
              <v:stroke joinstyle="miter"/>
              <v:path gradientshapeok="t" o:connecttype="rect"/>
            </v:shapetype>
            <v:shape id="Text Box 3" o:spid="_x0000_s1027"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2F119126" w14:textId="4FFA392B"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1E005" w14:textId="5F51D940" w:rsidR="00CA79CF" w:rsidRDefault="00CA79CF" w:rsidP="00205A93">
    <w:pPr>
      <w:pStyle w:val="Header"/>
      <w:tabs>
        <w:tab w:val="clear" w:pos="4513"/>
        <w:tab w:val="clear" w:pos="9026"/>
        <w:tab w:val="center" w:pos="4535"/>
      </w:tabs>
    </w:pPr>
    <w:r>
      <w:rPr>
        <w:noProof/>
        <w:lang w:eastAsia="en-AU"/>
      </w:rPr>
      <w:drawing>
        <wp:anchor distT="0" distB="0" distL="114300" distR="114300" simplePos="0" relativeHeight="251658240" behindDoc="1" locked="0" layoutInCell="1" allowOverlap="1" wp14:anchorId="2E9138E5" wp14:editId="11885BCC">
          <wp:simplePos x="0" y="0"/>
          <wp:positionH relativeFrom="page">
            <wp:posOffset>1905</wp:posOffset>
          </wp:positionH>
          <wp:positionV relativeFrom="page">
            <wp:posOffset>-2224</wp:posOffset>
          </wp:positionV>
          <wp:extent cx="7555388" cy="1217570"/>
          <wp:effectExtent l="0" t="0" r="1270" b="1905"/>
          <wp:wrapNone/>
          <wp:docPr id="2031445315" name="Picture 2031445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8608"/>
                  <a:stretch/>
                </pic:blipFill>
                <pic:spPr bwMode="auto">
                  <a:xfrm>
                    <a:off x="0" y="0"/>
                    <a:ext cx="7555388" cy="121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0C3">
      <w:rPr>
        <w:noProof/>
        <w:lang w:eastAsia="en-AU"/>
      </w:rPr>
      <w:softHyphen/>
    </w:r>
    <w:r w:rsidR="004740C3">
      <w:rPr>
        <w:noProof/>
        <w:lang w:eastAsia="en-AU"/>
      </w:rPr>
      <w:softHyphen/>
    </w:r>
    <w:r w:rsidR="00205A9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FCD5E" w14:textId="07691143" w:rsidR="00910488" w:rsidRDefault="00910488">
    <w:pPr>
      <w:pStyle w:val="Header"/>
    </w:pPr>
    <w:r>
      <w:rPr>
        <w:noProof/>
      </w:rPr>
      <mc:AlternateContent>
        <mc:Choice Requires="wps">
          <w:drawing>
            <wp:anchor distT="0" distB="0" distL="0" distR="0" simplePos="0" relativeHeight="251658260" behindDoc="0" locked="0" layoutInCell="1" allowOverlap="1" wp14:anchorId="79DD6168" wp14:editId="3CEED528">
              <wp:simplePos x="635" y="635"/>
              <wp:positionH relativeFrom="page">
                <wp:align>center</wp:align>
              </wp:positionH>
              <wp:positionV relativeFrom="page">
                <wp:align>top</wp:align>
              </wp:positionV>
              <wp:extent cx="551815" cy="480695"/>
              <wp:effectExtent l="0" t="0" r="635" b="14605"/>
              <wp:wrapNone/>
              <wp:docPr id="159279507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EC21FE8" w14:textId="77777777" w:rsidR="00910488" w:rsidRPr="00E22D63" w:rsidRDefault="00910488"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DD6168" id="_x0000_t202" coordsize="21600,21600" o:spt="202" path="m,l,21600r21600,l21600,xe">
              <v:stroke joinstyle="miter"/>
              <v:path gradientshapeok="t" o:connecttype="rect"/>
            </v:shapetype>
            <v:shape id="Text Box 5" o:spid="_x0000_s1030" type="#_x0000_t202" alt="OFFICIAL" style="position:absolute;margin-left:0;margin-top:0;width:43.45pt;height:37.8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6EC21FE8" w14:textId="77777777" w:rsidR="00910488" w:rsidRPr="00E22D63" w:rsidRDefault="00910488"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5741E" w14:textId="64C7E139" w:rsidR="00910488" w:rsidRDefault="00910488"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92E6A" w14:textId="76DC95BB" w:rsidR="00910488" w:rsidRDefault="00910488">
    <w:pPr>
      <w:pStyle w:val="Header"/>
    </w:pPr>
    <w:r>
      <w:rPr>
        <w:noProof/>
      </w:rPr>
      <mc:AlternateContent>
        <mc:Choice Requires="wps">
          <w:drawing>
            <wp:anchor distT="0" distB="0" distL="0" distR="0" simplePos="0" relativeHeight="251658264" behindDoc="0" locked="0" layoutInCell="1" allowOverlap="1" wp14:anchorId="6769D6D8" wp14:editId="62641D0B">
              <wp:simplePos x="635" y="635"/>
              <wp:positionH relativeFrom="page">
                <wp:align>center</wp:align>
              </wp:positionH>
              <wp:positionV relativeFrom="page">
                <wp:align>top</wp:align>
              </wp:positionV>
              <wp:extent cx="551815" cy="480695"/>
              <wp:effectExtent l="0" t="0" r="635" b="14605"/>
              <wp:wrapNone/>
              <wp:docPr id="166247540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F1CC62" w14:textId="77777777" w:rsidR="00910488" w:rsidRPr="00E22D63" w:rsidRDefault="00910488"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69D6D8" id="_x0000_t202" coordsize="21600,21600" o:spt="202" path="m,l,21600r21600,l21600,xe">
              <v:stroke joinstyle="miter"/>
              <v:path gradientshapeok="t" o:connecttype="rect"/>
            </v:shapetype>
            <v:shape id="Text Box 4" o:spid="_x0000_s1032" type="#_x0000_t202" alt="OFFICIAL" style="position:absolute;margin-left:0;margin-top:0;width:43.45pt;height:37.8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textbox style="mso-fit-shape-to-text:t" inset="0,15pt,0,0">
                <w:txbxContent>
                  <w:p w14:paraId="23F1CC62" w14:textId="77777777" w:rsidR="00910488" w:rsidRPr="00E22D63" w:rsidRDefault="00910488"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04A93" w14:textId="32E245F8" w:rsidR="00E22D63" w:rsidRDefault="00E22D63">
    <w:pPr>
      <w:pStyle w:val="Header"/>
    </w:pPr>
    <w:r>
      <w:rPr>
        <w:noProof/>
      </w:rPr>
      <mc:AlternateContent>
        <mc:Choice Requires="wps">
          <w:drawing>
            <wp:anchor distT="0" distB="0" distL="0" distR="0" simplePos="0" relativeHeight="251658249" behindDoc="0" locked="0" layoutInCell="1" allowOverlap="1" wp14:anchorId="048DFBC9" wp14:editId="6A36CF3A">
              <wp:simplePos x="635" y="635"/>
              <wp:positionH relativeFrom="page">
                <wp:align>center</wp:align>
              </wp:positionH>
              <wp:positionV relativeFrom="page">
                <wp:align>top</wp:align>
              </wp:positionV>
              <wp:extent cx="551815" cy="480695"/>
              <wp:effectExtent l="0" t="0" r="635" b="14605"/>
              <wp:wrapNone/>
              <wp:docPr id="1148524275"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7EF4BB1" w14:textId="02377303"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8DFBC9" id="_x0000_t202" coordsize="21600,21600" o:spt="202" path="m,l,21600r21600,l21600,xe">
              <v:stroke joinstyle="miter"/>
              <v:path gradientshapeok="t" o:connecttype="rect"/>
            </v:shapetype>
            <v:shape id="Text Box 8" o:spid="_x0000_s1034" type="#_x0000_t202" alt="OFFICIAL" style="position:absolute;margin-left:0;margin-top:0;width:43.45pt;height:37.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HDg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U1nU/d76A54VAOxn17y9cdlt4wH16YwwXjHCja&#10;8IyHVNDXFM4WJS24H3/zx3zkHaOU9CiYmhpUNCXqm8F9RG0lo7jLyxxvbnLvJsMc9AOgDAt8EZYn&#10;M+YFNZnSgX5DOa9iIQwxw7FcTcNkPoRRufgcuFitUhLKyLKwMVvLI3SkK3L5OrwxZ8+EB9zUE0xq&#10;YtU73sfc+Ke3q0NA9tNSIrUjkWfGUYJprefnEjX+6z1lXR/18ic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aLxHDgIAABwE&#10;AAAOAAAAAAAAAAAAAAAAAC4CAABkcnMvZTJvRG9jLnhtbFBLAQItABQABgAIAAAAIQC3uIep2gAA&#10;AAMBAAAPAAAAAAAAAAAAAAAAAGgEAABkcnMvZG93bnJldi54bWxQSwUGAAAAAAQABADzAAAAbwUA&#10;AAAA&#10;" filled="f" stroked="f">
              <v:textbox style="mso-fit-shape-to-text:t" inset="0,15pt,0,0">
                <w:txbxContent>
                  <w:p w14:paraId="07EF4BB1" w14:textId="02377303"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8B08D" w14:textId="2DA2FFBB" w:rsidR="00205A93" w:rsidRDefault="00205A93" w:rsidP="008E0C77">
    <w:pPr>
      <w:pStyle w:val="Headertext"/>
      <w:spacing w:after="180"/>
      <w:jc w:val="left"/>
    </w:pPr>
    <w:r>
      <w:rPr>
        <w:noProof/>
        <w:lang w:eastAsia="en-AU"/>
      </w:rPr>
      <w:drawing>
        <wp:anchor distT="0" distB="0" distL="114300" distR="114300" simplePos="0" relativeHeight="251658241" behindDoc="1" locked="0" layoutInCell="1" allowOverlap="1" wp14:anchorId="078B5721" wp14:editId="7A6EE6A8">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1C70" w14:textId="63183626" w:rsidR="00E22D63" w:rsidRDefault="00E22D63">
    <w:pPr>
      <w:pStyle w:val="Header"/>
    </w:pPr>
    <w:r>
      <w:rPr>
        <w:noProof/>
      </w:rPr>
      <mc:AlternateContent>
        <mc:Choice Requires="wps">
          <w:drawing>
            <wp:anchor distT="0" distB="0" distL="0" distR="0" simplePos="0" relativeHeight="251658248" behindDoc="0" locked="0" layoutInCell="1" allowOverlap="1" wp14:anchorId="590DD6B1" wp14:editId="103CE18E">
              <wp:simplePos x="635" y="635"/>
              <wp:positionH relativeFrom="page">
                <wp:align>center</wp:align>
              </wp:positionH>
              <wp:positionV relativeFrom="page">
                <wp:align>top</wp:align>
              </wp:positionV>
              <wp:extent cx="551815" cy="480695"/>
              <wp:effectExtent l="0" t="0" r="635" b="14605"/>
              <wp:wrapNone/>
              <wp:docPr id="88141798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F7AB052" w14:textId="00CB2757"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0DD6B1" id="_x0000_t202" coordsize="21600,21600" o:spt="202" path="m,l,21600r21600,l21600,xe">
              <v:stroke joinstyle="miter"/>
              <v:path gradientshapeok="t" o:connecttype="rect"/>
            </v:shapetype>
            <v:shape id="Text Box 7" o:spid="_x0000_s1036" type="#_x0000_t202" alt="OFFICIAL" style="position:absolute;margin-left:0;margin-top:0;width:43.45pt;height:37.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eN4RYNAgAAHQQA&#10;AA4AAAAAAAAAAAAAAAAALgIAAGRycy9lMm9Eb2MueG1sUEsBAi0AFAAGAAgAAAAhALe4h6naAAAA&#10;AwEAAA8AAAAAAAAAAAAAAAAAZwQAAGRycy9kb3ducmV2LnhtbFBLBQYAAAAABAAEAPMAAABuBQAA&#10;AAA=&#10;" filled="f" stroked="f">
              <v:textbox style="mso-fit-shape-to-text:t" inset="0,15pt,0,0">
                <w:txbxContent>
                  <w:p w14:paraId="5F7AB052" w14:textId="00CB2757" w:rsidR="00E22D63" w:rsidRPr="00E22D63" w:rsidRDefault="00E22D63" w:rsidP="00E22D63">
                    <w:pPr>
                      <w:spacing w:after="0"/>
                      <w:rPr>
                        <w:rFonts w:ascii="Calibri" w:eastAsia="Calibri" w:hAnsi="Calibri" w:cs="Calibri"/>
                        <w:noProof/>
                        <w:color w:val="FF0000"/>
                        <w:sz w:val="24"/>
                      </w:rPr>
                    </w:pPr>
                    <w:r w:rsidRPr="00E22D63">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D0AA2D6"/>
    <w:lvl w:ilvl="0">
      <w:start w:val="1"/>
      <w:numFmt w:val="decimal"/>
      <w:pStyle w:val="ListNumber"/>
      <w:lvlText w:val="%1."/>
      <w:lvlJc w:val="left"/>
      <w:pPr>
        <w:tabs>
          <w:tab w:val="num" w:pos="360"/>
        </w:tabs>
        <w:ind w:left="360" w:hanging="36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360CF2"/>
    <w:multiLevelType w:val="hybridMultilevel"/>
    <w:tmpl w:val="A78079C2"/>
    <w:lvl w:ilvl="0" w:tplc="2A869DC4">
      <w:start w:val="1"/>
      <w:numFmt w:val="bullet"/>
      <w:pStyle w:val="ListContinue"/>
      <w:lvlText w:val=""/>
      <w:lvlJc w:val="left"/>
      <w:pPr>
        <w:ind w:left="1003" w:hanging="360"/>
      </w:pPr>
      <w:rPr>
        <w:rFonts w:ascii="Cambria Math" w:hAnsi="Cambria Math" w:hint="default"/>
      </w:rPr>
    </w:lvl>
    <w:lvl w:ilvl="1" w:tplc="0C090003" w:tentative="1">
      <w:start w:val="1"/>
      <w:numFmt w:val="bullet"/>
      <w:lvlText w:val="o"/>
      <w:lvlJc w:val="left"/>
      <w:pPr>
        <w:ind w:left="1723" w:hanging="360"/>
      </w:pPr>
      <w:rPr>
        <w:rFonts w:ascii="Cambria Math" w:hAnsi="Cambria Math" w:cs="Cambria Math" w:hint="default"/>
      </w:rPr>
    </w:lvl>
    <w:lvl w:ilvl="2" w:tplc="0C090005" w:tentative="1">
      <w:start w:val="1"/>
      <w:numFmt w:val="bullet"/>
      <w:lvlText w:val=""/>
      <w:lvlJc w:val="left"/>
      <w:pPr>
        <w:ind w:left="2443" w:hanging="360"/>
      </w:pPr>
      <w:rPr>
        <w:rFonts w:ascii="Cambria Math" w:hAnsi="Cambria Math" w:hint="default"/>
      </w:rPr>
    </w:lvl>
    <w:lvl w:ilvl="3" w:tplc="0C090001" w:tentative="1">
      <w:start w:val="1"/>
      <w:numFmt w:val="bullet"/>
      <w:lvlText w:val=""/>
      <w:lvlJc w:val="left"/>
      <w:pPr>
        <w:ind w:left="3163" w:hanging="360"/>
      </w:pPr>
      <w:rPr>
        <w:rFonts w:ascii="Book Antiqua" w:hAnsi="Book Antiqua" w:hint="default"/>
      </w:rPr>
    </w:lvl>
    <w:lvl w:ilvl="4" w:tplc="0C090003" w:tentative="1">
      <w:start w:val="1"/>
      <w:numFmt w:val="bullet"/>
      <w:lvlText w:val="o"/>
      <w:lvlJc w:val="left"/>
      <w:pPr>
        <w:ind w:left="3883" w:hanging="360"/>
      </w:pPr>
      <w:rPr>
        <w:rFonts w:ascii="Cambria Math" w:hAnsi="Cambria Math" w:cs="Cambria Math" w:hint="default"/>
      </w:rPr>
    </w:lvl>
    <w:lvl w:ilvl="5" w:tplc="0C090005" w:tentative="1">
      <w:start w:val="1"/>
      <w:numFmt w:val="bullet"/>
      <w:lvlText w:val=""/>
      <w:lvlJc w:val="left"/>
      <w:pPr>
        <w:ind w:left="4603" w:hanging="360"/>
      </w:pPr>
      <w:rPr>
        <w:rFonts w:ascii="Cambria Math" w:hAnsi="Cambria Math" w:hint="default"/>
      </w:rPr>
    </w:lvl>
    <w:lvl w:ilvl="6" w:tplc="0C090001" w:tentative="1">
      <w:start w:val="1"/>
      <w:numFmt w:val="bullet"/>
      <w:lvlText w:val=""/>
      <w:lvlJc w:val="left"/>
      <w:pPr>
        <w:ind w:left="5323" w:hanging="360"/>
      </w:pPr>
      <w:rPr>
        <w:rFonts w:ascii="Book Antiqua" w:hAnsi="Book Antiqua" w:hint="default"/>
      </w:rPr>
    </w:lvl>
    <w:lvl w:ilvl="7" w:tplc="0C090003" w:tentative="1">
      <w:start w:val="1"/>
      <w:numFmt w:val="bullet"/>
      <w:lvlText w:val="o"/>
      <w:lvlJc w:val="left"/>
      <w:pPr>
        <w:ind w:left="6043" w:hanging="360"/>
      </w:pPr>
      <w:rPr>
        <w:rFonts w:ascii="Cambria Math" w:hAnsi="Cambria Math" w:cs="Cambria Math" w:hint="default"/>
      </w:rPr>
    </w:lvl>
    <w:lvl w:ilvl="8" w:tplc="0C090005" w:tentative="1">
      <w:start w:val="1"/>
      <w:numFmt w:val="bullet"/>
      <w:lvlText w:val=""/>
      <w:lvlJc w:val="left"/>
      <w:pPr>
        <w:ind w:left="6763" w:hanging="360"/>
      </w:pPr>
      <w:rPr>
        <w:rFonts w:ascii="Cambria Math" w:hAnsi="Cambria Math" w:hint="default"/>
      </w:rPr>
    </w:lvl>
  </w:abstractNum>
  <w:abstractNum w:abstractNumId="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37586E"/>
    <w:multiLevelType w:val="multilevel"/>
    <w:tmpl w:val="8E80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750CCC"/>
    <w:multiLevelType w:val="multilevel"/>
    <w:tmpl w:val="2B3C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5A65A6"/>
    <w:multiLevelType w:val="multilevel"/>
    <w:tmpl w:val="A188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F413E9"/>
    <w:multiLevelType w:val="hybridMultilevel"/>
    <w:tmpl w:val="F22AC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462B175F"/>
    <w:multiLevelType w:val="hybridMultilevel"/>
    <w:tmpl w:val="81E2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AC874DD"/>
    <w:multiLevelType w:val="hybridMultilevel"/>
    <w:tmpl w:val="4BBE3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A868DF"/>
    <w:multiLevelType w:val="hybridMultilevel"/>
    <w:tmpl w:val="BCACC8A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3E644B0"/>
    <w:multiLevelType w:val="multilevel"/>
    <w:tmpl w:val="97C8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A93E49"/>
    <w:multiLevelType w:val="hybridMultilevel"/>
    <w:tmpl w:val="A6C8E4B4"/>
    <w:lvl w:ilvl="0" w:tplc="4F141BC0">
      <w:start w:val="1"/>
      <w:numFmt w:val="decimal"/>
      <w:pStyle w:val="Heading2"/>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9C45A0C"/>
    <w:multiLevelType w:val="multilevel"/>
    <w:tmpl w:val="9788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89711F"/>
    <w:multiLevelType w:val="hybridMultilevel"/>
    <w:tmpl w:val="0E206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4B041E"/>
    <w:multiLevelType w:val="hybridMultilevel"/>
    <w:tmpl w:val="7F2C5A70"/>
    <w:lvl w:ilvl="0" w:tplc="88C8C8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853307643">
    <w:abstractNumId w:val="3"/>
  </w:num>
  <w:num w:numId="2" w16cid:durableId="1532647294">
    <w:abstractNumId w:val="8"/>
  </w:num>
  <w:num w:numId="3" w16cid:durableId="1499925442">
    <w:abstractNumId w:val="20"/>
  </w:num>
  <w:num w:numId="4" w16cid:durableId="1445882705">
    <w:abstractNumId w:val="11"/>
  </w:num>
  <w:num w:numId="5" w16cid:durableId="1972854920">
    <w:abstractNumId w:val="17"/>
  </w:num>
  <w:num w:numId="6" w16cid:durableId="641737856">
    <w:abstractNumId w:val="1"/>
  </w:num>
  <w:num w:numId="7" w16cid:durableId="1289898477">
    <w:abstractNumId w:val="10"/>
  </w:num>
  <w:num w:numId="8" w16cid:durableId="954017362">
    <w:abstractNumId w:val="2"/>
  </w:num>
  <w:num w:numId="9" w16cid:durableId="706023955">
    <w:abstractNumId w:val="13"/>
  </w:num>
  <w:num w:numId="10" w16cid:durableId="208535841">
    <w:abstractNumId w:val="19"/>
  </w:num>
  <w:num w:numId="11" w16cid:durableId="1762604354">
    <w:abstractNumId w:val="18"/>
  </w:num>
  <w:num w:numId="12" w16cid:durableId="152795941">
    <w:abstractNumId w:val="16"/>
  </w:num>
  <w:num w:numId="13" w16cid:durableId="1980719134">
    <w:abstractNumId w:val="7"/>
  </w:num>
  <w:num w:numId="14" w16cid:durableId="1548106518">
    <w:abstractNumId w:val="6"/>
  </w:num>
  <w:num w:numId="15" w16cid:durableId="1377241123">
    <w:abstractNumId w:val="9"/>
  </w:num>
  <w:num w:numId="16" w16cid:durableId="221722869">
    <w:abstractNumId w:val="14"/>
  </w:num>
  <w:num w:numId="17" w16cid:durableId="1448894387">
    <w:abstractNumId w:val="4"/>
  </w:num>
  <w:num w:numId="18" w16cid:durableId="1270969836">
    <w:abstractNumId w:val="5"/>
  </w:num>
  <w:num w:numId="19" w16cid:durableId="698628131">
    <w:abstractNumId w:val="0"/>
  </w:num>
  <w:num w:numId="20" w16cid:durableId="1604530264">
    <w:abstractNumId w:val="15"/>
  </w:num>
  <w:num w:numId="21" w16cid:durableId="2132478257">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981"/>
    <w:rsid w:val="00000AE7"/>
    <w:rsid w:val="000021F2"/>
    <w:rsid w:val="00003743"/>
    <w:rsid w:val="000047B4"/>
    <w:rsid w:val="00005712"/>
    <w:rsid w:val="00007FD8"/>
    <w:rsid w:val="0001115E"/>
    <w:rsid w:val="000117F8"/>
    <w:rsid w:val="00011BBE"/>
    <w:rsid w:val="000137D9"/>
    <w:rsid w:val="00013CB8"/>
    <w:rsid w:val="00014A08"/>
    <w:rsid w:val="00014BA2"/>
    <w:rsid w:val="000171CF"/>
    <w:rsid w:val="00017374"/>
    <w:rsid w:val="00017F99"/>
    <w:rsid w:val="000200C6"/>
    <w:rsid w:val="00021C3C"/>
    <w:rsid w:val="0002479D"/>
    <w:rsid w:val="0002531E"/>
    <w:rsid w:val="00026139"/>
    <w:rsid w:val="00026E3B"/>
    <w:rsid w:val="00027071"/>
    <w:rsid w:val="00027601"/>
    <w:rsid w:val="00031281"/>
    <w:rsid w:val="00032462"/>
    <w:rsid w:val="000326D2"/>
    <w:rsid w:val="00033321"/>
    <w:rsid w:val="000338E5"/>
    <w:rsid w:val="00033ECC"/>
    <w:rsid w:val="0003422F"/>
    <w:rsid w:val="00035576"/>
    <w:rsid w:val="00037030"/>
    <w:rsid w:val="00037F9F"/>
    <w:rsid w:val="00040A97"/>
    <w:rsid w:val="00042088"/>
    <w:rsid w:val="00042937"/>
    <w:rsid w:val="00042BCF"/>
    <w:rsid w:val="00045C7C"/>
    <w:rsid w:val="00045D09"/>
    <w:rsid w:val="00046309"/>
    <w:rsid w:val="00046FF0"/>
    <w:rsid w:val="00050176"/>
    <w:rsid w:val="000526D1"/>
    <w:rsid w:val="00053EE7"/>
    <w:rsid w:val="00053FA2"/>
    <w:rsid w:val="000542C7"/>
    <w:rsid w:val="000561EF"/>
    <w:rsid w:val="00057AFF"/>
    <w:rsid w:val="000602D8"/>
    <w:rsid w:val="000614BF"/>
    <w:rsid w:val="00061B16"/>
    <w:rsid w:val="00061DE2"/>
    <w:rsid w:val="000621FF"/>
    <w:rsid w:val="00062234"/>
    <w:rsid w:val="00062B65"/>
    <w:rsid w:val="0006407E"/>
    <w:rsid w:val="000651D9"/>
    <w:rsid w:val="00066683"/>
    <w:rsid w:val="00067456"/>
    <w:rsid w:val="00067B2E"/>
    <w:rsid w:val="00070844"/>
    <w:rsid w:val="00070CB2"/>
    <w:rsid w:val="00071506"/>
    <w:rsid w:val="0007154F"/>
    <w:rsid w:val="000728B7"/>
    <w:rsid w:val="0007420A"/>
    <w:rsid w:val="00074B49"/>
    <w:rsid w:val="00075824"/>
    <w:rsid w:val="000758E7"/>
    <w:rsid w:val="00080BAA"/>
    <w:rsid w:val="00081AB1"/>
    <w:rsid w:val="00083744"/>
    <w:rsid w:val="00083832"/>
    <w:rsid w:val="00083D28"/>
    <w:rsid w:val="00087C30"/>
    <w:rsid w:val="00087EB1"/>
    <w:rsid w:val="00087FBE"/>
    <w:rsid w:val="00090316"/>
    <w:rsid w:val="0009335F"/>
    <w:rsid w:val="00093981"/>
    <w:rsid w:val="00093CD9"/>
    <w:rsid w:val="000941BD"/>
    <w:rsid w:val="000A0A75"/>
    <w:rsid w:val="000A168C"/>
    <w:rsid w:val="000A1EF0"/>
    <w:rsid w:val="000A20C8"/>
    <w:rsid w:val="000A28D0"/>
    <w:rsid w:val="000A3150"/>
    <w:rsid w:val="000A60F7"/>
    <w:rsid w:val="000A643D"/>
    <w:rsid w:val="000A68FF"/>
    <w:rsid w:val="000B067A"/>
    <w:rsid w:val="000B1540"/>
    <w:rsid w:val="000B1693"/>
    <w:rsid w:val="000B21AC"/>
    <w:rsid w:val="000B33FD"/>
    <w:rsid w:val="000B4ABA"/>
    <w:rsid w:val="000B4E69"/>
    <w:rsid w:val="000B51BF"/>
    <w:rsid w:val="000B5A7A"/>
    <w:rsid w:val="000B6C9C"/>
    <w:rsid w:val="000B74B6"/>
    <w:rsid w:val="000C0808"/>
    <w:rsid w:val="000C4B16"/>
    <w:rsid w:val="000C50C3"/>
    <w:rsid w:val="000C5171"/>
    <w:rsid w:val="000C626C"/>
    <w:rsid w:val="000C7BCE"/>
    <w:rsid w:val="000D11F8"/>
    <w:rsid w:val="000D21F6"/>
    <w:rsid w:val="000D42C3"/>
    <w:rsid w:val="000D4500"/>
    <w:rsid w:val="000D56E4"/>
    <w:rsid w:val="000D6E12"/>
    <w:rsid w:val="000D77F6"/>
    <w:rsid w:val="000D7AE6"/>
    <w:rsid w:val="000D7AEA"/>
    <w:rsid w:val="000D7C38"/>
    <w:rsid w:val="000E01A9"/>
    <w:rsid w:val="000E2C66"/>
    <w:rsid w:val="000E3903"/>
    <w:rsid w:val="000E3FCA"/>
    <w:rsid w:val="000E41FC"/>
    <w:rsid w:val="000E525C"/>
    <w:rsid w:val="000E6E7D"/>
    <w:rsid w:val="000F0189"/>
    <w:rsid w:val="000F049B"/>
    <w:rsid w:val="000F0A61"/>
    <w:rsid w:val="000F123C"/>
    <w:rsid w:val="000F1417"/>
    <w:rsid w:val="000F2FED"/>
    <w:rsid w:val="000F4FC1"/>
    <w:rsid w:val="000F5097"/>
    <w:rsid w:val="000F561F"/>
    <w:rsid w:val="000F5886"/>
    <w:rsid w:val="000F5BFC"/>
    <w:rsid w:val="000F6810"/>
    <w:rsid w:val="000F6E14"/>
    <w:rsid w:val="000F6FC4"/>
    <w:rsid w:val="00100F4E"/>
    <w:rsid w:val="00100F6D"/>
    <w:rsid w:val="0010462F"/>
    <w:rsid w:val="00104F25"/>
    <w:rsid w:val="001055E1"/>
    <w:rsid w:val="0010616D"/>
    <w:rsid w:val="00106EAF"/>
    <w:rsid w:val="00106F13"/>
    <w:rsid w:val="00110478"/>
    <w:rsid w:val="00114B6D"/>
    <w:rsid w:val="00116059"/>
    <w:rsid w:val="0011711B"/>
    <w:rsid w:val="00117816"/>
    <w:rsid w:val="0011796D"/>
    <w:rsid w:val="00117E17"/>
    <w:rsid w:val="00117F8A"/>
    <w:rsid w:val="00121B9B"/>
    <w:rsid w:val="00122ADC"/>
    <w:rsid w:val="001237E8"/>
    <w:rsid w:val="00126218"/>
    <w:rsid w:val="001267F1"/>
    <w:rsid w:val="001267FE"/>
    <w:rsid w:val="00127EE5"/>
    <w:rsid w:val="00130F59"/>
    <w:rsid w:val="00131081"/>
    <w:rsid w:val="00131E0E"/>
    <w:rsid w:val="00132226"/>
    <w:rsid w:val="001336B2"/>
    <w:rsid w:val="00133EC0"/>
    <w:rsid w:val="00134B84"/>
    <w:rsid w:val="00137505"/>
    <w:rsid w:val="00137C3F"/>
    <w:rsid w:val="00140C5A"/>
    <w:rsid w:val="00141A40"/>
    <w:rsid w:val="00141CE5"/>
    <w:rsid w:val="00143C79"/>
    <w:rsid w:val="001442AE"/>
    <w:rsid w:val="00144908"/>
    <w:rsid w:val="001457D1"/>
    <w:rsid w:val="00145CAD"/>
    <w:rsid w:val="00150296"/>
    <w:rsid w:val="00150B67"/>
    <w:rsid w:val="0015112E"/>
    <w:rsid w:val="00151F6F"/>
    <w:rsid w:val="00151FEA"/>
    <w:rsid w:val="0015369D"/>
    <w:rsid w:val="00155347"/>
    <w:rsid w:val="001561D2"/>
    <w:rsid w:val="001565C0"/>
    <w:rsid w:val="001571C1"/>
    <w:rsid w:val="001571C7"/>
    <w:rsid w:val="00157461"/>
    <w:rsid w:val="00157C7C"/>
    <w:rsid w:val="001604B6"/>
    <w:rsid w:val="00161094"/>
    <w:rsid w:val="001637A5"/>
    <w:rsid w:val="00163F6E"/>
    <w:rsid w:val="001642EC"/>
    <w:rsid w:val="00164D0B"/>
    <w:rsid w:val="001656F8"/>
    <w:rsid w:val="0017008C"/>
    <w:rsid w:val="0017156E"/>
    <w:rsid w:val="0017281E"/>
    <w:rsid w:val="00172A55"/>
    <w:rsid w:val="00173862"/>
    <w:rsid w:val="00175078"/>
    <w:rsid w:val="001758CD"/>
    <w:rsid w:val="0017665C"/>
    <w:rsid w:val="00177216"/>
    <w:rsid w:val="00177AD2"/>
    <w:rsid w:val="001815A8"/>
    <w:rsid w:val="00181DA7"/>
    <w:rsid w:val="00182572"/>
    <w:rsid w:val="001840FA"/>
    <w:rsid w:val="00184541"/>
    <w:rsid w:val="00190079"/>
    <w:rsid w:val="001930B2"/>
    <w:rsid w:val="001931BC"/>
    <w:rsid w:val="00193428"/>
    <w:rsid w:val="00194B40"/>
    <w:rsid w:val="001955AE"/>
    <w:rsid w:val="0019622E"/>
    <w:rsid w:val="001966A7"/>
    <w:rsid w:val="00196E10"/>
    <w:rsid w:val="001A2BF3"/>
    <w:rsid w:val="001A2BFC"/>
    <w:rsid w:val="001A4627"/>
    <w:rsid w:val="001A4979"/>
    <w:rsid w:val="001A4D58"/>
    <w:rsid w:val="001A4DE2"/>
    <w:rsid w:val="001A5553"/>
    <w:rsid w:val="001B01D7"/>
    <w:rsid w:val="001B15D3"/>
    <w:rsid w:val="001B3443"/>
    <w:rsid w:val="001B4B07"/>
    <w:rsid w:val="001B73A5"/>
    <w:rsid w:val="001C0326"/>
    <w:rsid w:val="001C09CB"/>
    <w:rsid w:val="001C192F"/>
    <w:rsid w:val="001C28BB"/>
    <w:rsid w:val="001C2EB3"/>
    <w:rsid w:val="001C30D8"/>
    <w:rsid w:val="001C3C42"/>
    <w:rsid w:val="001C4212"/>
    <w:rsid w:val="001D1951"/>
    <w:rsid w:val="001D4A71"/>
    <w:rsid w:val="001D4B7A"/>
    <w:rsid w:val="001D5B6B"/>
    <w:rsid w:val="001D6510"/>
    <w:rsid w:val="001D670B"/>
    <w:rsid w:val="001D6ED4"/>
    <w:rsid w:val="001D7869"/>
    <w:rsid w:val="001E0550"/>
    <w:rsid w:val="001E2812"/>
    <w:rsid w:val="001E6633"/>
    <w:rsid w:val="001E6EBC"/>
    <w:rsid w:val="001E7B20"/>
    <w:rsid w:val="001F0866"/>
    <w:rsid w:val="001F19BF"/>
    <w:rsid w:val="001F255F"/>
    <w:rsid w:val="001F2D0A"/>
    <w:rsid w:val="001F2F78"/>
    <w:rsid w:val="001F3779"/>
    <w:rsid w:val="001F3CE3"/>
    <w:rsid w:val="001F4FA5"/>
    <w:rsid w:val="001F62C1"/>
    <w:rsid w:val="001F6BA1"/>
    <w:rsid w:val="00200A6C"/>
    <w:rsid w:val="00201A5F"/>
    <w:rsid w:val="002026CD"/>
    <w:rsid w:val="0020272D"/>
    <w:rsid w:val="002033FC"/>
    <w:rsid w:val="002038D9"/>
    <w:rsid w:val="002044BB"/>
    <w:rsid w:val="00205A93"/>
    <w:rsid w:val="002064D0"/>
    <w:rsid w:val="00210B09"/>
    <w:rsid w:val="00210C9E"/>
    <w:rsid w:val="00211840"/>
    <w:rsid w:val="00211A56"/>
    <w:rsid w:val="0021285C"/>
    <w:rsid w:val="00212AF5"/>
    <w:rsid w:val="00212F32"/>
    <w:rsid w:val="002131FA"/>
    <w:rsid w:val="00217C61"/>
    <w:rsid w:val="00220E5F"/>
    <w:rsid w:val="002212B5"/>
    <w:rsid w:val="002225E7"/>
    <w:rsid w:val="002251EA"/>
    <w:rsid w:val="00226311"/>
    <w:rsid w:val="00226668"/>
    <w:rsid w:val="002278C7"/>
    <w:rsid w:val="00227C0A"/>
    <w:rsid w:val="00227CD7"/>
    <w:rsid w:val="00227DE3"/>
    <w:rsid w:val="00232B2D"/>
    <w:rsid w:val="00233809"/>
    <w:rsid w:val="002338F4"/>
    <w:rsid w:val="00236073"/>
    <w:rsid w:val="00236316"/>
    <w:rsid w:val="00236921"/>
    <w:rsid w:val="00240046"/>
    <w:rsid w:val="00241470"/>
    <w:rsid w:val="002417EF"/>
    <w:rsid w:val="00242F8B"/>
    <w:rsid w:val="0024311A"/>
    <w:rsid w:val="00243E26"/>
    <w:rsid w:val="00245274"/>
    <w:rsid w:val="0024699C"/>
    <w:rsid w:val="0024797F"/>
    <w:rsid w:val="0025119E"/>
    <w:rsid w:val="00251269"/>
    <w:rsid w:val="00251603"/>
    <w:rsid w:val="002535C0"/>
    <w:rsid w:val="00254CF4"/>
    <w:rsid w:val="00254F4F"/>
    <w:rsid w:val="002554E8"/>
    <w:rsid w:val="002558DB"/>
    <w:rsid w:val="00257453"/>
    <w:rsid w:val="002579FE"/>
    <w:rsid w:val="00257A18"/>
    <w:rsid w:val="002607F2"/>
    <w:rsid w:val="0026091F"/>
    <w:rsid w:val="0026311C"/>
    <w:rsid w:val="002642D5"/>
    <w:rsid w:val="002648FC"/>
    <w:rsid w:val="002654AB"/>
    <w:rsid w:val="002656B1"/>
    <w:rsid w:val="002661FF"/>
    <w:rsid w:val="0026668C"/>
    <w:rsid w:val="00266AC1"/>
    <w:rsid w:val="002670AB"/>
    <w:rsid w:val="0027178C"/>
    <w:rsid w:val="002719FA"/>
    <w:rsid w:val="00272668"/>
    <w:rsid w:val="0027330B"/>
    <w:rsid w:val="00274699"/>
    <w:rsid w:val="002746B6"/>
    <w:rsid w:val="002761C2"/>
    <w:rsid w:val="00277471"/>
    <w:rsid w:val="00277B9B"/>
    <w:rsid w:val="00277C03"/>
    <w:rsid w:val="002803AD"/>
    <w:rsid w:val="00282052"/>
    <w:rsid w:val="00284098"/>
    <w:rsid w:val="0028519E"/>
    <w:rsid w:val="002856A5"/>
    <w:rsid w:val="002858FB"/>
    <w:rsid w:val="002867BA"/>
    <w:rsid w:val="0028685B"/>
    <w:rsid w:val="00286EA0"/>
    <w:rsid w:val="002872ED"/>
    <w:rsid w:val="002905C2"/>
    <w:rsid w:val="002918E4"/>
    <w:rsid w:val="00292BEF"/>
    <w:rsid w:val="00292C5E"/>
    <w:rsid w:val="0029410E"/>
    <w:rsid w:val="00295AF2"/>
    <w:rsid w:val="00295C91"/>
    <w:rsid w:val="0029665E"/>
    <w:rsid w:val="00297151"/>
    <w:rsid w:val="002975E9"/>
    <w:rsid w:val="002A0E52"/>
    <w:rsid w:val="002A1049"/>
    <w:rsid w:val="002A1E4C"/>
    <w:rsid w:val="002A43B0"/>
    <w:rsid w:val="002A4DB0"/>
    <w:rsid w:val="002A617A"/>
    <w:rsid w:val="002A659A"/>
    <w:rsid w:val="002B1E61"/>
    <w:rsid w:val="002B1ED1"/>
    <w:rsid w:val="002B20E6"/>
    <w:rsid w:val="002B229B"/>
    <w:rsid w:val="002B2D78"/>
    <w:rsid w:val="002B3B14"/>
    <w:rsid w:val="002B42A3"/>
    <w:rsid w:val="002B48A6"/>
    <w:rsid w:val="002B66C3"/>
    <w:rsid w:val="002B67F2"/>
    <w:rsid w:val="002B692D"/>
    <w:rsid w:val="002B7E07"/>
    <w:rsid w:val="002C0CDD"/>
    <w:rsid w:val="002C62D6"/>
    <w:rsid w:val="002C7CB4"/>
    <w:rsid w:val="002D1135"/>
    <w:rsid w:val="002D17B8"/>
    <w:rsid w:val="002D1DA2"/>
    <w:rsid w:val="002D1E7C"/>
    <w:rsid w:val="002D375C"/>
    <w:rsid w:val="002D4095"/>
    <w:rsid w:val="002D679A"/>
    <w:rsid w:val="002D67D2"/>
    <w:rsid w:val="002D699F"/>
    <w:rsid w:val="002D6E75"/>
    <w:rsid w:val="002D7739"/>
    <w:rsid w:val="002E1A1D"/>
    <w:rsid w:val="002E2A70"/>
    <w:rsid w:val="002E4081"/>
    <w:rsid w:val="002E5B78"/>
    <w:rsid w:val="002E5D1C"/>
    <w:rsid w:val="002E6835"/>
    <w:rsid w:val="002F3632"/>
    <w:rsid w:val="002F3AE3"/>
    <w:rsid w:val="002F4CC4"/>
    <w:rsid w:val="002F598B"/>
    <w:rsid w:val="002F6C0F"/>
    <w:rsid w:val="002F75DA"/>
    <w:rsid w:val="002F77D0"/>
    <w:rsid w:val="003005E0"/>
    <w:rsid w:val="003014EA"/>
    <w:rsid w:val="0030464B"/>
    <w:rsid w:val="0030626E"/>
    <w:rsid w:val="00306ED6"/>
    <w:rsid w:val="0030786C"/>
    <w:rsid w:val="00307CB1"/>
    <w:rsid w:val="003105E3"/>
    <w:rsid w:val="00310738"/>
    <w:rsid w:val="0031073F"/>
    <w:rsid w:val="003107A7"/>
    <w:rsid w:val="003115BD"/>
    <w:rsid w:val="00313BD4"/>
    <w:rsid w:val="00313DCB"/>
    <w:rsid w:val="00314CCF"/>
    <w:rsid w:val="00315045"/>
    <w:rsid w:val="003159E6"/>
    <w:rsid w:val="00315C85"/>
    <w:rsid w:val="00320208"/>
    <w:rsid w:val="00320C3C"/>
    <w:rsid w:val="003213F3"/>
    <w:rsid w:val="003214A1"/>
    <w:rsid w:val="00322639"/>
    <w:rsid w:val="003233DE"/>
    <w:rsid w:val="0032466B"/>
    <w:rsid w:val="00324A1C"/>
    <w:rsid w:val="00324F0D"/>
    <w:rsid w:val="003264B4"/>
    <w:rsid w:val="00326571"/>
    <w:rsid w:val="003277DF"/>
    <w:rsid w:val="00327B44"/>
    <w:rsid w:val="00327EA3"/>
    <w:rsid w:val="00330628"/>
    <w:rsid w:val="00331333"/>
    <w:rsid w:val="00331F08"/>
    <w:rsid w:val="003330EB"/>
    <w:rsid w:val="003330F5"/>
    <w:rsid w:val="003340F6"/>
    <w:rsid w:val="00334326"/>
    <w:rsid w:val="0033598E"/>
    <w:rsid w:val="00336043"/>
    <w:rsid w:val="00336605"/>
    <w:rsid w:val="0033686D"/>
    <w:rsid w:val="00340CD8"/>
    <w:rsid w:val="003415FD"/>
    <w:rsid w:val="00341948"/>
    <w:rsid w:val="00341B2D"/>
    <w:rsid w:val="003429F0"/>
    <w:rsid w:val="003435EC"/>
    <w:rsid w:val="00345F0C"/>
    <w:rsid w:val="0035097A"/>
    <w:rsid w:val="003540A4"/>
    <w:rsid w:val="00354C7D"/>
    <w:rsid w:val="00355EA4"/>
    <w:rsid w:val="0035644C"/>
    <w:rsid w:val="00356AF2"/>
    <w:rsid w:val="00357B2D"/>
    <w:rsid w:val="003601D3"/>
    <w:rsid w:val="00360E4E"/>
    <w:rsid w:val="00360FEA"/>
    <w:rsid w:val="00361114"/>
    <w:rsid w:val="003614E3"/>
    <w:rsid w:val="003630EC"/>
    <w:rsid w:val="003636DD"/>
    <w:rsid w:val="0036592D"/>
    <w:rsid w:val="00367B6F"/>
    <w:rsid w:val="00370AAA"/>
    <w:rsid w:val="00370BFF"/>
    <w:rsid w:val="00370C6C"/>
    <w:rsid w:val="003728D8"/>
    <w:rsid w:val="00375F77"/>
    <w:rsid w:val="00377A78"/>
    <w:rsid w:val="00381BBE"/>
    <w:rsid w:val="00381E5E"/>
    <w:rsid w:val="00382903"/>
    <w:rsid w:val="00382B6F"/>
    <w:rsid w:val="00382EE4"/>
    <w:rsid w:val="00383051"/>
    <w:rsid w:val="003840AE"/>
    <w:rsid w:val="003846FF"/>
    <w:rsid w:val="00385AD4"/>
    <w:rsid w:val="00386B4D"/>
    <w:rsid w:val="00386F34"/>
    <w:rsid w:val="00387924"/>
    <w:rsid w:val="00391286"/>
    <w:rsid w:val="00392E9C"/>
    <w:rsid w:val="00393652"/>
    <w:rsid w:val="0039384D"/>
    <w:rsid w:val="00395C23"/>
    <w:rsid w:val="00395DEA"/>
    <w:rsid w:val="0039624F"/>
    <w:rsid w:val="0039685B"/>
    <w:rsid w:val="00396D4C"/>
    <w:rsid w:val="00397A7D"/>
    <w:rsid w:val="003A2E4F"/>
    <w:rsid w:val="003A373D"/>
    <w:rsid w:val="003A4438"/>
    <w:rsid w:val="003A5013"/>
    <w:rsid w:val="003A5078"/>
    <w:rsid w:val="003A62DD"/>
    <w:rsid w:val="003A775A"/>
    <w:rsid w:val="003B02E1"/>
    <w:rsid w:val="003B0325"/>
    <w:rsid w:val="003B09F5"/>
    <w:rsid w:val="003B0DAB"/>
    <w:rsid w:val="003B15F7"/>
    <w:rsid w:val="003B213A"/>
    <w:rsid w:val="003B43AD"/>
    <w:rsid w:val="003B5229"/>
    <w:rsid w:val="003B5CB9"/>
    <w:rsid w:val="003B7D48"/>
    <w:rsid w:val="003C0F35"/>
    <w:rsid w:val="003C0FEC"/>
    <w:rsid w:val="003C15B8"/>
    <w:rsid w:val="003C2AC8"/>
    <w:rsid w:val="003C30C1"/>
    <w:rsid w:val="003C3F1C"/>
    <w:rsid w:val="003C6B3D"/>
    <w:rsid w:val="003D0C54"/>
    <w:rsid w:val="003D0EB7"/>
    <w:rsid w:val="003D158B"/>
    <w:rsid w:val="003D17F9"/>
    <w:rsid w:val="003D1B23"/>
    <w:rsid w:val="003D23C5"/>
    <w:rsid w:val="003D2D88"/>
    <w:rsid w:val="003D3242"/>
    <w:rsid w:val="003D41EA"/>
    <w:rsid w:val="003D4850"/>
    <w:rsid w:val="003D535A"/>
    <w:rsid w:val="003D5932"/>
    <w:rsid w:val="003D6524"/>
    <w:rsid w:val="003D78B5"/>
    <w:rsid w:val="003E06A5"/>
    <w:rsid w:val="003E10B8"/>
    <w:rsid w:val="003E3AD3"/>
    <w:rsid w:val="003E5265"/>
    <w:rsid w:val="003E5B2F"/>
    <w:rsid w:val="003E6063"/>
    <w:rsid w:val="003E617B"/>
    <w:rsid w:val="003E6CCF"/>
    <w:rsid w:val="003E7500"/>
    <w:rsid w:val="003E7625"/>
    <w:rsid w:val="003F08C6"/>
    <w:rsid w:val="003F0955"/>
    <w:rsid w:val="003F1FF9"/>
    <w:rsid w:val="003F27CE"/>
    <w:rsid w:val="003F36A2"/>
    <w:rsid w:val="003F4CE1"/>
    <w:rsid w:val="003F6EA9"/>
    <w:rsid w:val="003F6FE1"/>
    <w:rsid w:val="00400758"/>
    <w:rsid w:val="00400F00"/>
    <w:rsid w:val="00401488"/>
    <w:rsid w:val="004021CC"/>
    <w:rsid w:val="00402795"/>
    <w:rsid w:val="004030C2"/>
    <w:rsid w:val="00404495"/>
    <w:rsid w:val="0040463C"/>
    <w:rsid w:val="00404ED5"/>
    <w:rsid w:val="00404F8B"/>
    <w:rsid w:val="00405256"/>
    <w:rsid w:val="00405E70"/>
    <w:rsid w:val="00407663"/>
    <w:rsid w:val="00410031"/>
    <w:rsid w:val="00411034"/>
    <w:rsid w:val="004115A2"/>
    <w:rsid w:val="00412894"/>
    <w:rsid w:val="004129C5"/>
    <w:rsid w:val="004149F6"/>
    <w:rsid w:val="00415C7C"/>
    <w:rsid w:val="00415C81"/>
    <w:rsid w:val="00416731"/>
    <w:rsid w:val="00417298"/>
    <w:rsid w:val="00420902"/>
    <w:rsid w:val="00420C42"/>
    <w:rsid w:val="00420F72"/>
    <w:rsid w:val="00422849"/>
    <w:rsid w:val="00423BD8"/>
    <w:rsid w:val="00430121"/>
    <w:rsid w:val="00431039"/>
    <w:rsid w:val="004317F6"/>
    <w:rsid w:val="004318FF"/>
    <w:rsid w:val="004320B9"/>
    <w:rsid w:val="00432378"/>
    <w:rsid w:val="00432E4F"/>
    <w:rsid w:val="00433649"/>
    <w:rsid w:val="00433C22"/>
    <w:rsid w:val="00434496"/>
    <w:rsid w:val="00435CB4"/>
    <w:rsid w:val="004376A4"/>
    <w:rsid w:val="0043788A"/>
    <w:rsid w:val="004401DB"/>
    <w:rsid w:val="00440D65"/>
    <w:rsid w:val="004420E4"/>
    <w:rsid w:val="004435E6"/>
    <w:rsid w:val="00443E88"/>
    <w:rsid w:val="00444CF7"/>
    <w:rsid w:val="004453B3"/>
    <w:rsid w:val="00446E41"/>
    <w:rsid w:val="00447E31"/>
    <w:rsid w:val="00453418"/>
    <w:rsid w:val="00453923"/>
    <w:rsid w:val="00454B9B"/>
    <w:rsid w:val="00456BBC"/>
    <w:rsid w:val="00457858"/>
    <w:rsid w:val="00460B0B"/>
    <w:rsid w:val="00461023"/>
    <w:rsid w:val="00462B9C"/>
    <w:rsid w:val="00462FAC"/>
    <w:rsid w:val="00464270"/>
    <w:rsid w:val="00464631"/>
    <w:rsid w:val="00464B79"/>
    <w:rsid w:val="00465B73"/>
    <w:rsid w:val="00466C25"/>
    <w:rsid w:val="004675D1"/>
    <w:rsid w:val="004676CC"/>
    <w:rsid w:val="00467BBF"/>
    <w:rsid w:val="0047329D"/>
    <w:rsid w:val="00473C45"/>
    <w:rsid w:val="004740C3"/>
    <w:rsid w:val="00477FFA"/>
    <w:rsid w:val="00480F1F"/>
    <w:rsid w:val="00481A90"/>
    <w:rsid w:val="00483257"/>
    <w:rsid w:val="00484691"/>
    <w:rsid w:val="0048577C"/>
    <w:rsid w:val="004867E2"/>
    <w:rsid w:val="00486F46"/>
    <w:rsid w:val="004929A9"/>
    <w:rsid w:val="004932CC"/>
    <w:rsid w:val="004937A1"/>
    <w:rsid w:val="004955A3"/>
    <w:rsid w:val="004959EB"/>
    <w:rsid w:val="004A0410"/>
    <w:rsid w:val="004A3D34"/>
    <w:rsid w:val="004A3D73"/>
    <w:rsid w:val="004A4AC2"/>
    <w:rsid w:val="004A663C"/>
    <w:rsid w:val="004A6797"/>
    <w:rsid w:val="004A7F4E"/>
    <w:rsid w:val="004B1EFE"/>
    <w:rsid w:val="004B20BD"/>
    <w:rsid w:val="004B347E"/>
    <w:rsid w:val="004B57A2"/>
    <w:rsid w:val="004B598D"/>
    <w:rsid w:val="004B5B98"/>
    <w:rsid w:val="004C2FEC"/>
    <w:rsid w:val="004C3A4B"/>
    <w:rsid w:val="004C4653"/>
    <w:rsid w:val="004C4C17"/>
    <w:rsid w:val="004C5931"/>
    <w:rsid w:val="004C683D"/>
    <w:rsid w:val="004C6BCF"/>
    <w:rsid w:val="004C79AE"/>
    <w:rsid w:val="004D1F7C"/>
    <w:rsid w:val="004D202D"/>
    <w:rsid w:val="004D348F"/>
    <w:rsid w:val="004D41DE"/>
    <w:rsid w:val="004D42E4"/>
    <w:rsid w:val="004D48F1"/>
    <w:rsid w:val="004D58BF"/>
    <w:rsid w:val="004D6718"/>
    <w:rsid w:val="004E0CF9"/>
    <w:rsid w:val="004E0FAC"/>
    <w:rsid w:val="004E3800"/>
    <w:rsid w:val="004E4022"/>
    <w:rsid w:val="004E4335"/>
    <w:rsid w:val="004E4EAF"/>
    <w:rsid w:val="004E5154"/>
    <w:rsid w:val="004E5ACF"/>
    <w:rsid w:val="004E5CE1"/>
    <w:rsid w:val="004E692F"/>
    <w:rsid w:val="004E7562"/>
    <w:rsid w:val="004F13EE"/>
    <w:rsid w:val="004F2022"/>
    <w:rsid w:val="004F3970"/>
    <w:rsid w:val="004F4637"/>
    <w:rsid w:val="004F5331"/>
    <w:rsid w:val="004F54E3"/>
    <w:rsid w:val="004F57C5"/>
    <w:rsid w:val="004F7A35"/>
    <w:rsid w:val="004F7C05"/>
    <w:rsid w:val="005009AF"/>
    <w:rsid w:val="00501904"/>
    <w:rsid w:val="00501A1E"/>
    <w:rsid w:val="00501C94"/>
    <w:rsid w:val="00502DF6"/>
    <w:rsid w:val="005031DD"/>
    <w:rsid w:val="00506170"/>
    <w:rsid w:val="00506283"/>
    <w:rsid w:val="00506432"/>
    <w:rsid w:val="00507DA2"/>
    <w:rsid w:val="00510DE5"/>
    <w:rsid w:val="0051242B"/>
    <w:rsid w:val="00516F4B"/>
    <w:rsid w:val="0052051D"/>
    <w:rsid w:val="005215C3"/>
    <w:rsid w:val="00521637"/>
    <w:rsid w:val="00524277"/>
    <w:rsid w:val="005261B7"/>
    <w:rsid w:val="00526286"/>
    <w:rsid w:val="00527771"/>
    <w:rsid w:val="005305DC"/>
    <w:rsid w:val="005311D8"/>
    <w:rsid w:val="00533172"/>
    <w:rsid w:val="005335B3"/>
    <w:rsid w:val="00533EDD"/>
    <w:rsid w:val="00534190"/>
    <w:rsid w:val="005363C8"/>
    <w:rsid w:val="00537AA2"/>
    <w:rsid w:val="0054258A"/>
    <w:rsid w:val="0054443D"/>
    <w:rsid w:val="00545EE6"/>
    <w:rsid w:val="00546D3F"/>
    <w:rsid w:val="00550260"/>
    <w:rsid w:val="005503E7"/>
    <w:rsid w:val="005511FE"/>
    <w:rsid w:val="00551756"/>
    <w:rsid w:val="005524C0"/>
    <w:rsid w:val="00552564"/>
    <w:rsid w:val="00553A1E"/>
    <w:rsid w:val="005550E7"/>
    <w:rsid w:val="005564FB"/>
    <w:rsid w:val="005572C7"/>
    <w:rsid w:val="00557D5A"/>
    <w:rsid w:val="0056042A"/>
    <w:rsid w:val="00562E71"/>
    <w:rsid w:val="0056335C"/>
    <w:rsid w:val="00564180"/>
    <w:rsid w:val="0056486D"/>
    <w:rsid w:val="0056494F"/>
    <w:rsid w:val="005650ED"/>
    <w:rsid w:val="005659D8"/>
    <w:rsid w:val="00567BE2"/>
    <w:rsid w:val="0057011D"/>
    <w:rsid w:val="005714D0"/>
    <w:rsid w:val="0057214E"/>
    <w:rsid w:val="00572815"/>
    <w:rsid w:val="00572A78"/>
    <w:rsid w:val="00572C33"/>
    <w:rsid w:val="00575754"/>
    <w:rsid w:val="005857EA"/>
    <w:rsid w:val="00586B9F"/>
    <w:rsid w:val="00587B8A"/>
    <w:rsid w:val="0059027D"/>
    <w:rsid w:val="00590748"/>
    <w:rsid w:val="00590EA4"/>
    <w:rsid w:val="00591E20"/>
    <w:rsid w:val="00592669"/>
    <w:rsid w:val="00592AF8"/>
    <w:rsid w:val="00592C03"/>
    <w:rsid w:val="00593EDB"/>
    <w:rsid w:val="00595408"/>
    <w:rsid w:val="00595E84"/>
    <w:rsid w:val="005960E2"/>
    <w:rsid w:val="005968B1"/>
    <w:rsid w:val="005975B7"/>
    <w:rsid w:val="00597D04"/>
    <w:rsid w:val="005A0C59"/>
    <w:rsid w:val="005A0CF7"/>
    <w:rsid w:val="005A202E"/>
    <w:rsid w:val="005A2133"/>
    <w:rsid w:val="005A2829"/>
    <w:rsid w:val="005A3454"/>
    <w:rsid w:val="005A3FA0"/>
    <w:rsid w:val="005A44C7"/>
    <w:rsid w:val="005A4838"/>
    <w:rsid w:val="005A48EB"/>
    <w:rsid w:val="005A4FDC"/>
    <w:rsid w:val="005A621E"/>
    <w:rsid w:val="005A628A"/>
    <w:rsid w:val="005A6CFB"/>
    <w:rsid w:val="005A6FFA"/>
    <w:rsid w:val="005A75AA"/>
    <w:rsid w:val="005A76DC"/>
    <w:rsid w:val="005A7DFE"/>
    <w:rsid w:val="005A7E4D"/>
    <w:rsid w:val="005B04B5"/>
    <w:rsid w:val="005B14B9"/>
    <w:rsid w:val="005B2E22"/>
    <w:rsid w:val="005B3252"/>
    <w:rsid w:val="005B6E6B"/>
    <w:rsid w:val="005C27DB"/>
    <w:rsid w:val="005C31D2"/>
    <w:rsid w:val="005C4F25"/>
    <w:rsid w:val="005C5AEB"/>
    <w:rsid w:val="005C5D74"/>
    <w:rsid w:val="005C6600"/>
    <w:rsid w:val="005C7E73"/>
    <w:rsid w:val="005D1D4B"/>
    <w:rsid w:val="005E0262"/>
    <w:rsid w:val="005E0A3F"/>
    <w:rsid w:val="005E1C57"/>
    <w:rsid w:val="005E570E"/>
    <w:rsid w:val="005E6883"/>
    <w:rsid w:val="005E772F"/>
    <w:rsid w:val="005F22D7"/>
    <w:rsid w:val="005F3954"/>
    <w:rsid w:val="005F3C33"/>
    <w:rsid w:val="005F434B"/>
    <w:rsid w:val="005F4ECA"/>
    <w:rsid w:val="005F5A16"/>
    <w:rsid w:val="005F6417"/>
    <w:rsid w:val="005F7543"/>
    <w:rsid w:val="005F7EB2"/>
    <w:rsid w:val="006025EC"/>
    <w:rsid w:val="00602F83"/>
    <w:rsid w:val="006041BE"/>
    <w:rsid w:val="006043C7"/>
    <w:rsid w:val="00605077"/>
    <w:rsid w:val="00605C6E"/>
    <w:rsid w:val="00605E76"/>
    <w:rsid w:val="00611A32"/>
    <w:rsid w:val="00612F7A"/>
    <w:rsid w:val="00613588"/>
    <w:rsid w:val="00613B6F"/>
    <w:rsid w:val="006176E9"/>
    <w:rsid w:val="00617902"/>
    <w:rsid w:val="006203B5"/>
    <w:rsid w:val="00623FA0"/>
    <w:rsid w:val="00624B52"/>
    <w:rsid w:val="0062691F"/>
    <w:rsid w:val="00626BB7"/>
    <w:rsid w:val="006301EC"/>
    <w:rsid w:val="00630D64"/>
    <w:rsid w:val="00631B70"/>
    <w:rsid w:val="00631DF4"/>
    <w:rsid w:val="00632FAB"/>
    <w:rsid w:val="00634175"/>
    <w:rsid w:val="00634186"/>
    <w:rsid w:val="006341C2"/>
    <w:rsid w:val="00634E77"/>
    <w:rsid w:val="0064059A"/>
    <w:rsid w:val="006408AC"/>
    <w:rsid w:val="00641580"/>
    <w:rsid w:val="00642B33"/>
    <w:rsid w:val="006439CE"/>
    <w:rsid w:val="006458CB"/>
    <w:rsid w:val="00645A9C"/>
    <w:rsid w:val="00645F5E"/>
    <w:rsid w:val="006473F4"/>
    <w:rsid w:val="00650362"/>
    <w:rsid w:val="006506C5"/>
    <w:rsid w:val="006511B6"/>
    <w:rsid w:val="0065155E"/>
    <w:rsid w:val="00652742"/>
    <w:rsid w:val="00656587"/>
    <w:rsid w:val="00656618"/>
    <w:rsid w:val="00657FF8"/>
    <w:rsid w:val="00661CDE"/>
    <w:rsid w:val="0066261B"/>
    <w:rsid w:val="00664BA7"/>
    <w:rsid w:val="006657A0"/>
    <w:rsid w:val="00667671"/>
    <w:rsid w:val="00667BFF"/>
    <w:rsid w:val="006707C6"/>
    <w:rsid w:val="00670C8B"/>
    <w:rsid w:val="00670D99"/>
    <w:rsid w:val="00670E2B"/>
    <w:rsid w:val="0067158D"/>
    <w:rsid w:val="00671D9D"/>
    <w:rsid w:val="006732B0"/>
    <w:rsid w:val="006733A3"/>
    <w:rsid w:val="006734BB"/>
    <w:rsid w:val="0067384F"/>
    <w:rsid w:val="00674494"/>
    <w:rsid w:val="006749C9"/>
    <w:rsid w:val="006756FA"/>
    <w:rsid w:val="00677666"/>
    <w:rsid w:val="006815F3"/>
    <w:rsid w:val="00681A34"/>
    <w:rsid w:val="006821EB"/>
    <w:rsid w:val="006843DB"/>
    <w:rsid w:val="006846BB"/>
    <w:rsid w:val="00686B7E"/>
    <w:rsid w:val="00687D1D"/>
    <w:rsid w:val="00691E81"/>
    <w:rsid w:val="00692EC1"/>
    <w:rsid w:val="00694F21"/>
    <w:rsid w:val="00694F32"/>
    <w:rsid w:val="006959B5"/>
    <w:rsid w:val="0069671B"/>
    <w:rsid w:val="00697F3B"/>
    <w:rsid w:val="006A3CF0"/>
    <w:rsid w:val="006A5F65"/>
    <w:rsid w:val="006A6782"/>
    <w:rsid w:val="006A7AC8"/>
    <w:rsid w:val="006B2286"/>
    <w:rsid w:val="006B3D78"/>
    <w:rsid w:val="006B56BB"/>
    <w:rsid w:val="006B6BE8"/>
    <w:rsid w:val="006C1294"/>
    <w:rsid w:val="006C1F08"/>
    <w:rsid w:val="006C208B"/>
    <w:rsid w:val="006C520C"/>
    <w:rsid w:val="006C68F6"/>
    <w:rsid w:val="006C7664"/>
    <w:rsid w:val="006C77A8"/>
    <w:rsid w:val="006C7EDE"/>
    <w:rsid w:val="006D094C"/>
    <w:rsid w:val="006D1097"/>
    <w:rsid w:val="006D3049"/>
    <w:rsid w:val="006D4098"/>
    <w:rsid w:val="006D4442"/>
    <w:rsid w:val="006D4F94"/>
    <w:rsid w:val="006D7681"/>
    <w:rsid w:val="006D7B2E"/>
    <w:rsid w:val="006D7D52"/>
    <w:rsid w:val="006E02EA"/>
    <w:rsid w:val="006E0968"/>
    <w:rsid w:val="006E26B6"/>
    <w:rsid w:val="006E2AF6"/>
    <w:rsid w:val="006E7608"/>
    <w:rsid w:val="006F08AA"/>
    <w:rsid w:val="006F2CEE"/>
    <w:rsid w:val="006F3C70"/>
    <w:rsid w:val="006F5ED9"/>
    <w:rsid w:val="006F6DDA"/>
    <w:rsid w:val="00701275"/>
    <w:rsid w:val="00702603"/>
    <w:rsid w:val="007036E1"/>
    <w:rsid w:val="00705715"/>
    <w:rsid w:val="00705EFB"/>
    <w:rsid w:val="00707F56"/>
    <w:rsid w:val="0071164C"/>
    <w:rsid w:val="00711B03"/>
    <w:rsid w:val="00713558"/>
    <w:rsid w:val="007155E9"/>
    <w:rsid w:val="00715CEB"/>
    <w:rsid w:val="007166C2"/>
    <w:rsid w:val="00717538"/>
    <w:rsid w:val="007201B9"/>
    <w:rsid w:val="00720D08"/>
    <w:rsid w:val="00721870"/>
    <w:rsid w:val="007263B9"/>
    <w:rsid w:val="00726812"/>
    <w:rsid w:val="00727D03"/>
    <w:rsid w:val="00730C8C"/>
    <w:rsid w:val="00731934"/>
    <w:rsid w:val="007334F8"/>
    <w:rsid w:val="007339CD"/>
    <w:rsid w:val="007359D8"/>
    <w:rsid w:val="00735BF2"/>
    <w:rsid w:val="00735D43"/>
    <w:rsid w:val="00735F3B"/>
    <w:rsid w:val="007362D4"/>
    <w:rsid w:val="00736C40"/>
    <w:rsid w:val="00737836"/>
    <w:rsid w:val="00740F86"/>
    <w:rsid w:val="007428DD"/>
    <w:rsid w:val="00743089"/>
    <w:rsid w:val="00743B06"/>
    <w:rsid w:val="0074536D"/>
    <w:rsid w:val="00745D61"/>
    <w:rsid w:val="007466EB"/>
    <w:rsid w:val="00746A11"/>
    <w:rsid w:val="00747784"/>
    <w:rsid w:val="00750588"/>
    <w:rsid w:val="00751A23"/>
    <w:rsid w:val="0075281A"/>
    <w:rsid w:val="007534D9"/>
    <w:rsid w:val="00754A3E"/>
    <w:rsid w:val="00755256"/>
    <w:rsid w:val="007556F6"/>
    <w:rsid w:val="007572B6"/>
    <w:rsid w:val="00761159"/>
    <w:rsid w:val="00762711"/>
    <w:rsid w:val="007650BA"/>
    <w:rsid w:val="00765CE6"/>
    <w:rsid w:val="007660EC"/>
    <w:rsid w:val="007661F3"/>
    <w:rsid w:val="0076672A"/>
    <w:rsid w:val="007677B0"/>
    <w:rsid w:val="0076791A"/>
    <w:rsid w:val="00767E33"/>
    <w:rsid w:val="007720DF"/>
    <w:rsid w:val="00775E45"/>
    <w:rsid w:val="00776309"/>
    <w:rsid w:val="00776E74"/>
    <w:rsid w:val="00783E7E"/>
    <w:rsid w:val="00784847"/>
    <w:rsid w:val="00785169"/>
    <w:rsid w:val="00786379"/>
    <w:rsid w:val="00790EB2"/>
    <w:rsid w:val="0079439F"/>
    <w:rsid w:val="007954AB"/>
    <w:rsid w:val="0079622C"/>
    <w:rsid w:val="00797224"/>
    <w:rsid w:val="007A003B"/>
    <w:rsid w:val="007A14C5"/>
    <w:rsid w:val="007A1802"/>
    <w:rsid w:val="007A2CD2"/>
    <w:rsid w:val="007A3E38"/>
    <w:rsid w:val="007A4748"/>
    <w:rsid w:val="007A4A10"/>
    <w:rsid w:val="007A4B5C"/>
    <w:rsid w:val="007A4D32"/>
    <w:rsid w:val="007A53E2"/>
    <w:rsid w:val="007A67AD"/>
    <w:rsid w:val="007B1437"/>
    <w:rsid w:val="007B1760"/>
    <w:rsid w:val="007B23BE"/>
    <w:rsid w:val="007B269C"/>
    <w:rsid w:val="007B30C1"/>
    <w:rsid w:val="007C079A"/>
    <w:rsid w:val="007C68B4"/>
    <w:rsid w:val="007C6D9C"/>
    <w:rsid w:val="007C6F04"/>
    <w:rsid w:val="007C7DDB"/>
    <w:rsid w:val="007D2CC7"/>
    <w:rsid w:val="007D2EED"/>
    <w:rsid w:val="007D355D"/>
    <w:rsid w:val="007D673D"/>
    <w:rsid w:val="007D7FDF"/>
    <w:rsid w:val="007E067C"/>
    <w:rsid w:val="007E4E9C"/>
    <w:rsid w:val="007E639B"/>
    <w:rsid w:val="007E6F0C"/>
    <w:rsid w:val="007E73AE"/>
    <w:rsid w:val="007F2220"/>
    <w:rsid w:val="007F282D"/>
    <w:rsid w:val="007F3034"/>
    <w:rsid w:val="007F333C"/>
    <w:rsid w:val="007F4B3E"/>
    <w:rsid w:val="007F52C1"/>
    <w:rsid w:val="007F588A"/>
    <w:rsid w:val="007F7501"/>
    <w:rsid w:val="00802F75"/>
    <w:rsid w:val="00803175"/>
    <w:rsid w:val="00803C06"/>
    <w:rsid w:val="00804F60"/>
    <w:rsid w:val="0080610E"/>
    <w:rsid w:val="008108DB"/>
    <w:rsid w:val="008127AF"/>
    <w:rsid w:val="008129B1"/>
    <w:rsid w:val="00812B46"/>
    <w:rsid w:val="00813F3E"/>
    <w:rsid w:val="008156B4"/>
    <w:rsid w:val="00815700"/>
    <w:rsid w:val="0081627D"/>
    <w:rsid w:val="00817B70"/>
    <w:rsid w:val="00821BC3"/>
    <w:rsid w:val="0082244B"/>
    <w:rsid w:val="00825407"/>
    <w:rsid w:val="008264EB"/>
    <w:rsid w:val="00826B8F"/>
    <w:rsid w:val="00826D48"/>
    <w:rsid w:val="00831E8A"/>
    <w:rsid w:val="0083236F"/>
    <w:rsid w:val="00833390"/>
    <w:rsid w:val="00833671"/>
    <w:rsid w:val="00833F05"/>
    <w:rsid w:val="00835411"/>
    <w:rsid w:val="00835C76"/>
    <w:rsid w:val="008360DD"/>
    <w:rsid w:val="0083738A"/>
    <w:rsid w:val="008406FF"/>
    <w:rsid w:val="00841111"/>
    <w:rsid w:val="008428B8"/>
    <w:rsid w:val="00842D3F"/>
    <w:rsid w:val="00843049"/>
    <w:rsid w:val="00843CAA"/>
    <w:rsid w:val="008503D7"/>
    <w:rsid w:val="00850AAA"/>
    <w:rsid w:val="0085209B"/>
    <w:rsid w:val="008528C6"/>
    <w:rsid w:val="00854773"/>
    <w:rsid w:val="00855B3B"/>
    <w:rsid w:val="00856065"/>
    <w:rsid w:val="00856B66"/>
    <w:rsid w:val="008577AC"/>
    <w:rsid w:val="00857E95"/>
    <w:rsid w:val="00857EDA"/>
    <w:rsid w:val="00860187"/>
    <w:rsid w:val="008605B0"/>
    <w:rsid w:val="00861A5F"/>
    <w:rsid w:val="00861DC4"/>
    <w:rsid w:val="008644AD"/>
    <w:rsid w:val="00864E97"/>
    <w:rsid w:val="00865735"/>
    <w:rsid w:val="00865745"/>
    <w:rsid w:val="00865DDB"/>
    <w:rsid w:val="00866BB3"/>
    <w:rsid w:val="00866E2A"/>
    <w:rsid w:val="00867538"/>
    <w:rsid w:val="0087067A"/>
    <w:rsid w:val="00871404"/>
    <w:rsid w:val="00873D90"/>
    <w:rsid w:val="00873FC8"/>
    <w:rsid w:val="008748D9"/>
    <w:rsid w:val="00875C61"/>
    <w:rsid w:val="008761EC"/>
    <w:rsid w:val="00876C1E"/>
    <w:rsid w:val="00877EA8"/>
    <w:rsid w:val="008837FC"/>
    <w:rsid w:val="00883CD8"/>
    <w:rsid w:val="00884C63"/>
    <w:rsid w:val="00885908"/>
    <w:rsid w:val="00885933"/>
    <w:rsid w:val="008864B7"/>
    <w:rsid w:val="008906BC"/>
    <w:rsid w:val="008936F5"/>
    <w:rsid w:val="00893A49"/>
    <w:rsid w:val="008946E5"/>
    <w:rsid w:val="00894DD8"/>
    <w:rsid w:val="00895689"/>
    <w:rsid w:val="00895ACF"/>
    <w:rsid w:val="0089677E"/>
    <w:rsid w:val="00896B77"/>
    <w:rsid w:val="00896E8C"/>
    <w:rsid w:val="008A31C7"/>
    <w:rsid w:val="008A34CD"/>
    <w:rsid w:val="008A356D"/>
    <w:rsid w:val="008A3594"/>
    <w:rsid w:val="008A3D87"/>
    <w:rsid w:val="008A57CE"/>
    <w:rsid w:val="008A7438"/>
    <w:rsid w:val="008A74F8"/>
    <w:rsid w:val="008B0B30"/>
    <w:rsid w:val="008B1334"/>
    <w:rsid w:val="008B1AFF"/>
    <w:rsid w:val="008B1C3C"/>
    <w:rsid w:val="008B26E0"/>
    <w:rsid w:val="008B327F"/>
    <w:rsid w:val="008B67A4"/>
    <w:rsid w:val="008B6885"/>
    <w:rsid w:val="008B68D5"/>
    <w:rsid w:val="008C0278"/>
    <w:rsid w:val="008C24E9"/>
    <w:rsid w:val="008C2529"/>
    <w:rsid w:val="008C3EAC"/>
    <w:rsid w:val="008C5647"/>
    <w:rsid w:val="008C590A"/>
    <w:rsid w:val="008C60BB"/>
    <w:rsid w:val="008D0533"/>
    <w:rsid w:val="008D09D4"/>
    <w:rsid w:val="008D1BC1"/>
    <w:rsid w:val="008D2A00"/>
    <w:rsid w:val="008D3CA8"/>
    <w:rsid w:val="008D3CBC"/>
    <w:rsid w:val="008D3D65"/>
    <w:rsid w:val="008D41D7"/>
    <w:rsid w:val="008D42CB"/>
    <w:rsid w:val="008D48C9"/>
    <w:rsid w:val="008D5B79"/>
    <w:rsid w:val="008D6381"/>
    <w:rsid w:val="008D645A"/>
    <w:rsid w:val="008D7104"/>
    <w:rsid w:val="008E0C77"/>
    <w:rsid w:val="008E1BB4"/>
    <w:rsid w:val="008E47D2"/>
    <w:rsid w:val="008E48FE"/>
    <w:rsid w:val="008E625F"/>
    <w:rsid w:val="008E6CB5"/>
    <w:rsid w:val="008E6EBF"/>
    <w:rsid w:val="008E7BA0"/>
    <w:rsid w:val="008F06A1"/>
    <w:rsid w:val="008F235E"/>
    <w:rsid w:val="008F264D"/>
    <w:rsid w:val="008F35CE"/>
    <w:rsid w:val="008F3BD0"/>
    <w:rsid w:val="0090000C"/>
    <w:rsid w:val="00902534"/>
    <w:rsid w:val="00903129"/>
    <w:rsid w:val="00904CB3"/>
    <w:rsid w:val="009067C5"/>
    <w:rsid w:val="009074E1"/>
    <w:rsid w:val="00910488"/>
    <w:rsid w:val="009112F7"/>
    <w:rsid w:val="009122AF"/>
    <w:rsid w:val="009127BC"/>
    <w:rsid w:val="00912D54"/>
    <w:rsid w:val="0091389F"/>
    <w:rsid w:val="00914382"/>
    <w:rsid w:val="00914FE0"/>
    <w:rsid w:val="0091511E"/>
    <w:rsid w:val="00915696"/>
    <w:rsid w:val="009164EE"/>
    <w:rsid w:val="009166AD"/>
    <w:rsid w:val="009170AC"/>
    <w:rsid w:val="00917314"/>
    <w:rsid w:val="00917669"/>
    <w:rsid w:val="00917D1F"/>
    <w:rsid w:val="00917FC4"/>
    <w:rsid w:val="009208F7"/>
    <w:rsid w:val="00920910"/>
    <w:rsid w:val="00920C36"/>
    <w:rsid w:val="00920F54"/>
    <w:rsid w:val="00922517"/>
    <w:rsid w:val="009226A5"/>
    <w:rsid w:val="00922722"/>
    <w:rsid w:val="009238B7"/>
    <w:rsid w:val="00924514"/>
    <w:rsid w:val="00925B54"/>
    <w:rsid w:val="009261E6"/>
    <w:rsid w:val="009268E1"/>
    <w:rsid w:val="00927421"/>
    <w:rsid w:val="00930556"/>
    <w:rsid w:val="00930B6B"/>
    <w:rsid w:val="00933087"/>
    <w:rsid w:val="0093308D"/>
    <w:rsid w:val="00933527"/>
    <w:rsid w:val="009343BE"/>
    <w:rsid w:val="00935706"/>
    <w:rsid w:val="00935776"/>
    <w:rsid w:val="0094002D"/>
    <w:rsid w:val="00945C5C"/>
    <w:rsid w:val="00945E7F"/>
    <w:rsid w:val="009529A9"/>
    <w:rsid w:val="009535BA"/>
    <w:rsid w:val="00953D39"/>
    <w:rsid w:val="00953D92"/>
    <w:rsid w:val="00953E43"/>
    <w:rsid w:val="0095408C"/>
    <w:rsid w:val="00954AEA"/>
    <w:rsid w:val="009557C1"/>
    <w:rsid w:val="0095642E"/>
    <w:rsid w:val="00957B81"/>
    <w:rsid w:val="00957F68"/>
    <w:rsid w:val="009607A4"/>
    <w:rsid w:val="00960D6E"/>
    <w:rsid w:val="009703E7"/>
    <w:rsid w:val="0097082C"/>
    <w:rsid w:val="00970A48"/>
    <w:rsid w:val="00970B1F"/>
    <w:rsid w:val="00972BC1"/>
    <w:rsid w:val="00974B59"/>
    <w:rsid w:val="00976B6F"/>
    <w:rsid w:val="009770D8"/>
    <w:rsid w:val="00977A89"/>
    <w:rsid w:val="00977C90"/>
    <w:rsid w:val="0098004F"/>
    <w:rsid w:val="0098166D"/>
    <w:rsid w:val="00982845"/>
    <w:rsid w:val="009829F7"/>
    <w:rsid w:val="00982B6E"/>
    <w:rsid w:val="009832CB"/>
    <w:rsid w:val="00983371"/>
    <w:rsid w:val="0098340B"/>
    <w:rsid w:val="009841A3"/>
    <w:rsid w:val="009853F1"/>
    <w:rsid w:val="00985BE8"/>
    <w:rsid w:val="00985F52"/>
    <w:rsid w:val="00986095"/>
    <w:rsid w:val="00986830"/>
    <w:rsid w:val="0098720C"/>
    <w:rsid w:val="009873AE"/>
    <w:rsid w:val="009924C3"/>
    <w:rsid w:val="00992790"/>
    <w:rsid w:val="00993102"/>
    <w:rsid w:val="00994FAB"/>
    <w:rsid w:val="009A463F"/>
    <w:rsid w:val="009A56AD"/>
    <w:rsid w:val="009A617C"/>
    <w:rsid w:val="009A6AF5"/>
    <w:rsid w:val="009B0549"/>
    <w:rsid w:val="009B0833"/>
    <w:rsid w:val="009B1B8E"/>
    <w:rsid w:val="009B2CC1"/>
    <w:rsid w:val="009B49DE"/>
    <w:rsid w:val="009B4D0F"/>
    <w:rsid w:val="009B5315"/>
    <w:rsid w:val="009B63B1"/>
    <w:rsid w:val="009B6CC9"/>
    <w:rsid w:val="009C23EE"/>
    <w:rsid w:val="009C2849"/>
    <w:rsid w:val="009C4A39"/>
    <w:rsid w:val="009C4EAB"/>
    <w:rsid w:val="009C59F4"/>
    <w:rsid w:val="009C6C7A"/>
    <w:rsid w:val="009C6F10"/>
    <w:rsid w:val="009C793F"/>
    <w:rsid w:val="009D148F"/>
    <w:rsid w:val="009D1920"/>
    <w:rsid w:val="009D2BFC"/>
    <w:rsid w:val="009D2E7A"/>
    <w:rsid w:val="009D3702"/>
    <w:rsid w:val="009D3D70"/>
    <w:rsid w:val="009D430B"/>
    <w:rsid w:val="009D5389"/>
    <w:rsid w:val="009D7A73"/>
    <w:rsid w:val="009D7BF7"/>
    <w:rsid w:val="009E1F4F"/>
    <w:rsid w:val="009E35A1"/>
    <w:rsid w:val="009E3ED4"/>
    <w:rsid w:val="009E4D2B"/>
    <w:rsid w:val="009E665C"/>
    <w:rsid w:val="009E6F7E"/>
    <w:rsid w:val="009E7A57"/>
    <w:rsid w:val="009F324B"/>
    <w:rsid w:val="009F3823"/>
    <w:rsid w:val="009F4F6A"/>
    <w:rsid w:val="009F6364"/>
    <w:rsid w:val="009F6408"/>
    <w:rsid w:val="00A01724"/>
    <w:rsid w:val="00A0383F"/>
    <w:rsid w:val="00A04084"/>
    <w:rsid w:val="00A0459B"/>
    <w:rsid w:val="00A04E37"/>
    <w:rsid w:val="00A058F6"/>
    <w:rsid w:val="00A07E33"/>
    <w:rsid w:val="00A103A6"/>
    <w:rsid w:val="00A1076D"/>
    <w:rsid w:val="00A11A21"/>
    <w:rsid w:val="00A13812"/>
    <w:rsid w:val="00A1464C"/>
    <w:rsid w:val="00A154CA"/>
    <w:rsid w:val="00A16292"/>
    <w:rsid w:val="00A16447"/>
    <w:rsid w:val="00A16E36"/>
    <w:rsid w:val="00A21589"/>
    <w:rsid w:val="00A21B38"/>
    <w:rsid w:val="00A21F5E"/>
    <w:rsid w:val="00A2216F"/>
    <w:rsid w:val="00A229B4"/>
    <w:rsid w:val="00A2319D"/>
    <w:rsid w:val="00A24961"/>
    <w:rsid w:val="00A24B10"/>
    <w:rsid w:val="00A253A6"/>
    <w:rsid w:val="00A25D3B"/>
    <w:rsid w:val="00A2696B"/>
    <w:rsid w:val="00A269F0"/>
    <w:rsid w:val="00A3083D"/>
    <w:rsid w:val="00A30E9B"/>
    <w:rsid w:val="00A31723"/>
    <w:rsid w:val="00A34AF7"/>
    <w:rsid w:val="00A4512D"/>
    <w:rsid w:val="00A46A5A"/>
    <w:rsid w:val="00A46C1B"/>
    <w:rsid w:val="00A46D84"/>
    <w:rsid w:val="00A50069"/>
    <w:rsid w:val="00A50244"/>
    <w:rsid w:val="00A5158A"/>
    <w:rsid w:val="00A5256B"/>
    <w:rsid w:val="00A5373B"/>
    <w:rsid w:val="00A53E3D"/>
    <w:rsid w:val="00A540AE"/>
    <w:rsid w:val="00A56F17"/>
    <w:rsid w:val="00A574DA"/>
    <w:rsid w:val="00A60914"/>
    <w:rsid w:val="00A627D7"/>
    <w:rsid w:val="00A62D52"/>
    <w:rsid w:val="00A63D69"/>
    <w:rsid w:val="00A656C7"/>
    <w:rsid w:val="00A666F6"/>
    <w:rsid w:val="00A67C14"/>
    <w:rsid w:val="00A705AF"/>
    <w:rsid w:val="00A71BCC"/>
    <w:rsid w:val="00A72454"/>
    <w:rsid w:val="00A73920"/>
    <w:rsid w:val="00A73DBF"/>
    <w:rsid w:val="00A77696"/>
    <w:rsid w:val="00A80557"/>
    <w:rsid w:val="00A808F9"/>
    <w:rsid w:val="00A8165A"/>
    <w:rsid w:val="00A81D33"/>
    <w:rsid w:val="00A83A07"/>
    <w:rsid w:val="00A85196"/>
    <w:rsid w:val="00A856B8"/>
    <w:rsid w:val="00A860F3"/>
    <w:rsid w:val="00A86217"/>
    <w:rsid w:val="00A8644A"/>
    <w:rsid w:val="00A90697"/>
    <w:rsid w:val="00A90806"/>
    <w:rsid w:val="00A91215"/>
    <w:rsid w:val="00A92BDB"/>
    <w:rsid w:val="00A92C9C"/>
    <w:rsid w:val="00A930AE"/>
    <w:rsid w:val="00A94562"/>
    <w:rsid w:val="00A95BF0"/>
    <w:rsid w:val="00A97425"/>
    <w:rsid w:val="00AA1A95"/>
    <w:rsid w:val="00AA260F"/>
    <w:rsid w:val="00AA357B"/>
    <w:rsid w:val="00AA479C"/>
    <w:rsid w:val="00AA5204"/>
    <w:rsid w:val="00AA5420"/>
    <w:rsid w:val="00AA7EDA"/>
    <w:rsid w:val="00AB1EE7"/>
    <w:rsid w:val="00AB322C"/>
    <w:rsid w:val="00AB3E87"/>
    <w:rsid w:val="00AB458F"/>
    <w:rsid w:val="00AB4B37"/>
    <w:rsid w:val="00AB4C63"/>
    <w:rsid w:val="00AB5762"/>
    <w:rsid w:val="00AB59F2"/>
    <w:rsid w:val="00AB6012"/>
    <w:rsid w:val="00AB651A"/>
    <w:rsid w:val="00AC0848"/>
    <w:rsid w:val="00AC0C70"/>
    <w:rsid w:val="00AC2262"/>
    <w:rsid w:val="00AC2679"/>
    <w:rsid w:val="00AC2916"/>
    <w:rsid w:val="00AC3701"/>
    <w:rsid w:val="00AC4BE4"/>
    <w:rsid w:val="00AC4BFD"/>
    <w:rsid w:val="00AC4C48"/>
    <w:rsid w:val="00AC5C4F"/>
    <w:rsid w:val="00AC64FF"/>
    <w:rsid w:val="00AC6BAA"/>
    <w:rsid w:val="00AC6BF9"/>
    <w:rsid w:val="00AD05E6"/>
    <w:rsid w:val="00AD0D3F"/>
    <w:rsid w:val="00AD1ADB"/>
    <w:rsid w:val="00AD3D6F"/>
    <w:rsid w:val="00AD4261"/>
    <w:rsid w:val="00AE0820"/>
    <w:rsid w:val="00AE0CD6"/>
    <w:rsid w:val="00AE1D7D"/>
    <w:rsid w:val="00AE2851"/>
    <w:rsid w:val="00AE29EA"/>
    <w:rsid w:val="00AE2A8B"/>
    <w:rsid w:val="00AE37E9"/>
    <w:rsid w:val="00AE3F64"/>
    <w:rsid w:val="00AE5A2F"/>
    <w:rsid w:val="00AE5C73"/>
    <w:rsid w:val="00AE7053"/>
    <w:rsid w:val="00AE76F6"/>
    <w:rsid w:val="00AF2981"/>
    <w:rsid w:val="00AF3095"/>
    <w:rsid w:val="00AF34C9"/>
    <w:rsid w:val="00AF3644"/>
    <w:rsid w:val="00AF395B"/>
    <w:rsid w:val="00AF3A1B"/>
    <w:rsid w:val="00AF5219"/>
    <w:rsid w:val="00AF7204"/>
    <w:rsid w:val="00AF7386"/>
    <w:rsid w:val="00AF7934"/>
    <w:rsid w:val="00AF7D37"/>
    <w:rsid w:val="00B0037C"/>
    <w:rsid w:val="00B0052F"/>
    <w:rsid w:val="00B00B81"/>
    <w:rsid w:val="00B042E9"/>
    <w:rsid w:val="00B04580"/>
    <w:rsid w:val="00B04B09"/>
    <w:rsid w:val="00B05BDC"/>
    <w:rsid w:val="00B0678C"/>
    <w:rsid w:val="00B06D70"/>
    <w:rsid w:val="00B1059A"/>
    <w:rsid w:val="00B11846"/>
    <w:rsid w:val="00B1317D"/>
    <w:rsid w:val="00B13EF2"/>
    <w:rsid w:val="00B16A51"/>
    <w:rsid w:val="00B244C8"/>
    <w:rsid w:val="00B25440"/>
    <w:rsid w:val="00B255B7"/>
    <w:rsid w:val="00B304BA"/>
    <w:rsid w:val="00B30D9B"/>
    <w:rsid w:val="00B32222"/>
    <w:rsid w:val="00B32F11"/>
    <w:rsid w:val="00B360F5"/>
    <w:rsid w:val="00B3618D"/>
    <w:rsid w:val="00B36233"/>
    <w:rsid w:val="00B37DDF"/>
    <w:rsid w:val="00B37E5C"/>
    <w:rsid w:val="00B42851"/>
    <w:rsid w:val="00B42A4E"/>
    <w:rsid w:val="00B43F54"/>
    <w:rsid w:val="00B441BE"/>
    <w:rsid w:val="00B450AD"/>
    <w:rsid w:val="00B45AC7"/>
    <w:rsid w:val="00B475FE"/>
    <w:rsid w:val="00B50747"/>
    <w:rsid w:val="00B509DB"/>
    <w:rsid w:val="00B50C53"/>
    <w:rsid w:val="00B53124"/>
    <w:rsid w:val="00B5372F"/>
    <w:rsid w:val="00B54DA4"/>
    <w:rsid w:val="00B5552C"/>
    <w:rsid w:val="00B55705"/>
    <w:rsid w:val="00B557A0"/>
    <w:rsid w:val="00B61129"/>
    <w:rsid w:val="00B62F2C"/>
    <w:rsid w:val="00B63CC3"/>
    <w:rsid w:val="00B666BA"/>
    <w:rsid w:val="00B66927"/>
    <w:rsid w:val="00B67E7F"/>
    <w:rsid w:val="00B72212"/>
    <w:rsid w:val="00B7422D"/>
    <w:rsid w:val="00B7597A"/>
    <w:rsid w:val="00B75A04"/>
    <w:rsid w:val="00B75FE0"/>
    <w:rsid w:val="00B7624E"/>
    <w:rsid w:val="00B7676B"/>
    <w:rsid w:val="00B76981"/>
    <w:rsid w:val="00B7718C"/>
    <w:rsid w:val="00B774F2"/>
    <w:rsid w:val="00B77767"/>
    <w:rsid w:val="00B83159"/>
    <w:rsid w:val="00B839B2"/>
    <w:rsid w:val="00B878B0"/>
    <w:rsid w:val="00B90895"/>
    <w:rsid w:val="00B93E33"/>
    <w:rsid w:val="00B94252"/>
    <w:rsid w:val="00B94828"/>
    <w:rsid w:val="00B9557E"/>
    <w:rsid w:val="00B9715A"/>
    <w:rsid w:val="00BA04E1"/>
    <w:rsid w:val="00BA14BE"/>
    <w:rsid w:val="00BA1911"/>
    <w:rsid w:val="00BA2278"/>
    <w:rsid w:val="00BA2732"/>
    <w:rsid w:val="00BA293D"/>
    <w:rsid w:val="00BA2DC0"/>
    <w:rsid w:val="00BA49BC"/>
    <w:rsid w:val="00BA56B7"/>
    <w:rsid w:val="00BA77B6"/>
    <w:rsid w:val="00BA7A1E"/>
    <w:rsid w:val="00BA7CA9"/>
    <w:rsid w:val="00BB115E"/>
    <w:rsid w:val="00BB19CB"/>
    <w:rsid w:val="00BB213C"/>
    <w:rsid w:val="00BB2F6C"/>
    <w:rsid w:val="00BB3875"/>
    <w:rsid w:val="00BB5384"/>
    <w:rsid w:val="00BB5860"/>
    <w:rsid w:val="00BB5D6F"/>
    <w:rsid w:val="00BB5E6D"/>
    <w:rsid w:val="00BB6AAD"/>
    <w:rsid w:val="00BB6EAA"/>
    <w:rsid w:val="00BC0ED8"/>
    <w:rsid w:val="00BC4A19"/>
    <w:rsid w:val="00BC4E6D"/>
    <w:rsid w:val="00BC5FE0"/>
    <w:rsid w:val="00BD0617"/>
    <w:rsid w:val="00BD2363"/>
    <w:rsid w:val="00BD2A5A"/>
    <w:rsid w:val="00BD2E9B"/>
    <w:rsid w:val="00BE012F"/>
    <w:rsid w:val="00BE0F4F"/>
    <w:rsid w:val="00BE3E47"/>
    <w:rsid w:val="00BE494A"/>
    <w:rsid w:val="00BE4A6C"/>
    <w:rsid w:val="00BE6B6A"/>
    <w:rsid w:val="00BF1308"/>
    <w:rsid w:val="00BF2CAF"/>
    <w:rsid w:val="00BF3BC5"/>
    <w:rsid w:val="00BF41D5"/>
    <w:rsid w:val="00BF5D11"/>
    <w:rsid w:val="00BF69F7"/>
    <w:rsid w:val="00BF6B3A"/>
    <w:rsid w:val="00C004E8"/>
    <w:rsid w:val="00C007DB"/>
    <w:rsid w:val="00C00930"/>
    <w:rsid w:val="00C00FA4"/>
    <w:rsid w:val="00C02B86"/>
    <w:rsid w:val="00C03C65"/>
    <w:rsid w:val="00C05DCF"/>
    <w:rsid w:val="00C060AD"/>
    <w:rsid w:val="00C062F6"/>
    <w:rsid w:val="00C0670D"/>
    <w:rsid w:val="00C07153"/>
    <w:rsid w:val="00C10563"/>
    <w:rsid w:val="00C110A9"/>
    <w:rsid w:val="00C113BF"/>
    <w:rsid w:val="00C13C02"/>
    <w:rsid w:val="00C14C90"/>
    <w:rsid w:val="00C1601C"/>
    <w:rsid w:val="00C160F8"/>
    <w:rsid w:val="00C16B5C"/>
    <w:rsid w:val="00C17FFB"/>
    <w:rsid w:val="00C2119F"/>
    <w:rsid w:val="00C2176E"/>
    <w:rsid w:val="00C2311D"/>
    <w:rsid w:val="00C23430"/>
    <w:rsid w:val="00C25667"/>
    <w:rsid w:val="00C26249"/>
    <w:rsid w:val="00C265BF"/>
    <w:rsid w:val="00C27D67"/>
    <w:rsid w:val="00C3353D"/>
    <w:rsid w:val="00C3606D"/>
    <w:rsid w:val="00C36C46"/>
    <w:rsid w:val="00C36E1B"/>
    <w:rsid w:val="00C36FA4"/>
    <w:rsid w:val="00C37321"/>
    <w:rsid w:val="00C37A9E"/>
    <w:rsid w:val="00C40827"/>
    <w:rsid w:val="00C41D33"/>
    <w:rsid w:val="00C41F82"/>
    <w:rsid w:val="00C43B00"/>
    <w:rsid w:val="00C43D50"/>
    <w:rsid w:val="00C45CD2"/>
    <w:rsid w:val="00C4631F"/>
    <w:rsid w:val="00C464C0"/>
    <w:rsid w:val="00C46AC8"/>
    <w:rsid w:val="00C46B6C"/>
    <w:rsid w:val="00C46FD1"/>
    <w:rsid w:val="00C50E16"/>
    <w:rsid w:val="00C545DF"/>
    <w:rsid w:val="00C546F1"/>
    <w:rsid w:val="00C55258"/>
    <w:rsid w:val="00C568BE"/>
    <w:rsid w:val="00C624FB"/>
    <w:rsid w:val="00C641B9"/>
    <w:rsid w:val="00C66EDD"/>
    <w:rsid w:val="00C70181"/>
    <w:rsid w:val="00C71FFC"/>
    <w:rsid w:val="00C7725A"/>
    <w:rsid w:val="00C82EEB"/>
    <w:rsid w:val="00C862E6"/>
    <w:rsid w:val="00C86F06"/>
    <w:rsid w:val="00C93F72"/>
    <w:rsid w:val="00C94208"/>
    <w:rsid w:val="00C95C60"/>
    <w:rsid w:val="00C971DC"/>
    <w:rsid w:val="00C972E7"/>
    <w:rsid w:val="00CA16B7"/>
    <w:rsid w:val="00CA37F4"/>
    <w:rsid w:val="00CA38E9"/>
    <w:rsid w:val="00CA41B0"/>
    <w:rsid w:val="00CA4BE3"/>
    <w:rsid w:val="00CA62AE"/>
    <w:rsid w:val="00CA68CB"/>
    <w:rsid w:val="00CA6AE4"/>
    <w:rsid w:val="00CA79CF"/>
    <w:rsid w:val="00CB1A17"/>
    <w:rsid w:val="00CB253B"/>
    <w:rsid w:val="00CB5B1A"/>
    <w:rsid w:val="00CB62C5"/>
    <w:rsid w:val="00CB6492"/>
    <w:rsid w:val="00CB770C"/>
    <w:rsid w:val="00CB78A0"/>
    <w:rsid w:val="00CC1916"/>
    <w:rsid w:val="00CC220B"/>
    <w:rsid w:val="00CC39B9"/>
    <w:rsid w:val="00CC46E2"/>
    <w:rsid w:val="00CC47D4"/>
    <w:rsid w:val="00CC5614"/>
    <w:rsid w:val="00CC5C43"/>
    <w:rsid w:val="00CC78F4"/>
    <w:rsid w:val="00CD02AE"/>
    <w:rsid w:val="00CD1698"/>
    <w:rsid w:val="00CD18D4"/>
    <w:rsid w:val="00CD2A4F"/>
    <w:rsid w:val="00CD36DC"/>
    <w:rsid w:val="00CD374A"/>
    <w:rsid w:val="00CD3AA3"/>
    <w:rsid w:val="00CD4AF9"/>
    <w:rsid w:val="00CD52CF"/>
    <w:rsid w:val="00CD6F8A"/>
    <w:rsid w:val="00CD7A5D"/>
    <w:rsid w:val="00CE03CA"/>
    <w:rsid w:val="00CE123B"/>
    <w:rsid w:val="00CE22F1"/>
    <w:rsid w:val="00CE2CC1"/>
    <w:rsid w:val="00CE2DD8"/>
    <w:rsid w:val="00CE407C"/>
    <w:rsid w:val="00CE4F6D"/>
    <w:rsid w:val="00CE50F2"/>
    <w:rsid w:val="00CE5706"/>
    <w:rsid w:val="00CE6502"/>
    <w:rsid w:val="00CE662D"/>
    <w:rsid w:val="00CF1285"/>
    <w:rsid w:val="00CF14A6"/>
    <w:rsid w:val="00CF30EE"/>
    <w:rsid w:val="00CF3646"/>
    <w:rsid w:val="00CF61BE"/>
    <w:rsid w:val="00CF7C57"/>
    <w:rsid w:val="00CF7D3C"/>
    <w:rsid w:val="00D01FFB"/>
    <w:rsid w:val="00D02D62"/>
    <w:rsid w:val="00D03BB8"/>
    <w:rsid w:val="00D04CE3"/>
    <w:rsid w:val="00D04DBF"/>
    <w:rsid w:val="00D06E52"/>
    <w:rsid w:val="00D0787A"/>
    <w:rsid w:val="00D11D0D"/>
    <w:rsid w:val="00D142AC"/>
    <w:rsid w:val="00D147EB"/>
    <w:rsid w:val="00D2012B"/>
    <w:rsid w:val="00D2160F"/>
    <w:rsid w:val="00D22F2C"/>
    <w:rsid w:val="00D2779D"/>
    <w:rsid w:val="00D31270"/>
    <w:rsid w:val="00D34667"/>
    <w:rsid w:val="00D3486B"/>
    <w:rsid w:val="00D3549B"/>
    <w:rsid w:val="00D366F0"/>
    <w:rsid w:val="00D37389"/>
    <w:rsid w:val="00D379B4"/>
    <w:rsid w:val="00D401E1"/>
    <w:rsid w:val="00D408B4"/>
    <w:rsid w:val="00D40B0E"/>
    <w:rsid w:val="00D4128C"/>
    <w:rsid w:val="00D43506"/>
    <w:rsid w:val="00D43D80"/>
    <w:rsid w:val="00D4471A"/>
    <w:rsid w:val="00D4488B"/>
    <w:rsid w:val="00D45855"/>
    <w:rsid w:val="00D45D94"/>
    <w:rsid w:val="00D5165B"/>
    <w:rsid w:val="00D524C8"/>
    <w:rsid w:val="00D53904"/>
    <w:rsid w:val="00D54319"/>
    <w:rsid w:val="00D56DDE"/>
    <w:rsid w:val="00D574F5"/>
    <w:rsid w:val="00D57909"/>
    <w:rsid w:val="00D6030F"/>
    <w:rsid w:val="00D60E25"/>
    <w:rsid w:val="00D61457"/>
    <w:rsid w:val="00D614D3"/>
    <w:rsid w:val="00D640D6"/>
    <w:rsid w:val="00D663EA"/>
    <w:rsid w:val="00D67B82"/>
    <w:rsid w:val="00D70223"/>
    <w:rsid w:val="00D70E24"/>
    <w:rsid w:val="00D716B3"/>
    <w:rsid w:val="00D71E0E"/>
    <w:rsid w:val="00D72346"/>
    <w:rsid w:val="00D72B61"/>
    <w:rsid w:val="00D73C05"/>
    <w:rsid w:val="00D7422F"/>
    <w:rsid w:val="00D762D4"/>
    <w:rsid w:val="00D76D46"/>
    <w:rsid w:val="00D80AA0"/>
    <w:rsid w:val="00D81A7E"/>
    <w:rsid w:val="00D86814"/>
    <w:rsid w:val="00D86E67"/>
    <w:rsid w:val="00D91083"/>
    <w:rsid w:val="00D97D41"/>
    <w:rsid w:val="00DA0A14"/>
    <w:rsid w:val="00DA0DBC"/>
    <w:rsid w:val="00DA1A4D"/>
    <w:rsid w:val="00DA2EC0"/>
    <w:rsid w:val="00DA34A9"/>
    <w:rsid w:val="00DA3D1D"/>
    <w:rsid w:val="00DA3D93"/>
    <w:rsid w:val="00DA7500"/>
    <w:rsid w:val="00DB0138"/>
    <w:rsid w:val="00DB079B"/>
    <w:rsid w:val="00DB0C27"/>
    <w:rsid w:val="00DB1482"/>
    <w:rsid w:val="00DB1F1E"/>
    <w:rsid w:val="00DB2437"/>
    <w:rsid w:val="00DB401A"/>
    <w:rsid w:val="00DB487F"/>
    <w:rsid w:val="00DB5386"/>
    <w:rsid w:val="00DB6286"/>
    <w:rsid w:val="00DB642C"/>
    <w:rsid w:val="00DB645F"/>
    <w:rsid w:val="00DB76E9"/>
    <w:rsid w:val="00DC0A67"/>
    <w:rsid w:val="00DC1368"/>
    <w:rsid w:val="00DC1D5E"/>
    <w:rsid w:val="00DC2313"/>
    <w:rsid w:val="00DC3CE3"/>
    <w:rsid w:val="00DC403D"/>
    <w:rsid w:val="00DC5220"/>
    <w:rsid w:val="00DC55EC"/>
    <w:rsid w:val="00DC5B0B"/>
    <w:rsid w:val="00DC7910"/>
    <w:rsid w:val="00DD0902"/>
    <w:rsid w:val="00DD0A54"/>
    <w:rsid w:val="00DD2061"/>
    <w:rsid w:val="00DD256F"/>
    <w:rsid w:val="00DD281F"/>
    <w:rsid w:val="00DD3C99"/>
    <w:rsid w:val="00DD4867"/>
    <w:rsid w:val="00DD4ADB"/>
    <w:rsid w:val="00DD4CFB"/>
    <w:rsid w:val="00DD5344"/>
    <w:rsid w:val="00DD577F"/>
    <w:rsid w:val="00DD7DAB"/>
    <w:rsid w:val="00DE021A"/>
    <w:rsid w:val="00DE0895"/>
    <w:rsid w:val="00DE2B60"/>
    <w:rsid w:val="00DE3355"/>
    <w:rsid w:val="00DE42E9"/>
    <w:rsid w:val="00DE582F"/>
    <w:rsid w:val="00DE6E86"/>
    <w:rsid w:val="00DE755C"/>
    <w:rsid w:val="00DE760A"/>
    <w:rsid w:val="00DF053C"/>
    <w:rsid w:val="00DF3365"/>
    <w:rsid w:val="00DF3875"/>
    <w:rsid w:val="00DF3E6A"/>
    <w:rsid w:val="00DF486F"/>
    <w:rsid w:val="00DF5921"/>
    <w:rsid w:val="00DF5B5B"/>
    <w:rsid w:val="00DF7619"/>
    <w:rsid w:val="00DF7FAC"/>
    <w:rsid w:val="00E03AE6"/>
    <w:rsid w:val="00E042D8"/>
    <w:rsid w:val="00E05044"/>
    <w:rsid w:val="00E06B85"/>
    <w:rsid w:val="00E07EE7"/>
    <w:rsid w:val="00E10BB9"/>
    <w:rsid w:val="00E10C91"/>
    <w:rsid w:val="00E1103B"/>
    <w:rsid w:val="00E1189A"/>
    <w:rsid w:val="00E13A3C"/>
    <w:rsid w:val="00E14478"/>
    <w:rsid w:val="00E145CE"/>
    <w:rsid w:val="00E1736B"/>
    <w:rsid w:val="00E17B44"/>
    <w:rsid w:val="00E22B83"/>
    <w:rsid w:val="00E22D63"/>
    <w:rsid w:val="00E2304F"/>
    <w:rsid w:val="00E23398"/>
    <w:rsid w:val="00E24392"/>
    <w:rsid w:val="00E27FEA"/>
    <w:rsid w:val="00E303A4"/>
    <w:rsid w:val="00E311AD"/>
    <w:rsid w:val="00E31693"/>
    <w:rsid w:val="00E3414E"/>
    <w:rsid w:val="00E352C1"/>
    <w:rsid w:val="00E37EE8"/>
    <w:rsid w:val="00E4086F"/>
    <w:rsid w:val="00E41EBF"/>
    <w:rsid w:val="00E43B3C"/>
    <w:rsid w:val="00E45C12"/>
    <w:rsid w:val="00E50188"/>
    <w:rsid w:val="00E515CB"/>
    <w:rsid w:val="00E51901"/>
    <w:rsid w:val="00E51C71"/>
    <w:rsid w:val="00E520FF"/>
    <w:rsid w:val="00E52260"/>
    <w:rsid w:val="00E55CD8"/>
    <w:rsid w:val="00E560A5"/>
    <w:rsid w:val="00E5621F"/>
    <w:rsid w:val="00E61A9B"/>
    <w:rsid w:val="00E61CEB"/>
    <w:rsid w:val="00E635B8"/>
    <w:rsid w:val="00E63707"/>
    <w:rsid w:val="00E639B6"/>
    <w:rsid w:val="00E63F1C"/>
    <w:rsid w:val="00E64239"/>
    <w:rsid w:val="00E6434B"/>
    <w:rsid w:val="00E6463D"/>
    <w:rsid w:val="00E661D8"/>
    <w:rsid w:val="00E66D91"/>
    <w:rsid w:val="00E67A77"/>
    <w:rsid w:val="00E67BDE"/>
    <w:rsid w:val="00E71974"/>
    <w:rsid w:val="00E71F11"/>
    <w:rsid w:val="00E728C1"/>
    <w:rsid w:val="00E72E3A"/>
    <w:rsid w:val="00E72E9B"/>
    <w:rsid w:val="00E73408"/>
    <w:rsid w:val="00E7560A"/>
    <w:rsid w:val="00E82C2E"/>
    <w:rsid w:val="00E842CE"/>
    <w:rsid w:val="00E849DA"/>
    <w:rsid w:val="00E8568D"/>
    <w:rsid w:val="00E862D4"/>
    <w:rsid w:val="00E86B37"/>
    <w:rsid w:val="00E911F2"/>
    <w:rsid w:val="00E91FFB"/>
    <w:rsid w:val="00E93A29"/>
    <w:rsid w:val="00E9462E"/>
    <w:rsid w:val="00E977DD"/>
    <w:rsid w:val="00E97DAB"/>
    <w:rsid w:val="00EA01E1"/>
    <w:rsid w:val="00EA08F0"/>
    <w:rsid w:val="00EA10F2"/>
    <w:rsid w:val="00EA2761"/>
    <w:rsid w:val="00EA2877"/>
    <w:rsid w:val="00EA2E18"/>
    <w:rsid w:val="00EA470E"/>
    <w:rsid w:val="00EA47A7"/>
    <w:rsid w:val="00EA4861"/>
    <w:rsid w:val="00EA57EB"/>
    <w:rsid w:val="00EA6A65"/>
    <w:rsid w:val="00EB1B9B"/>
    <w:rsid w:val="00EB3226"/>
    <w:rsid w:val="00EB3592"/>
    <w:rsid w:val="00EB36E8"/>
    <w:rsid w:val="00EB3B38"/>
    <w:rsid w:val="00EB4836"/>
    <w:rsid w:val="00EB4D18"/>
    <w:rsid w:val="00EB60DF"/>
    <w:rsid w:val="00EB616D"/>
    <w:rsid w:val="00EC213A"/>
    <w:rsid w:val="00EC4909"/>
    <w:rsid w:val="00EC6603"/>
    <w:rsid w:val="00EC7744"/>
    <w:rsid w:val="00ED03DA"/>
    <w:rsid w:val="00ED0732"/>
    <w:rsid w:val="00ED0DAD"/>
    <w:rsid w:val="00ED0F46"/>
    <w:rsid w:val="00ED13CA"/>
    <w:rsid w:val="00ED2373"/>
    <w:rsid w:val="00ED2402"/>
    <w:rsid w:val="00ED334C"/>
    <w:rsid w:val="00ED5908"/>
    <w:rsid w:val="00ED6B51"/>
    <w:rsid w:val="00EE066F"/>
    <w:rsid w:val="00EE1992"/>
    <w:rsid w:val="00EE20E3"/>
    <w:rsid w:val="00EE2F0D"/>
    <w:rsid w:val="00EE3E8A"/>
    <w:rsid w:val="00EE50B6"/>
    <w:rsid w:val="00EE5AA1"/>
    <w:rsid w:val="00EE67B3"/>
    <w:rsid w:val="00EF17A8"/>
    <w:rsid w:val="00EF25D3"/>
    <w:rsid w:val="00EF2FE7"/>
    <w:rsid w:val="00EF582C"/>
    <w:rsid w:val="00EF5956"/>
    <w:rsid w:val="00EF5BD4"/>
    <w:rsid w:val="00EF6ECA"/>
    <w:rsid w:val="00F024E1"/>
    <w:rsid w:val="00F02946"/>
    <w:rsid w:val="00F04D5A"/>
    <w:rsid w:val="00F05A1E"/>
    <w:rsid w:val="00F06C10"/>
    <w:rsid w:val="00F07374"/>
    <w:rsid w:val="00F10386"/>
    <w:rsid w:val="00F1096F"/>
    <w:rsid w:val="00F124E4"/>
    <w:rsid w:val="00F12589"/>
    <w:rsid w:val="00F12595"/>
    <w:rsid w:val="00F1301D"/>
    <w:rsid w:val="00F134D9"/>
    <w:rsid w:val="00F1403D"/>
    <w:rsid w:val="00F1463F"/>
    <w:rsid w:val="00F15460"/>
    <w:rsid w:val="00F160EE"/>
    <w:rsid w:val="00F1722E"/>
    <w:rsid w:val="00F2023C"/>
    <w:rsid w:val="00F203B7"/>
    <w:rsid w:val="00F2117D"/>
    <w:rsid w:val="00F21302"/>
    <w:rsid w:val="00F224C3"/>
    <w:rsid w:val="00F23723"/>
    <w:rsid w:val="00F24A99"/>
    <w:rsid w:val="00F2524F"/>
    <w:rsid w:val="00F26480"/>
    <w:rsid w:val="00F26C77"/>
    <w:rsid w:val="00F321DE"/>
    <w:rsid w:val="00F32E66"/>
    <w:rsid w:val="00F33777"/>
    <w:rsid w:val="00F35355"/>
    <w:rsid w:val="00F363AF"/>
    <w:rsid w:val="00F369C0"/>
    <w:rsid w:val="00F40648"/>
    <w:rsid w:val="00F4086D"/>
    <w:rsid w:val="00F429A3"/>
    <w:rsid w:val="00F42FC9"/>
    <w:rsid w:val="00F43717"/>
    <w:rsid w:val="00F47994"/>
    <w:rsid w:val="00F47DA2"/>
    <w:rsid w:val="00F5038B"/>
    <w:rsid w:val="00F504E6"/>
    <w:rsid w:val="00F50E35"/>
    <w:rsid w:val="00F5189B"/>
    <w:rsid w:val="00F519FC"/>
    <w:rsid w:val="00F51A2D"/>
    <w:rsid w:val="00F537F4"/>
    <w:rsid w:val="00F5551A"/>
    <w:rsid w:val="00F55667"/>
    <w:rsid w:val="00F55A5A"/>
    <w:rsid w:val="00F6239D"/>
    <w:rsid w:val="00F63FDC"/>
    <w:rsid w:val="00F64B27"/>
    <w:rsid w:val="00F67A61"/>
    <w:rsid w:val="00F705A8"/>
    <w:rsid w:val="00F715D2"/>
    <w:rsid w:val="00F7274F"/>
    <w:rsid w:val="00F75040"/>
    <w:rsid w:val="00F7553F"/>
    <w:rsid w:val="00F76FA8"/>
    <w:rsid w:val="00F779D5"/>
    <w:rsid w:val="00F82256"/>
    <w:rsid w:val="00F838F3"/>
    <w:rsid w:val="00F8743F"/>
    <w:rsid w:val="00F90778"/>
    <w:rsid w:val="00F90F64"/>
    <w:rsid w:val="00F9143A"/>
    <w:rsid w:val="00F921AC"/>
    <w:rsid w:val="00F9397F"/>
    <w:rsid w:val="00F93F08"/>
    <w:rsid w:val="00F94B2F"/>
    <w:rsid w:val="00F94CED"/>
    <w:rsid w:val="00FA00B3"/>
    <w:rsid w:val="00FA02A6"/>
    <w:rsid w:val="00FA02CC"/>
    <w:rsid w:val="00FA0A27"/>
    <w:rsid w:val="00FA2CEE"/>
    <w:rsid w:val="00FA318C"/>
    <w:rsid w:val="00FA532B"/>
    <w:rsid w:val="00FB1939"/>
    <w:rsid w:val="00FB3697"/>
    <w:rsid w:val="00FB4F07"/>
    <w:rsid w:val="00FB57EF"/>
    <w:rsid w:val="00FB5A57"/>
    <w:rsid w:val="00FB6F92"/>
    <w:rsid w:val="00FB7418"/>
    <w:rsid w:val="00FC026E"/>
    <w:rsid w:val="00FC03F6"/>
    <w:rsid w:val="00FC0772"/>
    <w:rsid w:val="00FC0A71"/>
    <w:rsid w:val="00FC2E7D"/>
    <w:rsid w:val="00FC5124"/>
    <w:rsid w:val="00FC534D"/>
    <w:rsid w:val="00FC6CB0"/>
    <w:rsid w:val="00FC787E"/>
    <w:rsid w:val="00FC7B1C"/>
    <w:rsid w:val="00FD3CC7"/>
    <w:rsid w:val="00FD4203"/>
    <w:rsid w:val="00FD4731"/>
    <w:rsid w:val="00FD4A71"/>
    <w:rsid w:val="00FD4DCA"/>
    <w:rsid w:val="00FD5081"/>
    <w:rsid w:val="00FD5967"/>
    <w:rsid w:val="00FE0399"/>
    <w:rsid w:val="00FE1719"/>
    <w:rsid w:val="00FE32B9"/>
    <w:rsid w:val="00FE3A83"/>
    <w:rsid w:val="00FE3D87"/>
    <w:rsid w:val="00FE531A"/>
    <w:rsid w:val="00FE67A0"/>
    <w:rsid w:val="00FE6C40"/>
    <w:rsid w:val="00FE78AF"/>
    <w:rsid w:val="00FF0AB0"/>
    <w:rsid w:val="00FF1A44"/>
    <w:rsid w:val="00FF22F8"/>
    <w:rsid w:val="00FF28AC"/>
    <w:rsid w:val="00FF2B7A"/>
    <w:rsid w:val="00FF3B86"/>
    <w:rsid w:val="00FF5219"/>
    <w:rsid w:val="00FF5A73"/>
    <w:rsid w:val="00FF60E6"/>
    <w:rsid w:val="00FF733B"/>
    <w:rsid w:val="00FF7F62"/>
    <w:rsid w:val="0166C13E"/>
    <w:rsid w:val="036B1AB1"/>
    <w:rsid w:val="0B88477D"/>
    <w:rsid w:val="0CFDE7D0"/>
    <w:rsid w:val="0DCC7942"/>
    <w:rsid w:val="0EDF5A75"/>
    <w:rsid w:val="13015CB0"/>
    <w:rsid w:val="13731E2E"/>
    <w:rsid w:val="15BF6E18"/>
    <w:rsid w:val="1DD95C18"/>
    <w:rsid w:val="2258E43E"/>
    <w:rsid w:val="25BEC3A0"/>
    <w:rsid w:val="267822ED"/>
    <w:rsid w:val="2AE2B402"/>
    <w:rsid w:val="2DA8821B"/>
    <w:rsid w:val="2ECEDE21"/>
    <w:rsid w:val="332954A0"/>
    <w:rsid w:val="3920196C"/>
    <w:rsid w:val="3ADE128D"/>
    <w:rsid w:val="447F6B49"/>
    <w:rsid w:val="48DE914C"/>
    <w:rsid w:val="4BA92054"/>
    <w:rsid w:val="53C9CFF7"/>
    <w:rsid w:val="547F6EA5"/>
    <w:rsid w:val="5590F431"/>
    <w:rsid w:val="568413EC"/>
    <w:rsid w:val="595A5AC5"/>
    <w:rsid w:val="5B7392AF"/>
    <w:rsid w:val="5F47D0C9"/>
    <w:rsid w:val="60FDBD82"/>
    <w:rsid w:val="62AC6CC4"/>
    <w:rsid w:val="6859B863"/>
    <w:rsid w:val="69F7F06E"/>
    <w:rsid w:val="7004B84B"/>
    <w:rsid w:val="70F0053F"/>
    <w:rsid w:val="72854DE9"/>
    <w:rsid w:val="73F151E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48814B"/>
  <w15:docId w15:val="{E84734BC-D07C-4370-AACB-C849C62B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842CE"/>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uiPriority w:val="9"/>
    <w:qFormat/>
    <w:rsid w:val="00E842CE"/>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link w:val="Heading2Char"/>
    <w:uiPriority w:val="9"/>
    <w:qFormat/>
    <w:rsid w:val="001F0866"/>
    <w:pPr>
      <w:keepNext/>
      <w:numPr>
        <w:numId w:val="20"/>
      </w:numPr>
      <w:spacing w:before="240" w:after="60"/>
      <w:outlineLvl w:val="1"/>
    </w:pPr>
    <w:rPr>
      <w:rFonts w:ascii="Arial" w:hAnsi="Arial" w:cs="Arial"/>
      <w:b/>
      <w:bCs/>
      <w:iCs/>
      <w:color w:val="3F4A75" w:themeColor="accent1"/>
      <w:sz w:val="36"/>
      <w:szCs w:val="28"/>
      <w:lang w:eastAsia="en-US"/>
    </w:rPr>
  </w:style>
  <w:style w:type="paragraph" w:styleId="Heading3">
    <w:name w:val="heading 3"/>
    <w:next w:val="Normal"/>
    <w:link w:val="Heading3Char"/>
    <w:uiPriority w:val="9"/>
    <w:qFormat/>
    <w:rsid w:val="00E842CE"/>
    <w:pPr>
      <w:keepNext/>
      <w:spacing w:before="180" w:after="60"/>
      <w:outlineLvl w:val="2"/>
    </w:pPr>
    <w:rPr>
      <w:rFonts w:ascii="Arial" w:hAnsi="Arial" w:cs="Arial"/>
      <w:b/>
      <w:bCs/>
      <w:color w:val="358189"/>
      <w:sz w:val="32"/>
      <w:szCs w:val="26"/>
      <w:lang w:eastAsia="en-US"/>
    </w:rPr>
  </w:style>
  <w:style w:type="paragraph" w:styleId="Heading4">
    <w:name w:val="heading 4"/>
    <w:next w:val="Normal"/>
    <w:link w:val="Heading4Char"/>
    <w:uiPriority w:val="9"/>
    <w:qFormat/>
    <w:rsid w:val="00E842CE"/>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link w:val="Heading5Char"/>
    <w:uiPriority w:val="9"/>
    <w:qFormat/>
    <w:rsid w:val="00E842CE"/>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E842CE"/>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E842CE"/>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E842CE"/>
    <w:rPr>
      <w:i/>
      <w:iCs/>
    </w:rPr>
  </w:style>
  <w:style w:type="character" w:styleId="Strong">
    <w:name w:val="Strong"/>
    <w:basedOn w:val="DefaultParagraphFont"/>
    <w:uiPriority w:val="22"/>
    <w:qFormat/>
    <w:rsid w:val="00E842CE"/>
    <w:rPr>
      <w:b/>
      <w:bCs/>
    </w:rPr>
  </w:style>
  <w:style w:type="paragraph" w:styleId="Subtitle">
    <w:name w:val="Subtitle"/>
    <w:next w:val="Normal"/>
    <w:link w:val="SubtitleChar"/>
    <w:qFormat/>
    <w:rsid w:val="00E842CE"/>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E842CE"/>
    <w:rPr>
      <w:rFonts w:ascii="Arial" w:eastAsiaTheme="majorEastAsia" w:hAnsi="Arial" w:cstheme="majorBidi"/>
      <w:iCs/>
      <w:color w:val="3F4A75"/>
      <w:spacing w:val="15"/>
      <w:sz w:val="40"/>
      <w:szCs w:val="24"/>
      <w:lang w:eastAsia="en-US"/>
    </w:rPr>
  </w:style>
  <w:style w:type="paragraph" w:styleId="Title">
    <w:name w:val="Title"/>
    <w:basedOn w:val="Normal"/>
    <w:next w:val="Normal"/>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qFormat/>
    <w:rsid w:val="00E842CE"/>
    <w:rPr>
      <w:sz w:val="24"/>
      <w:szCs w:val="24"/>
      <w:lang w:eastAsia="en-US"/>
    </w:rPr>
  </w:style>
  <w:style w:type="character" w:styleId="SubtleEmphasis">
    <w:name w:val="Subtle Emphasis"/>
    <w:basedOn w:val="DefaultParagraphFont"/>
    <w:uiPriority w:val="19"/>
    <w:rsid w:val="00E842CE"/>
    <w:rPr>
      <w:i/>
      <w:iCs/>
      <w:color w:val="808080" w:themeColor="text1" w:themeTint="7F"/>
    </w:rPr>
  </w:style>
  <w:style w:type="character" w:styleId="IntenseEmphasis">
    <w:name w:val="Intense Emphasis"/>
    <w:basedOn w:val="DefaultParagraphFont"/>
    <w:uiPriority w:val="21"/>
    <w:rsid w:val="00E842CE"/>
    <w:rPr>
      <w:b/>
      <w:bCs/>
      <w:i/>
      <w:iCs/>
      <w:color w:val="3F4A75" w:themeColor="accent1"/>
    </w:rPr>
  </w:style>
  <w:style w:type="paragraph" w:styleId="Quote">
    <w:name w:val="Quote"/>
    <w:next w:val="Normal"/>
    <w:link w:val="QuoteChar"/>
    <w:uiPriority w:val="29"/>
    <w:qFormat/>
    <w:rsid w:val="00E842CE"/>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E842CE"/>
    <w:rPr>
      <w:rFonts w:ascii="Arial" w:hAnsi="Arial"/>
      <w:i/>
      <w:iCs/>
      <w:color w:val="000000" w:themeColor="text1"/>
      <w:sz w:val="22"/>
      <w:szCs w:val="24"/>
      <w:lang w:eastAsia="en-US"/>
    </w:rPr>
  </w:style>
  <w:style w:type="paragraph" w:styleId="IntenseQuote">
    <w:name w:val="Intense Quote"/>
    <w:next w:val="Normal"/>
    <w:link w:val="IntenseQuoteChar"/>
    <w:uiPriority w:val="30"/>
    <w:rsid w:val="00E842CE"/>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E842CE"/>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E842CE"/>
    <w:rPr>
      <w:smallCaps/>
      <w:color w:val="358189" w:themeColor="accent2"/>
      <w:u w:val="single"/>
    </w:rPr>
  </w:style>
  <w:style w:type="character" w:styleId="IntenseReference">
    <w:name w:val="Intense Reference"/>
    <w:basedOn w:val="DefaultParagraphFont"/>
    <w:uiPriority w:val="32"/>
    <w:rsid w:val="00E842CE"/>
    <w:rPr>
      <w:b/>
      <w:bCs/>
      <w:i/>
      <w:smallCaps/>
      <w:color w:val="358189" w:themeColor="accent2"/>
      <w:spacing w:val="5"/>
      <w:u w:val="none"/>
    </w:rPr>
  </w:style>
  <w:style w:type="paragraph" w:styleId="ListBullet2">
    <w:name w:val="List Bullet 2"/>
    <w:basedOn w:val="ListNumber2"/>
    <w:uiPriority w:val="99"/>
    <w:rsid w:val="00E842CE"/>
    <w:pPr>
      <w:numPr>
        <w:numId w:val="3"/>
      </w:numPr>
    </w:pPr>
  </w:style>
  <w:style w:type="paragraph" w:styleId="ListNumber2">
    <w:name w:val="List Number 2"/>
    <w:basedOn w:val="ListBullet"/>
    <w:qFormat/>
    <w:rsid w:val="00E842CE"/>
    <w:pPr>
      <w:numPr>
        <w:numId w:val="2"/>
      </w:numPr>
    </w:pPr>
  </w:style>
  <w:style w:type="paragraph" w:styleId="ListBullet">
    <w:name w:val="List Bullet"/>
    <w:basedOn w:val="Normal"/>
    <w:uiPriority w:val="99"/>
    <w:qFormat/>
    <w:rsid w:val="00E842CE"/>
    <w:pPr>
      <w:numPr>
        <w:numId w:val="1"/>
      </w:numPr>
      <w:tabs>
        <w:tab w:val="left" w:pos="340"/>
        <w:tab w:val="left" w:pos="680"/>
      </w:tabs>
      <w:spacing w:before="60" w:after="60"/>
    </w:pPr>
  </w:style>
  <w:style w:type="paragraph" w:styleId="ListParagraph">
    <w:name w:val="List Paragraph"/>
    <w:aliases w:val="Body text,Bullet point,Bullets,CV text,Dot pt,F5 List Paragraph,FooterText,L,List Paragraph Number,List Paragraph1,List Paragraph11,List Paragraph111,List Paragraph2,Medium Grid 1 - Accent 21,NAST Quote,Recommendation,standard lewis,リスト段落"/>
    <w:basedOn w:val="Normal"/>
    <w:link w:val="ListParagraphChar"/>
    <w:uiPriority w:val="34"/>
    <w:qFormat/>
    <w:rsid w:val="00E842CE"/>
    <w:pPr>
      <w:ind w:left="720"/>
      <w:contextualSpacing/>
    </w:pPr>
  </w:style>
  <w:style w:type="paragraph" w:styleId="ListNumber3">
    <w:name w:val="List Number 3"/>
    <w:aliases w:val="List Third Level"/>
    <w:basedOn w:val="ListNumber2"/>
    <w:rsid w:val="00E842CE"/>
    <w:pPr>
      <w:numPr>
        <w:numId w:val="4"/>
      </w:numPr>
      <w:tabs>
        <w:tab w:val="num" w:pos="1440"/>
      </w:tabs>
    </w:pPr>
    <w:rPr>
      <w:rFonts w:eastAsia="Cambria"/>
      <w:color w:val="auto"/>
      <w:szCs w:val="22"/>
      <w:lang w:val="en-US"/>
    </w:rPr>
  </w:style>
  <w:style w:type="paragraph" w:customStyle="1" w:styleId="ImageTitle">
    <w:name w:val="Image Title"/>
    <w:locked/>
    <w:rsid w:val="00E842CE"/>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E842CE"/>
    <w:rPr>
      <w:rFonts w:ascii="Tahoma" w:hAnsi="Tahoma" w:cs="Tahoma"/>
      <w:sz w:val="16"/>
      <w:szCs w:val="16"/>
    </w:rPr>
  </w:style>
  <w:style w:type="character" w:customStyle="1" w:styleId="BalloonTextChar">
    <w:name w:val="Balloon Text Char"/>
    <w:basedOn w:val="DefaultParagraphFont"/>
    <w:link w:val="BalloonText"/>
    <w:rsid w:val="00E842CE"/>
    <w:rPr>
      <w:rFonts w:ascii="Tahoma" w:hAnsi="Tahoma" w:cs="Tahoma"/>
      <w:color w:val="000000" w:themeColor="text1"/>
      <w:sz w:val="16"/>
      <w:szCs w:val="16"/>
      <w:lang w:eastAsia="en-US"/>
    </w:rPr>
  </w:style>
  <w:style w:type="table" w:styleId="TableGrid">
    <w:name w:val="Table Grid"/>
    <w:basedOn w:val="TableNormal"/>
    <w:uiPriority w:val="39"/>
    <w:locked/>
    <w:rsid w:val="00E8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E842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35776"/>
    <w:pPr>
      <w:spacing w:before="60" w:after="60"/>
    </w:pPr>
    <w:rPr>
      <w:rFonts w:ascii="Arial" w:hAnsi="Arial"/>
      <w:color w:val="000000" w:themeColor="text1"/>
      <w:sz w:val="21"/>
      <w:szCs w:val="24"/>
      <w:lang w:eastAsia="en-US"/>
    </w:rPr>
  </w:style>
  <w:style w:type="table" w:styleId="TableColumns2">
    <w:name w:val="Table Columns 2"/>
    <w:basedOn w:val="TableNormal"/>
    <w:locked/>
    <w:rsid w:val="00E842CE"/>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E842CE"/>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E842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E842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E842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E842CE"/>
    <w:pPr>
      <w:spacing w:before="120" w:after="120"/>
    </w:pPr>
    <w:rPr>
      <w:rFonts w:ascii="Arial" w:hAnsi="Arial"/>
      <w:b/>
      <w:color w:val="000000" w:themeColor="text1"/>
      <w:sz w:val="22"/>
      <w:szCs w:val="24"/>
      <w:lang w:val="en-US" w:eastAsia="en-US"/>
    </w:rPr>
  </w:style>
  <w:style w:type="paragraph" w:styleId="Header">
    <w:name w:val="header"/>
    <w:link w:val="HeaderChar"/>
    <w:qFormat/>
    <w:rsid w:val="00E842C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E842CE"/>
    <w:rPr>
      <w:rFonts w:ascii="Arial" w:hAnsi="Arial"/>
      <w:sz w:val="22"/>
      <w:szCs w:val="24"/>
      <w:lang w:eastAsia="en-US"/>
    </w:rPr>
  </w:style>
  <w:style w:type="paragraph" w:styleId="Footer">
    <w:name w:val="footer"/>
    <w:link w:val="FooterChar"/>
    <w:uiPriority w:val="99"/>
    <w:qFormat/>
    <w:rsid w:val="00E842C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E842CE"/>
    <w:rPr>
      <w:rFonts w:ascii="Arial" w:hAnsi="Arial"/>
      <w:szCs w:val="24"/>
      <w:lang w:eastAsia="en-US"/>
    </w:rPr>
  </w:style>
  <w:style w:type="paragraph" w:customStyle="1" w:styleId="TableHeaderWhite">
    <w:name w:val="Table Header White"/>
    <w:basedOn w:val="Normal"/>
    <w:next w:val="Tabletextleft"/>
    <w:qFormat/>
    <w:rsid w:val="00E842CE"/>
    <w:pPr>
      <w:spacing w:before="80" w:after="80"/>
    </w:pPr>
    <w:rPr>
      <w:rFonts w:eastAsia="Cambria"/>
      <w:b/>
      <w:color w:val="FFFFFF" w:themeColor="background1"/>
      <w:szCs w:val="22"/>
      <w:lang w:val="en-US"/>
    </w:rPr>
  </w:style>
  <w:style w:type="table" w:styleId="TableGrid7">
    <w:name w:val="Table Grid 7"/>
    <w:basedOn w:val="TableNormal"/>
    <w:locked/>
    <w:rsid w:val="00E842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842CE"/>
    <w:pPr>
      <w:spacing w:before="60"/>
    </w:pPr>
    <w:rPr>
      <w:rFonts w:cs="Arial"/>
      <w:b/>
      <w:sz w:val="20"/>
    </w:rPr>
  </w:style>
  <w:style w:type="paragraph" w:customStyle="1" w:styleId="FigureTitle">
    <w:name w:val="Figure Title"/>
    <w:next w:val="Normal"/>
    <w:qFormat/>
    <w:rsid w:val="00E842C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E842CE"/>
    <w:pPr>
      <w:spacing w:before="100" w:beforeAutospacing="1" w:after="100" w:afterAutospacing="1"/>
    </w:pPr>
    <w:rPr>
      <w:rFonts w:ascii="Times New Roman" w:hAnsi="Times New Roman"/>
      <w:sz w:val="24"/>
      <w:lang w:eastAsia="en-AU"/>
    </w:rPr>
  </w:style>
  <w:style w:type="paragraph" w:customStyle="1" w:styleId="Headertext">
    <w:name w:val="Header text"/>
    <w:rsid w:val="00E842CE"/>
    <w:pPr>
      <w:jc w:val="right"/>
    </w:pPr>
    <w:rPr>
      <w:rFonts w:ascii="Arial" w:hAnsi="Arial"/>
      <w:szCs w:val="24"/>
      <w:lang w:eastAsia="en-US"/>
    </w:rPr>
  </w:style>
  <w:style w:type="character" w:styleId="Hyperlink">
    <w:name w:val="Hyperlink"/>
    <w:basedOn w:val="DefaultParagraphFont"/>
    <w:uiPriority w:val="99"/>
    <w:qFormat/>
    <w:rsid w:val="00E842CE"/>
    <w:rPr>
      <w:color w:val="0000FF" w:themeColor="hyperlink"/>
      <w:u w:val="single"/>
    </w:rPr>
  </w:style>
  <w:style w:type="table" w:customStyle="1" w:styleId="PHNGreyTable">
    <w:name w:val="PHN Grey Table"/>
    <w:basedOn w:val="TableNormal"/>
    <w:uiPriority w:val="99"/>
    <w:rsid w:val="00E842CE"/>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E842CE"/>
    <w:pPr>
      <w:numPr>
        <w:numId w:val="5"/>
      </w:numPr>
    </w:pPr>
    <w:rPr>
      <w:szCs w:val="20"/>
    </w:rPr>
  </w:style>
  <w:style w:type="paragraph" w:customStyle="1" w:styleId="Tablelistnumber">
    <w:name w:val="Table list number"/>
    <w:basedOn w:val="Tabletextleft"/>
    <w:qFormat/>
    <w:rsid w:val="00E842CE"/>
    <w:pPr>
      <w:numPr>
        <w:numId w:val="6"/>
      </w:numPr>
    </w:pPr>
    <w:rPr>
      <w:bCs/>
      <w14:numSpacing w14:val="proportional"/>
    </w:rPr>
  </w:style>
  <w:style w:type="paragraph" w:customStyle="1" w:styleId="TableHeader">
    <w:name w:val="Table Header"/>
    <w:basedOn w:val="Normal"/>
    <w:next w:val="Tabletextleft"/>
    <w:qFormat/>
    <w:rsid w:val="00E842CE"/>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E842CE"/>
    <w:rPr>
      <w:szCs w:val="32"/>
    </w:rPr>
  </w:style>
  <w:style w:type="paragraph" w:styleId="FootnoteText">
    <w:name w:val="footnote text"/>
    <w:link w:val="FootnoteTextChar"/>
    <w:uiPriority w:val="99"/>
    <w:qFormat/>
    <w:rsid w:val="00E842CE"/>
    <w:rPr>
      <w:rFonts w:ascii="Arial" w:hAnsi="Arial"/>
      <w:lang w:eastAsia="en-US"/>
    </w:rPr>
  </w:style>
  <w:style w:type="character" w:customStyle="1" w:styleId="FootnoteTextChar">
    <w:name w:val="Footnote Text Char"/>
    <w:basedOn w:val="DefaultParagraphFont"/>
    <w:link w:val="FootnoteText"/>
    <w:uiPriority w:val="99"/>
    <w:rsid w:val="00E842CE"/>
    <w:rPr>
      <w:rFonts w:ascii="Arial" w:hAnsi="Arial"/>
      <w:lang w:eastAsia="en-US"/>
    </w:rPr>
  </w:style>
  <w:style w:type="paragraph" w:styleId="Caption">
    <w:name w:val="caption"/>
    <w:basedOn w:val="Normal"/>
    <w:next w:val="Normal"/>
    <w:uiPriority w:val="35"/>
    <w:unhideWhenUsed/>
    <w:qFormat/>
    <w:rsid w:val="00E842CE"/>
    <w:pPr>
      <w:spacing w:after="200"/>
    </w:pPr>
    <w:rPr>
      <w:b/>
      <w:bCs/>
      <w:color w:val="3F4A75" w:themeColor="accent1"/>
      <w:sz w:val="18"/>
      <w:szCs w:val="18"/>
    </w:rPr>
  </w:style>
  <w:style w:type="paragraph" w:customStyle="1" w:styleId="VisionBox">
    <w:name w:val="VisionBox"/>
    <w:basedOn w:val="Normal"/>
    <w:qFormat/>
    <w:rsid w:val="00E842CE"/>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E842CE"/>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E842CE"/>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E842CE"/>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E842CE"/>
    <w:rPr>
      <w:rFonts w:ascii="Arial" w:hAnsi="Arial"/>
      <w:b/>
      <w:color w:val="000000" w:themeColor="text1"/>
      <w:sz w:val="22"/>
      <w:szCs w:val="24"/>
      <w:lang w:val="en-US" w:eastAsia="en-US"/>
    </w:rPr>
  </w:style>
  <w:style w:type="paragraph" w:customStyle="1" w:styleId="IntroPara">
    <w:name w:val="Intro Para"/>
    <w:basedOn w:val="Normal"/>
    <w:next w:val="Normal"/>
    <w:qFormat/>
    <w:rsid w:val="00E842CE"/>
    <w:pPr>
      <w:spacing w:before="480" w:line="400" w:lineRule="exact"/>
    </w:pPr>
    <w:rPr>
      <w:color w:val="358189"/>
      <w:sz w:val="28"/>
    </w:rPr>
  </w:style>
  <w:style w:type="paragraph" w:customStyle="1" w:styleId="TableTextright">
    <w:name w:val="Table Text right"/>
    <w:basedOn w:val="Tabletextleft"/>
    <w:rsid w:val="00E842CE"/>
    <w:pPr>
      <w:jc w:val="right"/>
    </w:pPr>
  </w:style>
  <w:style w:type="paragraph" w:customStyle="1" w:styleId="Tabletextright0">
    <w:name w:val="Table text right"/>
    <w:basedOn w:val="Tabletextleft"/>
    <w:rsid w:val="00E842CE"/>
    <w:pPr>
      <w:jc w:val="right"/>
    </w:pPr>
  </w:style>
  <w:style w:type="paragraph" w:customStyle="1" w:styleId="Tabletextcentre">
    <w:name w:val="Table text centre"/>
    <w:basedOn w:val="Tabletextleft"/>
    <w:rsid w:val="00E842CE"/>
    <w:pPr>
      <w:jc w:val="center"/>
    </w:pPr>
  </w:style>
  <w:style w:type="paragraph" w:customStyle="1" w:styleId="Boxheading">
    <w:name w:val="Box heading"/>
    <w:basedOn w:val="Boxtype"/>
    <w:qFormat/>
    <w:rsid w:val="00E842CE"/>
    <w:pPr>
      <w:spacing w:before="240"/>
    </w:pPr>
    <w:rPr>
      <w:rFonts w:cs="Times New Roman"/>
      <w:b/>
      <w:bCs/>
      <w:caps/>
      <w:color w:val="358189"/>
      <w:szCs w:val="20"/>
    </w:rPr>
  </w:style>
  <w:style w:type="paragraph" w:customStyle="1" w:styleId="Boxtype">
    <w:name w:val="Box type"/>
    <w:next w:val="Normal"/>
    <w:qFormat/>
    <w:rsid w:val="00E842C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E842CE"/>
  </w:style>
  <w:style w:type="paragraph" w:customStyle="1" w:styleId="URL">
    <w:name w:val="URL"/>
    <w:basedOn w:val="Normal"/>
    <w:rsid w:val="00E842CE"/>
    <w:pPr>
      <w:spacing w:before="3120"/>
      <w:jc w:val="center"/>
    </w:pPr>
    <w:rPr>
      <w:b/>
      <w:bCs/>
      <w:sz w:val="24"/>
      <w:szCs w:val="20"/>
    </w:rPr>
  </w:style>
  <w:style w:type="paragraph" w:styleId="BodyText">
    <w:name w:val="Body Text"/>
    <w:basedOn w:val="Normal"/>
    <w:link w:val="BodyTextChar"/>
    <w:uiPriority w:val="1"/>
    <w:unhideWhenUsed/>
    <w:qFormat/>
    <w:rsid w:val="00E842CE"/>
  </w:style>
  <w:style w:type="character" w:customStyle="1" w:styleId="BodyTextChar">
    <w:name w:val="Body Text Char"/>
    <w:basedOn w:val="DefaultParagraphFont"/>
    <w:link w:val="BodyText"/>
    <w:uiPriority w:val="1"/>
    <w:rsid w:val="00E842CE"/>
    <w:rPr>
      <w:rFonts w:ascii="Arial" w:hAnsi="Arial"/>
      <w:color w:val="000000" w:themeColor="text1"/>
      <w:sz w:val="22"/>
      <w:szCs w:val="24"/>
      <w:lang w:eastAsia="en-US"/>
    </w:rPr>
  </w:style>
  <w:style w:type="character" w:customStyle="1" w:styleId="Heading7Char">
    <w:name w:val="Heading 7 Char"/>
    <w:basedOn w:val="DefaultParagraphFont"/>
    <w:link w:val="Heading7"/>
    <w:semiHidden/>
    <w:rsid w:val="00E842CE"/>
    <w:rPr>
      <w:rFonts w:ascii="Arial" w:eastAsiaTheme="majorEastAsia" w:hAnsi="Arial" w:cstheme="majorBidi"/>
      <w:b/>
      <w:i/>
      <w:iCs/>
      <w:color w:val="1F243A" w:themeColor="accent1" w:themeShade="7F"/>
      <w:sz w:val="22"/>
      <w:szCs w:val="24"/>
      <w:lang w:eastAsia="en-US"/>
    </w:rPr>
  </w:style>
  <w:style w:type="paragraph" w:customStyle="1" w:styleId="Paragraphtext">
    <w:name w:val="Paragraph text"/>
    <w:basedOn w:val="Normal"/>
    <w:qFormat/>
    <w:rsid w:val="00B76981"/>
    <w:pPr>
      <w:spacing w:after="60" w:line="240" w:lineRule="auto"/>
    </w:pPr>
    <w:rPr>
      <w:sz w:val="21"/>
      <w:lang w:eastAsia="en-AU"/>
    </w:rPr>
  </w:style>
  <w:style w:type="paragraph" w:customStyle="1" w:styleId="Heading1Purple">
    <w:name w:val="Heading 1 Purple"/>
    <w:basedOn w:val="Heading1"/>
    <w:next w:val="Paragraphtext"/>
    <w:rsid w:val="00B76981"/>
    <w:pPr>
      <w:pageBreakBefore/>
    </w:pPr>
    <w:rPr>
      <w:rFonts w:ascii="Helvetica" w:hAnsi="Helvetica" w:cs="Helvetica"/>
      <w:b w:val="0"/>
      <w:color w:val="8D188D"/>
      <w:sz w:val="36"/>
      <w:lang w:eastAsia="en-AU"/>
    </w:rPr>
  </w:style>
  <w:style w:type="paragraph" w:customStyle="1" w:styleId="Heading2Purple">
    <w:name w:val="Heading 2 Purple"/>
    <w:basedOn w:val="Heading2"/>
    <w:next w:val="Paragraphtext"/>
    <w:rsid w:val="00B76981"/>
    <w:pPr>
      <w:spacing w:before="180"/>
    </w:pPr>
    <w:rPr>
      <w:rFonts w:ascii="Helvetica" w:hAnsi="Helvetica" w:cs="Helvetica"/>
      <w:b w:val="0"/>
      <w:color w:val="8D188D"/>
      <w:sz w:val="28"/>
    </w:rPr>
  </w:style>
  <w:style w:type="paragraph" w:customStyle="1" w:styleId="Heading1Orange">
    <w:name w:val="Heading 1 Orange"/>
    <w:basedOn w:val="Heading1"/>
    <w:next w:val="Paragraphtext"/>
    <w:rsid w:val="00B76981"/>
    <w:pPr>
      <w:pageBreakBefore/>
    </w:pPr>
    <w:rPr>
      <w:rFonts w:ascii="Helvetica" w:hAnsi="Helvetica" w:cs="Helvetica"/>
      <w:b w:val="0"/>
      <w:color w:val="D72F0D"/>
      <w:sz w:val="36"/>
      <w:lang w:eastAsia="en-AU"/>
    </w:rPr>
  </w:style>
  <w:style w:type="paragraph" w:customStyle="1" w:styleId="Heading2Orange">
    <w:name w:val="Heading 2 Orange"/>
    <w:basedOn w:val="Heading2"/>
    <w:rsid w:val="00B76981"/>
    <w:rPr>
      <w:rFonts w:ascii="Helvetica" w:hAnsi="Helvetica" w:cs="Helvetica"/>
      <w:b w:val="0"/>
      <w:color w:val="D72F0D"/>
      <w:sz w:val="28"/>
    </w:rPr>
  </w:style>
  <w:style w:type="character" w:customStyle="1" w:styleId="BoldAllCaps">
    <w:name w:val="Bold All Caps"/>
    <w:basedOn w:val="DefaultParagraphFont"/>
    <w:uiPriority w:val="1"/>
    <w:qFormat/>
    <w:rsid w:val="00B76981"/>
    <w:rPr>
      <w:b/>
      <w:caps/>
      <w:smallCaps w:val="0"/>
      <w:color w:val="358189"/>
      <w:bdr w:val="none" w:sz="0" w:space="0" w:color="auto"/>
    </w:rPr>
  </w:style>
  <w:style w:type="character" w:styleId="FootnoteReference">
    <w:name w:val="footnote reference"/>
    <w:basedOn w:val="DefaultParagraphFont"/>
    <w:uiPriority w:val="99"/>
    <w:semiHidden/>
    <w:unhideWhenUsed/>
    <w:rsid w:val="00B76981"/>
    <w:rPr>
      <w:vertAlign w:val="superscript"/>
    </w:rPr>
  </w:style>
  <w:style w:type="character" w:customStyle="1" w:styleId="Heading1Char">
    <w:name w:val="Heading 1 Char"/>
    <w:basedOn w:val="DefaultParagraphFont"/>
    <w:link w:val="Heading1"/>
    <w:uiPriority w:val="9"/>
    <w:rsid w:val="00B76981"/>
    <w:rPr>
      <w:rFonts w:ascii="Arial" w:hAnsi="Arial" w:cs="Arial"/>
      <w:b/>
      <w:bCs/>
      <w:color w:val="3F4A75"/>
      <w:kern w:val="28"/>
      <w:sz w:val="44"/>
      <w:szCs w:val="36"/>
      <w:lang w:eastAsia="en-US"/>
    </w:rPr>
  </w:style>
  <w:style w:type="paragraph" w:styleId="TOCHeading">
    <w:name w:val="TOC Heading"/>
    <w:basedOn w:val="Heading1"/>
    <w:next w:val="Normal"/>
    <w:uiPriority w:val="39"/>
    <w:unhideWhenUsed/>
    <w:qFormat/>
    <w:rsid w:val="00B76981"/>
    <w:pPr>
      <w:keepLines/>
      <w:pageBreakBefore/>
      <w:spacing w:after="120" w:line="259" w:lineRule="auto"/>
      <w:outlineLvl w:val="9"/>
    </w:pPr>
    <w:rPr>
      <w:rFonts w:ascii="Helvetica" w:hAnsi="Helvetica" w:cs="Cambria Math"/>
      <w:kern w:val="0"/>
      <w:sz w:val="32"/>
      <w:szCs w:val="28"/>
      <w:lang w:val="en-US" w:eastAsia="en-AU"/>
    </w:rPr>
  </w:style>
  <w:style w:type="paragraph" w:styleId="TOC3">
    <w:name w:val="toc 3"/>
    <w:basedOn w:val="Normal"/>
    <w:next w:val="Normal"/>
    <w:autoRedefine/>
    <w:uiPriority w:val="39"/>
    <w:unhideWhenUsed/>
    <w:rsid w:val="00B76981"/>
    <w:pPr>
      <w:tabs>
        <w:tab w:val="right" w:leader="dot" w:pos="9060"/>
      </w:tabs>
      <w:spacing w:before="0" w:after="100" w:line="240" w:lineRule="auto"/>
      <w:ind w:left="680"/>
    </w:pPr>
    <w:rPr>
      <w:color w:val="auto"/>
      <w:lang w:eastAsia="en-AU"/>
    </w:rPr>
  </w:style>
  <w:style w:type="paragraph" w:customStyle="1" w:styleId="Heading2Blue">
    <w:name w:val="Heading 2 Blue"/>
    <w:basedOn w:val="Heading2"/>
    <w:next w:val="Normal"/>
    <w:rsid w:val="00B76981"/>
    <w:pPr>
      <w:spacing w:after="120"/>
      <w:ind w:left="578" w:hanging="578"/>
    </w:pPr>
    <w:rPr>
      <w:rFonts w:ascii="Book Antiqua" w:hAnsi="Book Antiqua" w:cs="Book Antiqua"/>
      <w:b w:val="0"/>
      <w:bCs w:val="0"/>
      <w:color w:val="003D69"/>
      <w:sz w:val="28"/>
      <w:szCs w:val="32"/>
    </w:rPr>
  </w:style>
  <w:style w:type="paragraph" w:styleId="TOC1">
    <w:name w:val="toc 1"/>
    <w:basedOn w:val="Normal"/>
    <w:next w:val="Normal"/>
    <w:autoRedefine/>
    <w:uiPriority w:val="39"/>
    <w:unhideWhenUsed/>
    <w:rsid w:val="00B76981"/>
    <w:pPr>
      <w:tabs>
        <w:tab w:val="right" w:leader="dot" w:pos="9060"/>
      </w:tabs>
      <w:spacing w:before="0" w:after="100" w:line="240" w:lineRule="auto"/>
    </w:pPr>
    <w:rPr>
      <w:color w:val="auto"/>
      <w:lang w:eastAsia="en-AU"/>
    </w:rPr>
  </w:style>
  <w:style w:type="character" w:styleId="CommentReference">
    <w:name w:val="annotation reference"/>
    <w:basedOn w:val="DefaultParagraphFont"/>
    <w:unhideWhenUsed/>
    <w:rsid w:val="00B76981"/>
    <w:rPr>
      <w:sz w:val="16"/>
      <w:szCs w:val="16"/>
    </w:rPr>
  </w:style>
  <w:style w:type="paragraph" w:customStyle="1" w:styleId="Default">
    <w:name w:val="Default"/>
    <w:basedOn w:val="Normal"/>
    <w:rsid w:val="00B76981"/>
    <w:pPr>
      <w:autoSpaceDE w:val="0"/>
      <w:autoSpaceDN w:val="0"/>
      <w:spacing w:before="0" w:after="0" w:line="240" w:lineRule="auto"/>
    </w:pPr>
    <w:rPr>
      <w:rFonts w:ascii="Cambria Math" w:eastAsiaTheme="minorHAnsi" w:hAnsi="Cambria Math" w:cs="Cambria Math"/>
      <w:color w:val="000000"/>
    </w:rPr>
  </w:style>
  <w:style w:type="character" w:customStyle="1" w:styleId="Heading2Char">
    <w:name w:val="Heading 2 Char"/>
    <w:basedOn w:val="DefaultParagraphFont"/>
    <w:link w:val="Heading2"/>
    <w:uiPriority w:val="9"/>
    <w:rsid w:val="001F0866"/>
    <w:rPr>
      <w:rFonts w:ascii="Arial" w:hAnsi="Arial" w:cs="Arial"/>
      <w:b/>
      <w:bCs/>
      <w:iCs/>
      <w:color w:val="3F4A75" w:themeColor="accent1"/>
      <w:sz w:val="36"/>
      <w:szCs w:val="28"/>
      <w:lang w:eastAsia="en-US"/>
    </w:rPr>
  </w:style>
  <w:style w:type="character" w:styleId="UnresolvedMention">
    <w:name w:val="Unresolved Mention"/>
    <w:basedOn w:val="DefaultParagraphFont"/>
    <w:uiPriority w:val="99"/>
    <w:unhideWhenUsed/>
    <w:rsid w:val="00B76981"/>
    <w:rPr>
      <w:color w:val="605E5C"/>
      <w:shd w:val="clear" w:color="auto" w:fill="E1DFDD"/>
    </w:rPr>
  </w:style>
  <w:style w:type="character" w:styleId="FollowedHyperlink">
    <w:name w:val="FollowedHyperlink"/>
    <w:basedOn w:val="DefaultParagraphFont"/>
    <w:uiPriority w:val="99"/>
    <w:semiHidden/>
    <w:unhideWhenUsed/>
    <w:rsid w:val="00B76981"/>
    <w:rPr>
      <w:color w:val="800080" w:themeColor="followedHyperlink"/>
      <w:u w:val="single"/>
    </w:rPr>
  </w:style>
  <w:style w:type="table" w:styleId="PlainTable4">
    <w:name w:val="Plain Table 4"/>
    <w:basedOn w:val="TableNormal"/>
    <w:uiPriority w:val="44"/>
    <w:rsid w:val="00B76981"/>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Text">
    <w:name w:val="annotation text"/>
    <w:basedOn w:val="Normal"/>
    <w:link w:val="CommentTextChar"/>
    <w:unhideWhenUsed/>
    <w:rsid w:val="00B76981"/>
    <w:pPr>
      <w:spacing w:before="0" w:after="0" w:line="240" w:lineRule="auto"/>
    </w:pPr>
    <w:rPr>
      <w:color w:val="auto"/>
      <w:sz w:val="20"/>
      <w:szCs w:val="20"/>
      <w:lang w:eastAsia="en-AU"/>
    </w:rPr>
  </w:style>
  <w:style w:type="character" w:customStyle="1" w:styleId="CommentTextChar">
    <w:name w:val="Comment Text Char"/>
    <w:basedOn w:val="DefaultParagraphFont"/>
    <w:link w:val="CommentText"/>
    <w:rsid w:val="00B76981"/>
    <w:rPr>
      <w:rFonts w:ascii="Arial" w:hAnsi="Arial"/>
    </w:rPr>
  </w:style>
  <w:style w:type="paragraph" w:styleId="CommentSubject">
    <w:name w:val="annotation subject"/>
    <w:basedOn w:val="CommentText"/>
    <w:next w:val="CommentText"/>
    <w:link w:val="CommentSubjectChar"/>
    <w:uiPriority w:val="99"/>
    <w:semiHidden/>
    <w:unhideWhenUsed/>
    <w:rsid w:val="00B76981"/>
    <w:rPr>
      <w:b/>
      <w:bCs/>
    </w:rPr>
  </w:style>
  <w:style w:type="character" w:customStyle="1" w:styleId="CommentSubjectChar">
    <w:name w:val="Comment Subject Char"/>
    <w:basedOn w:val="CommentTextChar"/>
    <w:link w:val="CommentSubject"/>
    <w:uiPriority w:val="99"/>
    <w:semiHidden/>
    <w:rsid w:val="00B76981"/>
    <w:rPr>
      <w:rFonts w:ascii="Arial" w:hAnsi="Arial"/>
      <w:b/>
      <w:bCs/>
    </w:rPr>
  </w:style>
  <w:style w:type="paragraph" w:styleId="TOC2">
    <w:name w:val="toc 2"/>
    <w:basedOn w:val="Normal"/>
    <w:next w:val="Normal"/>
    <w:autoRedefine/>
    <w:uiPriority w:val="39"/>
    <w:unhideWhenUsed/>
    <w:rsid w:val="00DA0A14"/>
    <w:pPr>
      <w:tabs>
        <w:tab w:val="left" w:pos="709"/>
        <w:tab w:val="right" w:leader="dot" w:pos="9060"/>
      </w:tabs>
      <w:spacing w:before="0" w:after="100" w:line="240" w:lineRule="auto"/>
      <w:ind w:left="340"/>
    </w:pPr>
    <w:rPr>
      <w:rFonts w:ascii="Helvetica" w:hAnsi="Helvetica" w:cs="Helvetica"/>
      <w:noProof/>
      <w:color w:val="auto"/>
      <w:lang w:eastAsia="en-AU"/>
    </w:rPr>
  </w:style>
  <w:style w:type="character" w:customStyle="1" w:styleId="font221">
    <w:name w:val="font221"/>
    <w:basedOn w:val="DefaultParagraphFont"/>
    <w:rsid w:val="00B76981"/>
    <w:rPr>
      <w:rFonts w:ascii="Book Antiqua" w:hAnsi="Book Antiqua" w:cs="Book Antiqua" w:hint="default"/>
      <w:b w:val="0"/>
      <w:bCs w:val="0"/>
      <w:i w:val="0"/>
      <w:iCs w:val="0"/>
      <w:strike w:val="0"/>
      <w:dstrike w:val="0"/>
      <w:color w:val="auto"/>
      <w:sz w:val="20"/>
      <w:szCs w:val="20"/>
      <w:u w:val="none"/>
      <w:effect w:val="none"/>
    </w:rPr>
  </w:style>
  <w:style w:type="character" w:customStyle="1" w:styleId="Heading3Char">
    <w:name w:val="Heading 3 Char"/>
    <w:basedOn w:val="DefaultParagraphFont"/>
    <w:link w:val="Heading3"/>
    <w:uiPriority w:val="9"/>
    <w:rsid w:val="00B76981"/>
    <w:rPr>
      <w:rFonts w:ascii="Arial" w:hAnsi="Arial" w:cs="Arial"/>
      <w:b/>
      <w:bCs/>
      <w:color w:val="358189"/>
      <w:sz w:val="32"/>
      <w:szCs w:val="26"/>
      <w:lang w:eastAsia="en-US"/>
    </w:rPr>
  </w:style>
  <w:style w:type="paragraph" w:styleId="ListContinue">
    <w:name w:val="List Continue"/>
    <w:uiPriority w:val="99"/>
    <w:unhideWhenUsed/>
    <w:rsid w:val="00B76981"/>
    <w:pPr>
      <w:widowControl w:val="0"/>
      <w:numPr>
        <w:numId w:val="8"/>
      </w:numPr>
      <w:autoSpaceDE w:val="0"/>
      <w:autoSpaceDN w:val="0"/>
      <w:spacing w:before="120" w:after="120"/>
    </w:pPr>
    <w:rPr>
      <w:rFonts w:asciiTheme="minorHAnsi" w:eastAsia="Calibri" w:hAnsiTheme="minorHAnsi" w:cs="Calibri"/>
      <w:sz w:val="22"/>
      <w:szCs w:val="22"/>
      <w:lang w:val="en-US" w:eastAsia="en-US"/>
    </w:rPr>
  </w:style>
  <w:style w:type="character" w:styleId="Mention">
    <w:name w:val="Mention"/>
    <w:basedOn w:val="DefaultParagraphFont"/>
    <w:uiPriority w:val="99"/>
    <w:unhideWhenUsed/>
    <w:rsid w:val="00B76981"/>
    <w:rPr>
      <w:color w:val="2B579A"/>
      <w:shd w:val="clear" w:color="auto" w:fill="E6E6E6"/>
    </w:rPr>
  </w:style>
  <w:style w:type="paragraph" w:customStyle="1" w:styleId="paragraph">
    <w:name w:val="paragraph"/>
    <w:basedOn w:val="Normal"/>
    <w:rsid w:val="00B76981"/>
    <w:pPr>
      <w:spacing w:before="100" w:beforeAutospacing="1" w:after="100" w:afterAutospacing="1" w:line="240" w:lineRule="auto"/>
    </w:pPr>
    <w:rPr>
      <w:rFonts w:ascii="Cambria Math" w:eastAsiaTheme="minorHAnsi" w:hAnsi="Cambria Math" w:cs="Cambria Math"/>
      <w:color w:val="auto"/>
      <w:szCs w:val="22"/>
      <w:lang w:val="en-GB" w:eastAsia="en-AU"/>
    </w:rPr>
  </w:style>
  <w:style w:type="character" w:customStyle="1" w:styleId="normaltextrun">
    <w:name w:val="normaltextrun"/>
    <w:basedOn w:val="DefaultParagraphFont"/>
    <w:rsid w:val="00B76981"/>
  </w:style>
  <w:style w:type="character" w:customStyle="1" w:styleId="eop">
    <w:name w:val="eop"/>
    <w:basedOn w:val="DefaultParagraphFont"/>
    <w:rsid w:val="00B76981"/>
  </w:style>
  <w:style w:type="paragraph" w:styleId="Revision">
    <w:name w:val="Revision"/>
    <w:hidden/>
    <w:uiPriority w:val="99"/>
    <w:semiHidden/>
    <w:rsid w:val="00B76981"/>
    <w:rPr>
      <w:rFonts w:asciiTheme="minorHAnsi" w:hAnsiTheme="minorHAnsi"/>
      <w:sz w:val="22"/>
      <w:szCs w:val="24"/>
    </w:rPr>
  </w:style>
  <w:style w:type="character" w:customStyle="1" w:styleId="ListParagraphChar">
    <w:name w:val="List Paragraph Char"/>
    <w:aliases w:val="Body text Char,Bullet point Char,Bullets Char,CV text Char,Dot pt Char,F5 List Paragraph Char,FooterText Char,L Char,List Paragraph Number Char,List Paragraph1 Char,List Paragraph11 Char,List Paragraph111 Char,List Paragraph2 Char"/>
    <w:basedOn w:val="DefaultParagraphFont"/>
    <w:link w:val="ListParagraph"/>
    <w:uiPriority w:val="34"/>
    <w:qFormat/>
    <w:locked/>
    <w:rsid w:val="00B76981"/>
    <w:rPr>
      <w:rFonts w:ascii="Arial" w:hAnsi="Arial"/>
      <w:color w:val="000000" w:themeColor="text1"/>
      <w:sz w:val="22"/>
      <w:szCs w:val="24"/>
      <w:lang w:eastAsia="en-US"/>
    </w:rPr>
  </w:style>
  <w:style w:type="character" w:customStyle="1" w:styleId="null1">
    <w:name w:val="null1"/>
    <w:basedOn w:val="DefaultParagraphFont"/>
    <w:rsid w:val="00B76981"/>
  </w:style>
  <w:style w:type="table" w:styleId="PlainTable3">
    <w:name w:val="Plain Table 3"/>
    <w:basedOn w:val="TableNormal"/>
    <w:uiPriority w:val="43"/>
    <w:rsid w:val="00B7698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qFormat/>
    <w:rsid w:val="00B76981"/>
    <w:pPr>
      <w:spacing w:before="0" w:after="0" w:line="240" w:lineRule="auto"/>
    </w:pPr>
    <w:rPr>
      <w:color w:val="auto"/>
      <w:sz w:val="20"/>
      <w:lang w:eastAsia="en-AU"/>
    </w:rPr>
  </w:style>
  <w:style w:type="character" w:customStyle="1" w:styleId="Heading4Char">
    <w:name w:val="Heading 4 Char"/>
    <w:basedOn w:val="DefaultParagraphFont"/>
    <w:link w:val="Heading4"/>
    <w:uiPriority w:val="9"/>
    <w:rsid w:val="00B76981"/>
    <w:rPr>
      <w:rFonts w:ascii="Arial" w:hAnsi="Arial"/>
      <w:b/>
      <w:bCs/>
      <w:i/>
      <w:color w:val="358189" w:themeColor="accent2"/>
      <w:sz w:val="28"/>
      <w:szCs w:val="28"/>
      <w:lang w:eastAsia="en-US"/>
    </w:rPr>
  </w:style>
  <w:style w:type="paragraph" w:styleId="EndnoteText">
    <w:name w:val="endnote text"/>
    <w:basedOn w:val="Normal"/>
    <w:link w:val="EndnoteTextChar"/>
    <w:uiPriority w:val="99"/>
    <w:semiHidden/>
    <w:unhideWhenUsed/>
    <w:rsid w:val="00B76981"/>
    <w:pPr>
      <w:spacing w:before="0" w:after="0" w:line="240" w:lineRule="auto"/>
    </w:pPr>
    <w:rPr>
      <w:color w:val="auto"/>
      <w:sz w:val="20"/>
      <w:szCs w:val="20"/>
      <w:lang w:eastAsia="en-AU"/>
    </w:rPr>
  </w:style>
  <w:style w:type="character" w:customStyle="1" w:styleId="EndnoteTextChar">
    <w:name w:val="Endnote Text Char"/>
    <w:basedOn w:val="DefaultParagraphFont"/>
    <w:link w:val="EndnoteText"/>
    <w:uiPriority w:val="99"/>
    <w:semiHidden/>
    <w:rsid w:val="00B76981"/>
    <w:rPr>
      <w:rFonts w:ascii="Arial" w:hAnsi="Arial"/>
    </w:rPr>
  </w:style>
  <w:style w:type="character" w:styleId="EndnoteReference">
    <w:name w:val="endnote reference"/>
    <w:basedOn w:val="DefaultParagraphFont"/>
    <w:uiPriority w:val="99"/>
    <w:semiHidden/>
    <w:unhideWhenUsed/>
    <w:rsid w:val="00B76981"/>
    <w:rPr>
      <w:vertAlign w:val="superscript"/>
    </w:rPr>
  </w:style>
  <w:style w:type="table" w:customStyle="1" w:styleId="PHNTealtable">
    <w:name w:val="PHN Teal table"/>
    <w:basedOn w:val="TableNormal"/>
    <w:uiPriority w:val="99"/>
    <w:rsid w:val="00B76981"/>
    <w:pPr>
      <w:spacing w:before="120" w:after="120"/>
    </w:pPr>
    <w:rPr>
      <w:rFonts w:ascii="Arial" w:hAnsi="Arial"/>
      <w:sz w:val="22"/>
    </w:rPr>
    <w:tblPr>
      <w:tblBorders>
        <w:top w:val="thinThickSmallGap" w:sz="24" w:space="0" w:color="008998"/>
        <w:left w:val="thinThickSmallGap" w:sz="24" w:space="0" w:color="008998"/>
        <w:bottom w:val="thickThinSmallGap" w:sz="24" w:space="0" w:color="008998"/>
        <w:right w:val="thickThinSmallGap" w:sz="24" w:space="0" w:color="008998"/>
        <w:insideH w:val="single" w:sz="12" w:space="0" w:color="000000" w:themeColor="text1"/>
        <w:insideV w:val="single" w:sz="8" w:space="0" w:color="000000" w:themeColor="text1"/>
      </w:tblBorders>
    </w:tblPr>
    <w:tcPr>
      <w:shd w:val="clear" w:color="auto" w:fill="auto"/>
    </w:tcPr>
    <w:tblStylePr w:type="firstRow">
      <w:rPr>
        <w:rFonts w:ascii="Arial" w:hAnsi="Arial"/>
        <w:b/>
        <w:sz w:val="22"/>
      </w:rPr>
    </w:tblStylePr>
  </w:style>
  <w:style w:type="character" w:customStyle="1" w:styleId="cf01">
    <w:name w:val="cf01"/>
    <w:basedOn w:val="DefaultParagraphFont"/>
    <w:rsid w:val="00B76981"/>
    <w:rPr>
      <w:rFonts w:ascii="Segoe UI" w:hAnsi="Segoe UI" w:cs="Segoe UI" w:hint="default"/>
      <w:sz w:val="18"/>
      <w:szCs w:val="18"/>
    </w:rPr>
  </w:style>
  <w:style w:type="table" w:styleId="TableGridLight">
    <w:name w:val="Grid Table Light"/>
    <w:basedOn w:val="TableNormal"/>
    <w:uiPriority w:val="40"/>
    <w:rsid w:val="00B7698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B76981"/>
    <w:pPr>
      <w:spacing w:before="0" w:after="0" w:line="240" w:lineRule="auto"/>
    </w:pPr>
    <w:rPr>
      <w:color w:val="auto"/>
      <w:lang w:eastAsia="en-AU"/>
    </w:rPr>
  </w:style>
  <w:style w:type="paragraph" w:customStyle="1" w:styleId="Appendix">
    <w:name w:val="Appendix"/>
    <w:basedOn w:val="Heading2"/>
    <w:next w:val="Default"/>
    <w:link w:val="AppendixChar"/>
    <w:qFormat/>
    <w:rsid w:val="00B76981"/>
    <w:pPr>
      <w:keepLines/>
      <w:spacing w:after="120"/>
    </w:pPr>
    <w:rPr>
      <w:rFonts w:ascii="Calibri" w:hAnsi="Calibri" w:cs="Cambria Math"/>
      <w:b w:val="0"/>
      <w:iCs w:val="0"/>
      <w:color w:val="auto"/>
      <w:sz w:val="20"/>
    </w:rPr>
  </w:style>
  <w:style w:type="character" w:customStyle="1" w:styleId="AppendixChar">
    <w:name w:val="Appendix Char"/>
    <w:basedOn w:val="DefaultParagraphFont"/>
    <w:link w:val="Appendix"/>
    <w:rsid w:val="00B76981"/>
    <w:rPr>
      <w:rFonts w:ascii="Calibri" w:hAnsi="Calibri" w:cs="Cambria Math"/>
      <w:bCs/>
      <w:szCs w:val="28"/>
      <w:lang w:eastAsia="en-US"/>
    </w:rPr>
  </w:style>
  <w:style w:type="character" w:customStyle="1" w:styleId="Heading5Char">
    <w:name w:val="Heading 5 Char"/>
    <w:basedOn w:val="DefaultParagraphFont"/>
    <w:link w:val="Heading5"/>
    <w:uiPriority w:val="9"/>
    <w:rsid w:val="00B76981"/>
    <w:rPr>
      <w:rFonts w:ascii="Arial" w:hAnsi="Arial"/>
      <w:b/>
      <w:bCs/>
      <w:iCs/>
      <w:color w:val="358189" w:themeColor="accent2"/>
      <w:sz w:val="24"/>
      <w:szCs w:val="26"/>
      <w:lang w:eastAsia="en-US"/>
    </w:rPr>
  </w:style>
  <w:style w:type="table" w:styleId="PlainTable1">
    <w:name w:val="Plain Table 1"/>
    <w:basedOn w:val="TableNormal"/>
    <w:uiPriority w:val="41"/>
    <w:rsid w:val="00B769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2">
    <w:name w:val="Style2"/>
    <w:basedOn w:val="DepartmentofHealthtable"/>
    <w:uiPriority w:val="99"/>
    <w:rsid w:val="00B76981"/>
    <w:tblPr/>
    <w:tcPr>
      <w:shd w:val="clear" w:color="auto" w:fill="FFFFFF" w:themeFill="background1"/>
      <w:vAlign w:val="center"/>
    </w:tcPr>
    <w:tblStylePr w:type="firstRow">
      <w:rPr>
        <w:rFonts w:ascii="Arial" w:hAnsi="Arial"/>
        <w:b w:val="0"/>
        <w:i w:val="0"/>
        <w:color w:val="auto"/>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tblStylePr w:type="nwCell">
      <w:rPr>
        <w:b w:val="0"/>
        <w:i w:val="0"/>
      </w:rPr>
    </w:tblStylePr>
  </w:style>
  <w:style w:type="paragraph" w:customStyle="1" w:styleId="TableParagraph">
    <w:name w:val="Table Paragraph"/>
    <w:basedOn w:val="Normal"/>
    <w:uiPriority w:val="1"/>
    <w:qFormat/>
    <w:rsid w:val="00AD3D6F"/>
    <w:pPr>
      <w:widowControl w:val="0"/>
      <w:autoSpaceDE w:val="0"/>
      <w:autoSpaceDN w:val="0"/>
      <w:spacing w:before="0" w:after="0" w:line="240" w:lineRule="auto"/>
    </w:pPr>
    <w:rPr>
      <w:rFonts w:eastAsia="Arial" w:cs="Arial"/>
      <w:color w:val="auto"/>
      <w:szCs w:val="22"/>
      <w:lang w:val="en-US"/>
    </w:rPr>
  </w:style>
  <w:style w:type="paragraph" w:styleId="ListNumber">
    <w:name w:val="List Number"/>
    <w:basedOn w:val="Normal"/>
    <w:rsid w:val="00EA10F2"/>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3523">
      <w:bodyDiv w:val="1"/>
      <w:marLeft w:val="0"/>
      <w:marRight w:val="0"/>
      <w:marTop w:val="0"/>
      <w:marBottom w:val="0"/>
      <w:divBdr>
        <w:top w:val="none" w:sz="0" w:space="0" w:color="auto"/>
        <w:left w:val="none" w:sz="0" w:space="0" w:color="auto"/>
        <w:bottom w:val="none" w:sz="0" w:space="0" w:color="auto"/>
        <w:right w:val="none" w:sz="0" w:space="0" w:color="auto"/>
      </w:divBdr>
    </w:div>
    <w:div w:id="17630851">
      <w:bodyDiv w:val="1"/>
      <w:marLeft w:val="0"/>
      <w:marRight w:val="0"/>
      <w:marTop w:val="0"/>
      <w:marBottom w:val="0"/>
      <w:divBdr>
        <w:top w:val="none" w:sz="0" w:space="0" w:color="auto"/>
        <w:left w:val="none" w:sz="0" w:space="0" w:color="auto"/>
        <w:bottom w:val="none" w:sz="0" w:space="0" w:color="auto"/>
        <w:right w:val="none" w:sz="0" w:space="0" w:color="auto"/>
      </w:divBdr>
    </w:div>
    <w:div w:id="40793625">
      <w:bodyDiv w:val="1"/>
      <w:marLeft w:val="0"/>
      <w:marRight w:val="0"/>
      <w:marTop w:val="0"/>
      <w:marBottom w:val="0"/>
      <w:divBdr>
        <w:top w:val="none" w:sz="0" w:space="0" w:color="auto"/>
        <w:left w:val="none" w:sz="0" w:space="0" w:color="auto"/>
        <w:bottom w:val="none" w:sz="0" w:space="0" w:color="auto"/>
        <w:right w:val="none" w:sz="0" w:space="0" w:color="auto"/>
      </w:divBdr>
    </w:div>
    <w:div w:id="68424346">
      <w:bodyDiv w:val="1"/>
      <w:marLeft w:val="0"/>
      <w:marRight w:val="0"/>
      <w:marTop w:val="0"/>
      <w:marBottom w:val="0"/>
      <w:divBdr>
        <w:top w:val="none" w:sz="0" w:space="0" w:color="auto"/>
        <w:left w:val="none" w:sz="0" w:space="0" w:color="auto"/>
        <w:bottom w:val="none" w:sz="0" w:space="0" w:color="auto"/>
        <w:right w:val="none" w:sz="0" w:space="0" w:color="auto"/>
      </w:divBdr>
    </w:div>
    <w:div w:id="126049088">
      <w:bodyDiv w:val="1"/>
      <w:marLeft w:val="0"/>
      <w:marRight w:val="0"/>
      <w:marTop w:val="0"/>
      <w:marBottom w:val="0"/>
      <w:divBdr>
        <w:top w:val="none" w:sz="0" w:space="0" w:color="auto"/>
        <w:left w:val="none" w:sz="0" w:space="0" w:color="auto"/>
        <w:bottom w:val="none" w:sz="0" w:space="0" w:color="auto"/>
        <w:right w:val="none" w:sz="0" w:space="0" w:color="auto"/>
      </w:divBdr>
    </w:div>
    <w:div w:id="182135705">
      <w:bodyDiv w:val="1"/>
      <w:marLeft w:val="0"/>
      <w:marRight w:val="0"/>
      <w:marTop w:val="0"/>
      <w:marBottom w:val="0"/>
      <w:divBdr>
        <w:top w:val="none" w:sz="0" w:space="0" w:color="auto"/>
        <w:left w:val="none" w:sz="0" w:space="0" w:color="auto"/>
        <w:bottom w:val="none" w:sz="0" w:space="0" w:color="auto"/>
        <w:right w:val="none" w:sz="0" w:space="0" w:color="auto"/>
      </w:divBdr>
      <w:divsChild>
        <w:div w:id="2136555471">
          <w:marLeft w:val="0"/>
          <w:marRight w:val="0"/>
          <w:marTop w:val="0"/>
          <w:marBottom w:val="0"/>
          <w:divBdr>
            <w:top w:val="none" w:sz="0" w:space="0" w:color="auto"/>
            <w:left w:val="none" w:sz="0" w:space="0" w:color="auto"/>
            <w:bottom w:val="none" w:sz="0" w:space="0" w:color="auto"/>
            <w:right w:val="none" w:sz="0" w:space="0" w:color="auto"/>
          </w:divBdr>
        </w:div>
      </w:divsChild>
    </w:div>
    <w:div w:id="201095523">
      <w:bodyDiv w:val="1"/>
      <w:marLeft w:val="0"/>
      <w:marRight w:val="0"/>
      <w:marTop w:val="0"/>
      <w:marBottom w:val="0"/>
      <w:divBdr>
        <w:top w:val="none" w:sz="0" w:space="0" w:color="auto"/>
        <w:left w:val="none" w:sz="0" w:space="0" w:color="auto"/>
        <w:bottom w:val="none" w:sz="0" w:space="0" w:color="auto"/>
        <w:right w:val="none" w:sz="0" w:space="0" w:color="auto"/>
      </w:divBdr>
    </w:div>
    <w:div w:id="264727856">
      <w:bodyDiv w:val="1"/>
      <w:marLeft w:val="0"/>
      <w:marRight w:val="0"/>
      <w:marTop w:val="0"/>
      <w:marBottom w:val="0"/>
      <w:divBdr>
        <w:top w:val="none" w:sz="0" w:space="0" w:color="auto"/>
        <w:left w:val="none" w:sz="0" w:space="0" w:color="auto"/>
        <w:bottom w:val="none" w:sz="0" w:space="0" w:color="auto"/>
        <w:right w:val="none" w:sz="0" w:space="0" w:color="auto"/>
      </w:divBdr>
    </w:div>
    <w:div w:id="300161690">
      <w:bodyDiv w:val="1"/>
      <w:marLeft w:val="0"/>
      <w:marRight w:val="0"/>
      <w:marTop w:val="0"/>
      <w:marBottom w:val="0"/>
      <w:divBdr>
        <w:top w:val="none" w:sz="0" w:space="0" w:color="auto"/>
        <w:left w:val="none" w:sz="0" w:space="0" w:color="auto"/>
        <w:bottom w:val="none" w:sz="0" w:space="0" w:color="auto"/>
        <w:right w:val="none" w:sz="0" w:space="0" w:color="auto"/>
      </w:divBdr>
      <w:divsChild>
        <w:div w:id="1259751503">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16830465">
      <w:bodyDiv w:val="1"/>
      <w:marLeft w:val="0"/>
      <w:marRight w:val="0"/>
      <w:marTop w:val="0"/>
      <w:marBottom w:val="0"/>
      <w:divBdr>
        <w:top w:val="none" w:sz="0" w:space="0" w:color="auto"/>
        <w:left w:val="none" w:sz="0" w:space="0" w:color="auto"/>
        <w:bottom w:val="none" w:sz="0" w:space="0" w:color="auto"/>
        <w:right w:val="none" w:sz="0" w:space="0" w:color="auto"/>
      </w:divBdr>
    </w:div>
    <w:div w:id="417023596">
      <w:bodyDiv w:val="1"/>
      <w:marLeft w:val="0"/>
      <w:marRight w:val="0"/>
      <w:marTop w:val="0"/>
      <w:marBottom w:val="0"/>
      <w:divBdr>
        <w:top w:val="none" w:sz="0" w:space="0" w:color="auto"/>
        <w:left w:val="none" w:sz="0" w:space="0" w:color="auto"/>
        <w:bottom w:val="none" w:sz="0" w:space="0" w:color="auto"/>
        <w:right w:val="none" w:sz="0" w:space="0" w:color="auto"/>
      </w:divBdr>
    </w:div>
    <w:div w:id="43051444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65507097">
      <w:bodyDiv w:val="1"/>
      <w:marLeft w:val="0"/>
      <w:marRight w:val="0"/>
      <w:marTop w:val="0"/>
      <w:marBottom w:val="0"/>
      <w:divBdr>
        <w:top w:val="none" w:sz="0" w:space="0" w:color="auto"/>
        <w:left w:val="none" w:sz="0" w:space="0" w:color="auto"/>
        <w:bottom w:val="none" w:sz="0" w:space="0" w:color="auto"/>
        <w:right w:val="none" w:sz="0" w:space="0" w:color="auto"/>
      </w:divBdr>
    </w:div>
    <w:div w:id="486553513">
      <w:bodyDiv w:val="1"/>
      <w:marLeft w:val="0"/>
      <w:marRight w:val="0"/>
      <w:marTop w:val="0"/>
      <w:marBottom w:val="0"/>
      <w:divBdr>
        <w:top w:val="none" w:sz="0" w:space="0" w:color="auto"/>
        <w:left w:val="none" w:sz="0" w:space="0" w:color="auto"/>
        <w:bottom w:val="none" w:sz="0" w:space="0" w:color="auto"/>
        <w:right w:val="none" w:sz="0" w:space="0" w:color="auto"/>
      </w:divBdr>
    </w:div>
    <w:div w:id="499931154">
      <w:bodyDiv w:val="1"/>
      <w:marLeft w:val="0"/>
      <w:marRight w:val="0"/>
      <w:marTop w:val="0"/>
      <w:marBottom w:val="0"/>
      <w:divBdr>
        <w:top w:val="none" w:sz="0" w:space="0" w:color="auto"/>
        <w:left w:val="none" w:sz="0" w:space="0" w:color="auto"/>
        <w:bottom w:val="none" w:sz="0" w:space="0" w:color="auto"/>
        <w:right w:val="none" w:sz="0" w:space="0" w:color="auto"/>
      </w:divBdr>
    </w:div>
    <w:div w:id="550074319">
      <w:bodyDiv w:val="1"/>
      <w:marLeft w:val="0"/>
      <w:marRight w:val="0"/>
      <w:marTop w:val="0"/>
      <w:marBottom w:val="0"/>
      <w:divBdr>
        <w:top w:val="none" w:sz="0" w:space="0" w:color="auto"/>
        <w:left w:val="none" w:sz="0" w:space="0" w:color="auto"/>
        <w:bottom w:val="none" w:sz="0" w:space="0" w:color="auto"/>
        <w:right w:val="none" w:sz="0" w:space="0" w:color="auto"/>
      </w:divBdr>
    </w:div>
    <w:div w:id="558593183">
      <w:bodyDiv w:val="1"/>
      <w:marLeft w:val="0"/>
      <w:marRight w:val="0"/>
      <w:marTop w:val="0"/>
      <w:marBottom w:val="0"/>
      <w:divBdr>
        <w:top w:val="none" w:sz="0" w:space="0" w:color="auto"/>
        <w:left w:val="none" w:sz="0" w:space="0" w:color="auto"/>
        <w:bottom w:val="none" w:sz="0" w:space="0" w:color="auto"/>
        <w:right w:val="none" w:sz="0" w:space="0" w:color="auto"/>
      </w:divBdr>
    </w:div>
    <w:div w:id="567880007">
      <w:bodyDiv w:val="1"/>
      <w:marLeft w:val="0"/>
      <w:marRight w:val="0"/>
      <w:marTop w:val="0"/>
      <w:marBottom w:val="0"/>
      <w:divBdr>
        <w:top w:val="none" w:sz="0" w:space="0" w:color="auto"/>
        <w:left w:val="none" w:sz="0" w:space="0" w:color="auto"/>
        <w:bottom w:val="none" w:sz="0" w:space="0" w:color="auto"/>
        <w:right w:val="none" w:sz="0" w:space="0" w:color="auto"/>
      </w:divBdr>
    </w:div>
    <w:div w:id="584657201">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22289344">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71704890">
      <w:bodyDiv w:val="1"/>
      <w:marLeft w:val="0"/>
      <w:marRight w:val="0"/>
      <w:marTop w:val="0"/>
      <w:marBottom w:val="0"/>
      <w:divBdr>
        <w:top w:val="none" w:sz="0" w:space="0" w:color="auto"/>
        <w:left w:val="none" w:sz="0" w:space="0" w:color="auto"/>
        <w:bottom w:val="none" w:sz="0" w:space="0" w:color="auto"/>
        <w:right w:val="none" w:sz="0" w:space="0" w:color="auto"/>
      </w:divBdr>
      <w:divsChild>
        <w:div w:id="1226987494">
          <w:marLeft w:val="0"/>
          <w:marRight w:val="0"/>
          <w:marTop w:val="0"/>
          <w:marBottom w:val="0"/>
          <w:divBdr>
            <w:top w:val="none" w:sz="0" w:space="0" w:color="auto"/>
            <w:left w:val="none" w:sz="0" w:space="0" w:color="auto"/>
            <w:bottom w:val="none" w:sz="0" w:space="0" w:color="auto"/>
            <w:right w:val="none" w:sz="0" w:space="0" w:color="auto"/>
          </w:divBdr>
        </w:div>
      </w:divsChild>
    </w:div>
    <w:div w:id="789860781">
      <w:bodyDiv w:val="1"/>
      <w:marLeft w:val="0"/>
      <w:marRight w:val="0"/>
      <w:marTop w:val="0"/>
      <w:marBottom w:val="0"/>
      <w:divBdr>
        <w:top w:val="none" w:sz="0" w:space="0" w:color="auto"/>
        <w:left w:val="none" w:sz="0" w:space="0" w:color="auto"/>
        <w:bottom w:val="none" w:sz="0" w:space="0" w:color="auto"/>
        <w:right w:val="none" w:sz="0" w:space="0" w:color="auto"/>
      </w:divBdr>
    </w:div>
    <w:div w:id="823349569">
      <w:bodyDiv w:val="1"/>
      <w:marLeft w:val="0"/>
      <w:marRight w:val="0"/>
      <w:marTop w:val="0"/>
      <w:marBottom w:val="0"/>
      <w:divBdr>
        <w:top w:val="none" w:sz="0" w:space="0" w:color="auto"/>
        <w:left w:val="none" w:sz="0" w:space="0" w:color="auto"/>
        <w:bottom w:val="none" w:sz="0" w:space="0" w:color="auto"/>
        <w:right w:val="none" w:sz="0" w:space="0" w:color="auto"/>
      </w:divBdr>
    </w:div>
    <w:div w:id="846528890">
      <w:bodyDiv w:val="1"/>
      <w:marLeft w:val="0"/>
      <w:marRight w:val="0"/>
      <w:marTop w:val="0"/>
      <w:marBottom w:val="0"/>
      <w:divBdr>
        <w:top w:val="none" w:sz="0" w:space="0" w:color="auto"/>
        <w:left w:val="none" w:sz="0" w:space="0" w:color="auto"/>
        <w:bottom w:val="none" w:sz="0" w:space="0" w:color="auto"/>
        <w:right w:val="none" w:sz="0" w:space="0" w:color="auto"/>
      </w:divBdr>
    </w:div>
    <w:div w:id="876507846">
      <w:bodyDiv w:val="1"/>
      <w:marLeft w:val="0"/>
      <w:marRight w:val="0"/>
      <w:marTop w:val="0"/>
      <w:marBottom w:val="0"/>
      <w:divBdr>
        <w:top w:val="none" w:sz="0" w:space="0" w:color="auto"/>
        <w:left w:val="none" w:sz="0" w:space="0" w:color="auto"/>
        <w:bottom w:val="none" w:sz="0" w:space="0" w:color="auto"/>
        <w:right w:val="none" w:sz="0" w:space="0" w:color="auto"/>
      </w:divBdr>
    </w:div>
    <w:div w:id="879777817">
      <w:bodyDiv w:val="1"/>
      <w:marLeft w:val="0"/>
      <w:marRight w:val="0"/>
      <w:marTop w:val="0"/>
      <w:marBottom w:val="0"/>
      <w:divBdr>
        <w:top w:val="none" w:sz="0" w:space="0" w:color="auto"/>
        <w:left w:val="none" w:sz="0" w:space="0" w:color="auto"/>
        <w:bottom w:val="none" w:sz="0" w:space="0" w:color="auto"/>
        <w:right w:val="none" w:sz="0" w:space="0" w:color="auto"/>
      </w:divBdr>
    </w:div>
    <w:div w:id="910891400">
      <w:bodyDiv w:val="1"/>
      <w:marLeft w:val="0"/>
      <w:marRight w:val="0"/>
      <w:marTop w:val="0"/>
      <w:marBottom w:val="0"/>
      <w:divBdr>
        <w:top w:val="none" w:sz="0" w:space="0" w:color="auto"/>
        <w:left w:val="none" w:sz="0" w:space="0" w:color="auto"/>
        <w:bottom w:val="none" w:sz="0" w:space="0" w:color="auto"/>
        <w:right w:val="none" w:sz="0" w:space="0" w:color="auto"/>
      </w:divBdr>
    </w:div>
    <w:div w:id="918563054">
      <w:bodyDiv w:val="1"/>
      <w:marLeft w:val="0"/>
      <w:marRight w:val="0"/>
      <w:marTop w:val="0"/>
      <w:marBottom w:val="0"/>
      <w:divBdr>
        <w:top w:val="none" w:sz="0" w:space="0" w:color="auto"/>
        <w:left w:val="none" w:sz="0" w:space="0" w:color="auto"/>
        <w:bottom w:val="none" w:sz="0" w:space="0" w:color="auto"/>
        <w:right w:val="none" w:sz="0" w:space="0" w:color="auto"/>
      </w:divBdr>
    </w:div>
    <w:div w:id="922761857">
      <w:bodyDiv w:val="1"/>
      <w:marLeft w:val="0"/>
      <w:marRight w:val="0"/>
      <w:marTop w:val="0"/>
      <w:marBottom w:val="0"/>
      <w:divBdr>
        <w:top w:val="none" w:sz="0" w:space="0" w:color="auto"/>
        <w:left w:val="none" w:sz="0" w:space="0" w:color="auto"/>
        <w:bottom w:val="none" w:sz="0" w:space="0" w:color="auto"/>
        <w:right w:val="none" w:sz="0" w:space="0" w:color="auto"/>
      </w:divBdr>
    </w:div>
    <w:div w:id="932472942">
      <w:bodyDiv w:val="1"/>
      <w:marLeft w:val="0"/>
      <w:marRight w:val="0"/>
      <w:marTop w:val="0"/>
      <w:marBottom w:val="0"/>
      <w:divBdr>
        <w:top w:val="none" w:sz="0" w:space="0" w:color="auto"/>
        <w:left w:val="none" w:sz="0" w:space="0" w:color="auto"/>
        <w:bottom w:val="none" w:sz="0" w:space="0" w:color="auto"/>
        <w:right w:val="none" w:sz="0" w:space="0" w:color="auto"/>
      </w:divBdr>
    </w:div>
    <w:div w:id="1045636431">
      <w:bodyDiv w:val="1"/>
      <w:marLeft w:val="0"/>
      <w:marRight w:val="0"/>
      <w:marTop w:val="0"/>
      <w:marBottom w:val="0"/>
      <w:divBdr>
        <w:top w:val="none" w:sz="0" w:space="0" w:color="auto"/>
        <w:left w:val="none" w:sz="0" w:space="0" w:color="auto"/>
        <w:bottom w:val="none" w:sz="0" w:space="0" w:color="auto"/>
        <w:right w:val="none" w:sz="0" w:space="0" w:color="auto"/>
      </w:divBdr>
    </w:div>
    <w:div w:id="1158224437">
      <w:bodyDiv w:val="1"/>
      <w:marLeft w:val="0"/>
      <w:marRight w:val="0"/>
      <w:marTop w:val="0"/>
      <w:marBottom w:val="0"/>
      <w:divBdr>
        <w:top w:val="none" w:sz="0" w:space="0" w:color="auto"/>
        <w:left w:val="none" w:sz="0" w:space="0" w:color="auto"/>
        <w:bottom w:val="none" w:sz="0" w:space="0" w:color="auto"/>
        <w:right w:val="none" w:sz="0" w:space="0" w:color="auto"/>
      </w:divBdr>
    </w:div>
    <w:div w:id="1225877000">
      <w:bodyDiv w:val="1"/>
      <w:marLeft w:val="0"/>
      <w:marRight w:val="0"/>
      <w:marTop w:val="0"/>
      <w:marBottom w:val="0"/>
      <w:divBdr>
        <w:top w:val="none" w:sz="0" w:space="0" w:color="auto"/>
        <w:left w:val="none" w:sz="0" w:space="0" w:color="auto"/>
        <w:bottom w:val="none" w:sz="0" w:space="0" w:color="auto"/>
        <w:right w:val="none" w:sz="0" w:space="0" w:color="auto"/>
      </w:divBdr>
    </w:div>
    <w:div w:id="122768685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69586205">
      <w:bodyDiv w:val="1"/>
      <w:marLeft w:val="0"/>
      <w:marRight w:val="0"/>
      <w:marTop w:val="0"/>
      <w:marBottom w:val="0"/>
      <w:divBdr>
        <w:top w:val="none" w:sz="0" w:space="0" w:color="auto"/>
        <w:left w:val="none" w:sz="0" w:space="0" w:color="auto"/>
        <w:bottom w:val="none" w:sz="0" w:space="0" w:color="auto"/>
        <w:right w:val="none" w:sz="0" w:space="0" w:color="auto"/>
      </w:divBdr>
    </w:div>
    <w:div w:id="1308559406">
      <w:bodyDiv w:val="1"/>
      <w:marLeft w:val="0"/>
      <w:marRight w:val="0"/>
      <w:marTop w:val="0"/>
      <w:marBottom w:val="0"/>
      <w:divBdr>
        <w:top w:val="none" w:sz="0" w:space="0" w:color="auto"/>
        <w:left w:val="none" w:sz="0" w:space="0" w:color="auto"/>
        <w:bottom w:val="none" w:sz="0" w:space="0" w:color="auto"/>
        <w:right w:val="none" w:sz="0" w:space="0" w:color="auto"/>
      </w:divBdr>
    </w:div>
    <w:div w:id="1355308255">
      <w:bodyDiv w:val="1"/>
      <w:marLeft w:val="0"/>
      <w:marRight w:val="0"/>
      <w:marTop w:val="0"/>
      <w:marBottom w:val="0"/>
      <w:divBdr>
        <w:top w:val="none" w:sz="0" w:space="0" w:color="auto"/>
        <w:left w:val="none" w:sz="0" w:space="0" w:color="auto"/>
        <w:bottom w:val="none" w:sz="0" w:space="0" w:color="auto"/>
        <w:right w:val="none" w:sz="0" w:space="0" w:color="auto"/>
      </w:divBdr>
    </w:div>
    <w:div w:id="1358193362">
      <w:bodyDiv w:val="1"/>
      <w:marLeft w:val="0"/>
      <w:marRight w:val="0"/>
      <w:marTop w:val="0"/>
      <w:marBottom w:val="0"/>
      <w:divBdr>
        <w:top w:val="none" w:sz="0" w:space="0" w:color="auto"/>
        <w:left w:val="none" w:sz="0" w:space="0" w:color="auto"/>
        <w:bottom w:val="none" w:sz="0" w:space="0" w:color="auto"/>
        <w:right w:val="none" w:sz="0" w:space="0" w:color="auto"/>
      </w:divBdr>
    </w:div>
    <w:div w:id="1383402428">
      <w:bodyDiv w:val="1"/>
      <w:marLeft w:val="0"/>
      <w:marRight w:val="0"/>
      <w:marTop w:val="0"/>
      <w:marBottom w:val="0"/>
      <w:divBdr>
        <w:top w:val="none" w:sz="0" w:space="0" w:color="auto"/>
        <w:left w:val="none" w:sz="0" w:space="0" w:color="auto"/>
        <w:bottom w:val="none" w:sz="0" w:space="0" w:color="auto"/>
        <w:right w:val="none" w:sz="0" w:space="0" w:color="auto"/>
      </w:divBdr>
    </w:div>
    <w:div w:id="1393389956">
      <w:bodyDiv w:val="1"/>
      <w:marLeft w:val="0"/>
      <w:marRight w:val="0"/>
      <w:marTop w:val="0"/>
      <w:marBottom w:val="0"/>
      <w:divBdr>
        <w:top w:val="none" w:sz="0" w:space="0" w:color="auto"/>
        <w:left w:val="none" w:sz="0" w:space="0" w:color="auto"/>
        <w:bottom w:val="none" w:sz="0" w:space="0" w:color="auto"/>
        <w:right w:val="none" w:sz="0" w:space="0" w:color="auto"/>
      </w:divBdr>
    </w:div>
    <w:div w:id="1405378256">
      <w:bodyDiv w:val="1"/>
      <w:marLeft w:val="0"/>
      <w:marRight w:val="0"/>
      <w:marTop w:val="0"/>
      <w:marBottom w:val="0"/>
      <w:divBdr>
        <w:top w:val="none" w:sz="0" w:space="0" w:color="auto"/>
        <w:left w:val="none" w:sz="0" w:space="0" w:color="auto"/>
        <w:bottom w:val="none" w:sz="0" w:space="0" w:color="auto"/>
        <w:right w:val="none" w:sz="0" w:space="0" w:color="auto"/>
      </w:divBdr>
    </w:div>
    <w:div w:id="1414231703">
      <w:bodyDiv w:val="1"/>
      <w:marLeft w:val="0"/>
      <w:marRight w:val="0"/>
      <w:marTop w:val="0"/>
      <w:marBottom w:val="0"/>
      <w:divBdr>
        <w:top w:val="none" w:sz="0" w:space="0" w:color="auto"/>
        <w:left w:val="none" w:sz="0" w:space="0" w:color="auto"/>
        <w:bottom w:val="none" w:sz="0" w:space="0" w:color="auto"/>
        <w:right w:val="none" w:sz="0" w:space="0" w:color="auto"/>
      </w:divBdr>
    </w:div>
    <w:div w:id="1463618206">
      <w:bodyDiv w:val="1"/>
      <w:marLeft w:val="0"/>
      <w:marRight w:val="0"/>
      <w:marTop w:val="0"/>
      <w:marBottom w:val="0"/>
      <w:divBdr>
        <w:top w:val="none" w:sz="0" w:space="0" w:color="auto"/>
        <w:left w:val="none" w:sz="0" w:space="0" w:color="auto"/>
        <w:bottom w:val="none" w:sz="0" w:space="0" w:color="auto"/>
        <w:right w:val="none" w:sz="0" w:space="0" w:color="auto"/>
      </w:divBdr>
    </w:div>
    <w:div w:id="1509129183">
      <w:bodyDiv w:val="1"/>
      <w:marLeft w:val="0"/>
      <w:marRight w:val="0"/>
      <w:marTop w:val="0"/>
      <w:marBottom w:val="0"/>
      <w:divBdr>
        <w:top w:val="none" w:sz="0" w:space="0" w:color="auto"/>
        <w:left w:val="none" w:sz="0" w:space="0" w:color="auto"/>
        <w:bottom w:val="none" w:sz="0" w:space="0" w:color="auto"/>
        <w:right w:val="none" w:sz="0" w:space="0" w:color="auto"/>
      </w:divBdr>
    </w:div>
    <w:div w:id="1539318099">
      <w:bodyDiv w:val="1"/>
      <w:marLeft w:val="0"/>
      <w:marRight w:val="0"/>
      <w:marTop w:val="0"/>
      <w:marBottom w:val="0"/>
      <w:divBdr>
        <w:top w:val="none" w:sz="0" w:space="0" w:color="auto"/>
        <w:left w:val="none" w:sz="0" w:space="0" w:color="auto"/>
        <w:bottom w:val="none" w:sz="0" w:space="0" w:color="auto"/>
        <w:right w:val="none" w:sz="0" w:space="0" w:color="auto"/>
      </w:divBdr>
    </w:div>
    <w:div w:id="1569874413">
      <w:bodyDiv w:val="1"/>
      <w:marLeft w:val="0"/>
      <w:marRight w:val="0"/>
      <w:marTop w:val="0"/>
      <w:marBottom w:val="0"/>
      <w:divBdr>
        <w:top w:val="none" w:sz="0" w:space="0" w:color="auto"/>
        <w:left w:val="none" w:sz="0" w:space="0" w:color="auto"/>
        <w:bottom w:val="none" w:sz="0" w:space="0" w:color="auto"/>
        <w:right w:val="none" w:sz="0" w:space="0" w:color="auto"/>
      </w:divBdr>
    </w:div>
    <w:div w:id="1590190796">
      <w:bodyDiv w:val="1"/>
      <w:marLeft w:val="0"/>
      <w:marRight w:val="0"/>
      <w:marTop w:val="0"/>
      <w:marBottom w:val="0"/>
      <w:divBdr>
        <w:top w:val="none" w:sz="0" w:space="0" w:color="auto"/>
        <w:left w:val="none" w:sz="0" w:space="0" w:color="auto"/>
        <w:bottom w:val="none" w:sz="0" w:space="0" w:color="auto"/>
        <w:right w:val="none" w:sz="0" w:space="0" w:color="auto"/>
      </w:divBdr>
    </w:div>
    <w:div w:id="1646663372">
      <w:bodyDiv w:val="1"/>
      <w:marLeft w:val="0"/>
      <w:marRight w:val="0"/>
      <w:marTop w:val="0"/>
      <w:marBottom w:val="0"/>
      <w:divBdr>
        <w:top w:val="none" w:sz="0" w:space="0" w:color="auto"/>
        <w:left w:val="none" w:sz="0" w:space="0" w:color="auto"/>
        <w:bottom w:val="none" w:sz="0" w:space="0" w:color="auto"/>
        <w:right w:val="none" w:sz="0" w:space="0" w:color="auto"/>
      </w:divBdr>
    </w:div>
    <w:div w:id="1675495516">
      <w:bodyDiv w:val="1"/>
      <w:marLeft w:val="0"/>
      <w:marRight w:val="0"/>
      <w:marTop w:val="0"/>
      <w:marBottom w:val="0"/>
      <w:divBdr>
        <w:top w:val="none" w:sz="0" w:space="0" w:color="auto"/>
        <w:left w:val="none" w:sz="0" w:space="0" w:color="auto"/>
        <w:bottom w:val="none" w:sz="0" w:space="0" w:color="auto"/>
        <w:right w:val="none" w:sz="0" w:space="0" w:color="auto"/>
      </w:divBdr>
    </w:div>
    <w:div w:id="1675956067">
      <w:bodyDiv w:val="1"/>
      <w:marLeft w:val="0"/>
      <w:marRight w:val="0"/>
      <w:marTop w:val="0"/>
      <w:marBottom w:val="0"/>
      <w:divBdr>
        <w:top w:val="none" w:sz="0" w:space="0" w:color="auto"/>
        <w:left w:val="none" w:sz="0" w:space="0" w:color="auto"/>
        <w:bottom w:val="none" w:sz="0" w:space="0" w:color="auto"/>
        <w:right w:val="none" w:sz="0" w:space="0" w:color="auto"/>
      </w:divBdr>
    </w:div>
    <w:div w:id="1696927888">
      <w:bodyDiv w:val="1"/>
      <w:marLeft w:val="0"/>
      <w:marRight w:val="0"/>
      <w:marTop w:val="0"/>
      <w:marBottom w:val="0"/>
      <w:divBdr>
        <w:top w:val="none" w:sz="0" w:space="0" w:color="auto"/>
        <w:left w:val="none" w:sz="0" w:space="0" w:color="auto"/>
        <w:bottom w:val="none" w:sz="0" w:space="0" w:color="auto"/>
        <w:right w:val="none" w:sz="0" w:space="0" w:color="auto"/>
      </w:divBdr>
    </w:div>
    <w:div w:id="1779255852">
      <w:bodyDiv w:val="1"/>
      <w:marLeft w:val="0"/>
      <w:marRight w:val="0"/>
      <w:marTop w:val="0"/>
      <w:marBottom w:val="0"/>
      <w:divBdr>
        <w:top w:val="none" w:sz="0" w:space="0" w:color="auto"/>
        <w:left w:val="none" w:sz="0" w:space="0" w:color="auto"/>
        <w:bottom w:val="none" w:sz="0" w:space="0" w:color="auto"/>
        <w:right w:val="none" w:sz="0" w:space="0" w:color="auto"/>
      </w:divBdr>
    </w:div>
    <w:div w:id="1794136580">
      <w:bodyDiv w:val="1"/>
      <w:marLeft w:val="0"/>
      <w:marRight w:val="0"/>
      <w:marTop w:val="0"/>
      <w:marBottom w:val="0"/>
      <w:divBdr>
        <w:top w:val="none" w:sz="0" w:space="0" w:color="auto"/>
        <w:left w:val="none" w:sz="0" w:space="0" w:color="auto"/>
        <w:bottom w:val="none" w:sz="0" w:space="0" w:color="auto"/>
        <w:right w:val="none" w:sz="0" w:space="0" w:color="auto"/>
      </w:divBdr>
    </w:div>
    <w:div w:id="1931506279">
      <w:bodyDiv w:val="1"/>
      <w:marLeft w:val="0"/>
      <w:marRight w:val="0"/>
      <w:marTop w:val="0"/>
      <w:marBottom w:val="0"/>
      <w:divBdr>
        <w:top w:val="none" w:sz="0" w:space="0" w:color="auto"/>
        <w:left w:val="none" w:sz="0" w:space="0" w:color="auto"/>
        <w:bottom w:val="none" w:sz="0" w:space="0" w:color="auto"/>
        <w:right w:val="none" w:sz="0" w:space="0" w:color="auto"/>
      </w:divBdr>
    </w:div>
    <w:div w:id="1971351851">
      <w:bodyDiv w:val="1"/>
      <w:marLeft w:val="0"/>
      <w:marRight w:val="0"/>
      <w:marTop w:val="0"/>
      <w:marBottom w:val="0"/>
      <w:divBdr>
        <w:top w:val="none" w:sz="0" w:space="0" w:color="auto"/>
        <w:left w:val="none" w:sz="0" w:space="0" w:color="auto"/>
        <w:bottom w:val="none" w:sz="0" w:space="0" w:color="auto"/>
        <w:right w:val="none" w:sz="0" w:space="0" w:color="auto"/>
      </w:divBdr>
    </w:div>
    <w:div w:id="1986737426">
      <w:bodyDiv w:val="1"/>
      <w:marLeft w:val="0"/>
      <w:marRight w:val="0"/>
      <w:marTop w:val="0"/>
      <w:marBottom w:val="0"/>
      <w:divBdr>
        <w:top w:val="none" w:sz="0" w:space="0" w:color="auto"/>
        <w:left w:val="none" w:sz="0" w:space="0" w:color="auto"/>
        <w:bottom w:val="none" w:sz="0" w:space="0" w:color="auto"/>
        <w:right w:val="none" w:sz="0" w:space="0" w:color="auto"/>
      </w:divBdr>
    </w:div>
    <w:div w:id="2031224320">
      <w:bodyDiv w:val="1"/>
      <w:marLeft w:val="0"/>
      <w:marRight w:val="0"/>
      <w:marTop w:val="0"/>
      <w:marBottom w:val="0"/>
      <w:divBdr>
        <w:top w:val="none" w:sz="0" w:space="0" w:color="auto"/>
        <w:left w:val="none" w:sz="0" w:space="0" w:color="auto"/>
        <w:bottom w:val="none" w:sz="0" w:space="0" w:color="auto"/>
        <w:right w:val="none" w:sz="0" w:space="0" w:color="auto"/>
      </w:divBdr>
    </w:div>
    <w:div w:id="2054036048">
      <w:bodyDiv w:val="1"/>
      <w:marLeft w:val="0"/>
      <w:marRight w:val="0"/>
      <w:marTop w:val="0"/>
      <w:marBottom w:val="0"/>
      <w:divBdr>
        <w:top w:val="none" w:sz="0" w:space="0" w:color="auto"/>
        <w:left w:val="none" w:sz="0" w:space="0" w:color="auto"/>
        <w:bottom w:val="none" w:sz="0" w:space="0" w:color="auto"/>
        <w:right w:val="none" w:sz="0" w:space="0" w:color="auto"/>
      </w:divBdr>
    </w:div>
    <w:div w:id="2054383317">
      <w:bodyDiv w:val="1"/>
      <w:marLeft w:val="0"/>
      <w:marRight w:val="0"/>
      <w:marTop w:val="0"/>
      <w:marBottom w:val="0"/>
      <w:divBdr>
        <w:top w:val="none" w:sz="0" w:space="0" w:color="auto"/>
        <w:left w:val="none" w:sz="0" w:space="0" w:color="auto"/>
        <w:bottom w:val="none" w:sz="0" w:space="0" w:color="auto"/>
        <w:right w:val="none" w:sz="0" w:space="0" w:color="auto"/>
      </w:divBdr>
    </w:div>
    <w:div w:id="2098401487">
      <w:bodyDiv w:val="1"/>
      <w:marLeft w:val="0"/>
      <w:marRight w:val="0"/>
      <w:marTop w:val="0"/>
      <w:marBottom w:val="0"/>
      <w:divBdr>
        <w:top w:val="none" w:sz="0" w:space="0" w:color="auto"/>
        <w:left w:val="none" w:sz="0" w:space="0" w:color="auto"/>
        <w:bottom w:val="none" w:sz="0" w:space="0" w:color="auto"/>
        <w:right w:val="none" w:sz="0" w:space="0" w:color="auto"/>
      </w:divBdr>
    </w:div>
    <w:div w:id="2106684487">
      <w:bodyDiv w:val="1"/>
      <w:marLeft w:val="0"/>
      <w:marRight w:val="0"/>
      <w:marTop w:val="0"/>
      <w:marBottom w:val="0"/>
      <w:divBdr>
        <w:top w:val="none" w:sz="0" w:space="0" w:color="auto"/>
        <w:left w:val="none" w:sz="0" w:space="0" w:color="auto"/>
        <w:bottom w:val="none" w:sz="0" w:space="0" w:color="auto"/>
        <w:right w:val="none" w:sz="0" w:space="0" w:color="auto"/>
      </w:divBdr>
    </w:div>
    <w:div w:id="2113280069">
      <w:bodyDiv w:val="1"/>
      <w:marLeft w:val="0"/>
      <w:marRight w:val="0"/>
      <w:marTop w:val="0"/>
      <w:marBottom w:val="0"/>
      <w:divBdr>
        <w:top w:val="none" w:sz="0" w:space="0" w:color="auto"/>
        <w:left w:val="none" w:sz="0" w:space="0" w:color="auto"/>
        <w:bottom w:val="none" w:sz="0" w:space="0" w:color="auto"/>
        <w:right w:val="none" w:sz="0" w:space="0" w:color="auto"/>
      </w:divBdr>
    </w:div>
    <w:div w:id="2115127313">
      <w:bodyDiv w:val="1"/>
      <w:marLeft w:val="0"/>
      <w:marRight w:val="0"/>
      <w:marTop w:val="0"/>
      <w:marBottom w:val="0"/>
      <w:divBdr>
        <w:top w:val="none" w:sz="0" w:space="0" w:color="auto"/>
        <w:left w:val="none" w:sz="0" w:space="0" w:color="auto"/>
        <w:bottom w:val="none" w:sz="0" w:space="0" w:color="auto"/>
        <w:right w:val="none" w:sz="0" w:space="0" w:color="auto"/>
      </w:divBdr>
      <w:divsChild>
        <w:div w:id="526678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Copyright@health.gov.au"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eader" Target="header8.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oter" Target="footer4.xml"/><Relationship Id="rId66"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eader" Target="header5.xml"/><Relationship Id="rId61"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6.xm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4.xml"/><Relationship Id="rId64" Type="http://schemas.openxmlformats.org/officeDocument/2006/relationships/footer" Target="footer7.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5.xml"/><Relationship Id="rId67" Type="http://schemas.openxmlformats.org/officeDocument/2006/relationships/footer" Target="footer9.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www.aihw.gov.au/reports/primary-health-care/potentially-preventable-hospitalisations-2017-2023/contents/potentially-preventable-hospitalisations" TargetMode="External"/><Relationship Id="rId13" Type="http://schemas.openxmlformats.org/officeDocument/2006/relationships/hyperlink" Target="https://www.racgp.org.au/FSDEDEV/media/documents/RACGP/Reports%20and%20submissions/2021/RACGP-response-General-practice-accreditation-arrangements-review.pdf" TargetMode="External"/><Relationship Id="rId18" Type="http://schemas.openxmlformats.org/officeDocument/2006/relationships/hyperlink" Target="https://www.aihw.gov.au/reports/primary-health-care/medicare-subsidised-gp-allied-health-specialist/contents/about" TargetMode="External"/><Relationship Id="rId3" Type="http://schemas.openxmlformats.org/officeDocument/2006/relationships/hyperlink" Target="https://www.anao.gov.au/work/performance-audit/effectiveness-the-department-health-and-aged-cares-performance-management-primary-health-networks" TargetMode="External"/><Relationship Id="rId7" Type="http://schemas.openxmlformats.org/officeDocument/2006/relationships/hyperlink" Target="https://www.royalcommission.gov.au/aged-care" TargetMode="External"/><Relationship Id="rId12" Type="http://schemas.openxmlformats.org/officeDocument/2006/relationships/hyperlink" Target="https://www.health.gov.au/resources/publications/integrated-team-care-program-implementation-guidelines" TargetMode="External"/><Relationship Id="rId17" Type="http://schemas.openxmlformats.org/officeDocument/2006/relationships/hyperlink" Target="https://www.aihw.gov.au/reports/primary-health-care/medicare-subsidised-care-2022-23/contents/about" TargetMode="External"/><Relationship Id="rId2" Type="http://schemas.openxmlformats.org/officeDocument/2006/relationships/hyperlink" Target="https://www.aihw.gov.au/reports-data/population-groups/rural-remote-australians/glossary%20on%20AIHW%20classification" TargetMode="External"/><Relationship Id="rId16" Type="http://schemas.openxmlformats.org/officeDocument/2006/relationships/hyperlink" Target="https://www.aihw.gov.au/reports/primary-health-care/medicare-subsidised-gp-allied-health-specialist/contents/about" TargetMode="External"/><Relationship Id="rId1" Type="http://schemas.openxmlformats.org/officeDocument/2006/relationships/hyperlink" Target="https://www.health.gov.au/resources/publications/primary-health-networks-phn-performance-and-quality-framework?language=en" TargetMode="External"/><Relationship Id="rId6" Type="http://schemas.openxmlformats.org/officeDocument/2006/relationships/hyperlink" Target="https://www.health.gov.au/committees-and-groups/primary-care-and-workforce-reviews-taskforce" TargetMode="External"/><Relationship Id="rId11" Type="http://schemas.openxmlformats.org/officeDocument/2006/relationships/hyperlink" Target="https://www.health.gov.au/our-work/indigenous-australians-health-programme" TargetMode="External"/><Relationship Id="rId5" Type="http://schemas.openxmlformats.org/officeDocument/2006/relationships/hyperlink" Target="https://www.health.gov.au/our-work/strengthening-medicare-measures/increasing-access-to-primary-care" TargetMode="External"/><Relationship Id="rId15" Type="http://schemas.openxmlformats.org/officeDocument/2006/relationships/hyperlink" Target="https://www.aihw.gov.au/reports/primary-health-care/medicare-subsidised-care-2022-23/contents/about" TargetMode="External"/><Relationship Id="rId10" Type="http://schemas.openxmlformats.org/officeDocument/2006/relationships/hyperlink" Target="https://meteor.aihw.gov.au/content/800169" TargetMode="External"/><Relationship Id="rId4" Type="http://schemas.openxmlformats.org/officeDocument/2006/relationships/hyperlink" Target="https://www.health.gov.au/news/end-of-covid-19-emergency-response?language=en" TargetMode="External"/><Relationship Id="rId9" Type="http://schemas.openxmlformats.org/officeDocument/2006/relationships/hyperlink" Target="https://www.aihw.gov.au/getmedia/996b2236-c728-4e84-a67b-e775a8bf6a17/hrra-x01.pdf.aspx" TargetMode="External"/><Relationship Id="rId14" Type="http://schemas.openxmlformats.org/officeDocument/2006/relationships/hyperlink" Target="https://nacchocommunique.com/wp-content/uploads/2016/12/cultural_respect_framework_1december2016_1.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WIV\Downloads\Department%20of%20Health,%20Disability%20and%20Ageing%20long%20document%20large%20image%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089DA96E621AA6458F4B071F51A4E51A" ma:contentTypeVersion="" ma:contentTypeDescription="PDMS Document Site Content Type" ma:contentTypeScope="" ma:versionID="cd94724bc45469b430b201737cace9e5">
  <xsd:schema xmlns:xsd="http://www.w3.org/2001/XMLSchema" xmlns:xs="http://www.w3.org/2001/XMLSchema" xmlns:p="http://schemas.microsoft.com/office/2006/metadata/properties" xmlns:ns2="2AC79D7C-D38A-43E0-81F0-6747465A1124" targetNamespace="http://schemas.microsoft.com/office/2006/metadata/properties" ma:root="true" ma:fieldsID="4d8a258e43399b8f9d3e8c059173d2e6" ns2:_="">
    <xsd:import namespace="2AC79D7C-D38A-43E0-81F0-6747465A1124"/>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79D7C-D38A-43E0-81F0-6747465A1124"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2AC79D7C-D38A-43E0-81F0-6747465A112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58AD6113-5095-4EC1-8C03-29A1A6F93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79D7C-D38A-43E0-81F0-6747465A1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2AC79D7C-D38A-43E0-81F0-6747465A1124"/>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1FDA0A5-60E6-44E8-A57A-E38606E57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of Health, Disability and Ageing long document large image template.dotx</Template>
  <TotalTime>4</TotalTime>
  <Pages>54</Pages>
  <Words>11681</Words>
  <Characters>66327</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PHN Annual Report 2022-23 and 2023-24</vt:lpstr>
    </vt:vector>
  </TitlesOfParts>
  <Company/>
  <LinksUpToDate>false</LinksUpToDate>
  <CharactersWithSpaces>77853</CharactersWithSpaces>
  <SharedDoc>false</SharedDoc>
  <HLinks>
    <vt:vector size="186" baseType="variant">
      <vt:variant>
        <vt:i4>2031674</vt:i4>
      </vt:variant>
      <vt:variant>
        <vt:i4>71</vt:i4>
      </vt:variant>
      <vt:variant>
        <vt:i4>0</vt:i4>
      </vt:variant>
      <vt:variant>
        <vt:i4>5</vt:i4>
      </vt:variant>
      <vt:variant>
        <vt:lpwstr/>
      </vt:variant>
      <vt:variant>
        <vt:lpwstr>_Toc207697694</vt:lpwstr>
      </vt:variant>
      <vt:variant>
        <vt:i4>2031674</vt:i4>
      </vt:variant>
      <vt:variant>
        <vt:i4>65</vt:i4>
      </vt:variant>
      <vt:variant>
        <vt:i4>0</vt:i4>
      </vt:variant>
      <vt:variant>
        <vt:i4>5</vt:i4>
      </vt:variant>
      <vt:variant>
        <vt:lpwstr/>
      </vt:variant>
      <vt:variant>
        <vt:lpwstr>_Toc207697693</vt:lpwstr>
      </vt:variant>
      <vt:variant>
        <vt:i4>2031674</vt:i4>
      </vt:variant>
      <vt:variant>
        <vt:i4>59</vt:i4>
      </vt:variant>
      <vt:variant>
        <vt:i4>0</vt:i4>
      </vt:variant>
      <vt:variant>
        <vt:i4>5</vt:i4>
      </vt:variant>
      <vt:variant>
        <vt:lpwstr/>
      </vt:variant>
      <vt:variant>
        <vt:lpwstr>_Toc207697692</vt:lpwstr>
      </vt:variant>
      <vt:variant>
        <vt:i4>2031674</vt:i4>
      </vt:variant>
      <vt:variant>
        <vt:i4>53</vt:i4>
      </vt:variant>
      <vt:variant>
        <vt:i4>0</vt:i4>
      </vt:variant>
      <vt:variant>
        <vt:i4>5</vt:i4>
      </vt:variant>
      <vt:variant>
        <vt:lpwstr/>
      </vt:variant>
      <vt:variant>
        <vt:lpwstr>_Toc207697691</vt:lpwstr>
      </vt:variant>
      <vt:variant>
        <vt:i4>2031674</vt:i4>
      </vt:variant>
      <vt:variant>
        <vt:i4>47</vt:i4>
      </vt:variant>
      <vt:variant>
        <vt:i4>0</vt:i4>
      </vt:variant>
      <vt:variant>
        <vt:i4>5</vt:i4>
      </vt:variant>
      <vt:variant>
        <vt:lpwstr/>
      </vt:variant>
      <vt:variant>
        <vt:lpwstr>_Toc207697690</vt:lpwstr>
      </vt:variant>
      <vt:variant>
        <vt:i4>1966138</vt:i4>
      </vt:variant>
      <vt:variant>
        <vt:i4>41</vt:i4>
      </vt:variant>
      <vt:variant>
        <vt:i4>0</vt:i4>
      </vt:variant>
      <vt:variant>
        <vt:i4>5</vt:i4>
      </vt:variant>
      <vt:variant>
        <vt:lpwstr/>
      </vt:variant>
      <vt:variant>
        <vt:lpwstr>_Toc207697689</vt:lpwstr>
      </vt:variant>
      <vt:variant>
        <vt:i4>1966138</vt:i4>
      </vt:variant>
      <vt:variant>
        <vt:i4>35</vt:i4>
      </vt:variant>
      <vt:variant>
        <vt:i4>0</vt:i4>
      </vt:variant>
      <vt:variant>
        <vt:i4>5</vt:i4>
      </vt:variant>
      <vt:variant>
        <vt:lpwstr/>
      </vt:variant>
      <vt:variant>
        <vt:lpwstr>_Toc207697688</vt:lpwstr>
      </vt:variant>
      <vt:variant>
        <vt:i4>1966138</vt:i4>
      </vt:variant>
      <vt:variant>
        <vt:i4>29</vt:i4>
      </vt:variant>
      <vt:variant>
        <vt:i4>0</vt:i4>
      </vt:variant>
      <vt:variant>
        <vt:i4>5</vt:i4>
      </vt:variant>
      <vt:variant>
        <vt:lpwstr/>
      </vt:variant>
      <vt:variant>
        <vt:lpwstr>_Toc207697687</vt:lpwstr>
      </vt:variant>
      <vt:variant>
        <vt:i4>1966138</vt:i4>
      </vt:variant>
      <vt:variant>
        <vt:i4>23</vt:i4>
      </vt:variant>
      <vt:variant>
        <vt:i4>0</vt:i4>
      </vt:variant>
      <vt:variant>
        <vt:i4>5</vt:i4>
      </vt:variant>
      <vt:variant>
        <vt:lpwstr/>
      </vt:variant>
      <vt:variant>
        <vt:lpwstr>_Toc207697686</vt:lpwstr>
      </vt:variant>
      <vt:variant>
        <vt:i4>1966138</vt:i4>
      </vt:variant>
      <vt:variant>
        <vt:i4>17</vt:i4>
      </vt:variant>
      <vt:variant>
        <vt:i4>0</vt:i4>
      </vt:variant>
      <vt:variant>
        <vt:i4>5</vt:i4>
      </vt:variant>
      <vt:variant>
        <vt:lpwstr/>
      </vt:variant>
      <vt:variant>
        <vt:lpwstr>_Toc207697685</vt:lpwstr>
      </vt:variant>
      <vt:variant>
        <vt:i4>1966138</vt:i4>
      </vt:variant>
      <vt:variant>
        <vt:i4>11</vt:i4>
      </vt:variant>
      <vt:variant>
        <vt:i4>0</vt:i4>
      </vt:variant>
      <vt:variant>
        <vt:i4>5</vt:i4>
      </vt:variant>
      <vt:variant>
        <vt:lpwstr/>
      </vt:variant>
      <vt:variant>
        <vt:lpwstr>_Toc207697684</vt:lpwstr>
      </vt:variant>
      <vt:variant>
        <vt:i4>1966138</vt:i4>
      </vt:variant>
      <vt:variant>
        <vt:i4>5</vt:i4>
      </vt:variant>
      <vt:variant>
        <vt:i4>0</vt:i4>
      </vt:variant>
      <vt:variant>
        <vt:i4>5</vt:i4>
      </vt:variant>
      <vt:variant>
        <vt:lpwstr/>
      </vt:variant>
      <vt:variant>
        <vt:lpwstr>_Toc207697683</vt:lpwstr>
      </vt:variant>
      <vt:variant>
        <vt:i4>7798796</vt:i4>
      </vt:variant>
      <vt:variant>
        <vt:i4>0</vt:i4>
      </vt:variant>
      <vt:variant>
        <vt:i4>0</vt:i4>
      </vt:variant>
      <vt:variant>
        <vt:i4>5</vt:i4>
      </vt:variant>
      <vt:variant>
        <vt:lpwstr>mailto:Copyright@health.gov.au</vt:lpwstr>
      </vt:variant>
      <vt:variant>
        <vt:lpwstr/>
      </vt:variant>
      <vt:variant>
        <vt:i4>7405685</vt:i4>
      </vt:variant>
      <vt:variant>
        <vt:i4>51</vt:i4>
      </vt:variant>
      <vt:variant>
        <vt:i4>0</vt:i4>
      </vt:variant>
      <vt:variant>
        <vt:i4>5</vt:i4>
      </vt:variant>
      <vt:variant>
        <vt:lpwstr>https://www.aihw.gov.au/reports/primary-health-care/medicare-subsidised-gp-allied-health-specialist/contents/about</vt:lpwstr>
      </vt:variant>
      <vt:variant>
        <vt:lpwstr/>
      </vt:variant>
      <vt:variant>
        <vt:i4>2621550</vt:i4>
      </vt:variant>
      <vt:variant>
        <vt:i4>48</vt:i4>
      </vt:variant>
      <vt:variant>
        <vt:i4>0</vt:i4>
      </vt:variant>
      <vt:variant>
        <vt:i4>5</vt:i4>
      </vt:variant>
      <vt:variant>
        <vt:lpwstr>https://www.aihw.gov.au/reports/primary-health-care/medicare-subsidised-care-2022-23/contents/about</vt:lpwstr>
      </vt:variant>
      <vt:variant>
        <vt:lpwstr/>
      </vt:variant>
      <vt:variant>
        <vt:i4>7405685</vt:i4>
      </vt:variant>
      <vt:variant>
        <vt:i4>45</vt:i4>
      </vt:variant>
      <vt:variant>
        <vt:i4>0</vt:i4>
      </vt:variant>
      <vt:variant>
        <vt:i4>5</vt:i4>
      </vt:variant>
      <vt:variant>
        <vt:lpwstr>https://www.aihw.gov.au/reports/primary-health-care/medicare-subsidised-gp-allied-health-specialist/contents/about</vt:lpwstr>
      </vt:variant>
      <vt:variant>
        <vt:lpwstr/>
      </vt:variant>
      <vt:variant>
        <vt:i4>2621550</vt:i4>
      </vt:variant>
      <vt:variant>
        <vt:i4>42</vt:i4>
      </vt:variant>
      <vt:variant>
        <vt:i4>0</vt:i4>
      </vt:variant>
      <vt:variant>
        <vt:i4>5</vt:i4>
      </vt:variant>
      <vt:variant>
        <vt:lpwstr>https://www.aihw.gov.au/reports/primary-health-care/medicare-subsidised-care-2022-23/contents/about</vt:lpwstr>
      </vt:variant>
      <vt:variant>
        <vt:lpwstr/>
      </vt:variant>
      <vt:variant>
        <vt:i4>3080292</vt:i4>
      </vt:variant>
      <vt:variant>
        <vt:i4>39</vt:i4>
      </vt:variant>
      <vt:variant>
        <vt:i4>0</vt:i4>
      </vt:variant>
      <vt:variant>
        <vt:i4>5</vt:i4>
      </vt:variant>
      <vt:variant>
        <vt:lpwstr>https://nacchocommunique.com/wp-content/uploads/2016/12/cultural_respect_framework_1december2016_1.pdf</vt:lpwstr>
      </vt:variant>
      <vt:variant>
        <vt:lpwstr/>
      </vt:variant>
      <vt:variant>
        <vt:i4>524288</vt:i4>
      </vt:variant>
      <vt:variant>
        <vt:i4>36</vt:i4>
      </vt:variant>
      <vt:variant>
        <vt:i4>0</vt:i4>
      </vt:variant>
      <vt:variant>
        <vt:i4>5</vt:i4>
      </vt:variant>
      <vt:variant>
        <vt:lpwstr>https://www.racgp.org.au/FSDEDEV/media/documents/RACGP/Reports and submissions/2021/RACGP-response-General-practice-accreditation-arrangements-review.pdf</vt:lpwstr>
      </vt:variant>
      <vt:variant>
        <vt:lpwstr/>
      </vt:variant>
      <vt:variant>
        <vt:i4>7012460</vt:i4>
      </vt:variant>
      <vt:variant>
        <vt:i4>33</vt:i4>
      </vt:variant>
      <vt:variant>
        <vt:i4>0</vt:i4>
      </vt:variant>
      <vt:variant>
        <vt:i4>5</vt:i4>
      </vt:variant>
      <vt:variant>
        <vt:lpwstr>https://www.health.gov.au/resources/publications/integrated-team-care-program-implementation-guidelines</vt:lpwstr>
      </vt:variant>
      <vt:variant>
        <vt:lpwstr/>
      </vt:variant>
      <vt:variant>
        <vt:i4>3670073</vt:i4>
      </vt:variant>
      <vt:variant>
        <vt:i4>30</vt:i4>
      </vt:variant>
      <vt:variant>
        <vt:i4>0</vt:i4>
      </vt:variant>
      <vt:variant>
        <vt:i4>5</vt:i4>
      </vt:variant>
      <vt:variant>
        <vt:lpwstr>https://www.health.gov.au/our-work/indigenous-australians-health-programme</vt:lpwstr>
      </vt:variant>
      <vt:variant>
        <vt:lpwstr/>
      </vt:variant>
      <vt:variant>
        <vt:i4>5373954</vt:i4>
      </vt:variant>
      <vt:variant>
        <vt:i4>27</vt:i4>
      </vt:variant>
      <vt:variant>
        <vt:i4>0</vt:i4>
      </vt:variant>
      <vt:variant>
        <vt:i4>5</vt:i4>
      </vt:variant>
      <vt:variant>
        <vt:lpwstr>https://meteor.aihw.gov.au/content/800169</vt:lpwstr>
      </vt:variant>
      <vt:variant>
        <vt:lpwstr/>
      </vt:variant>
      <vt:variant>
        <vt:i4>7929968</vt:i4>
      </vt:variant>
      <vt:variant>
        <vt:i4>24</vt:i4>
      </vt:variant>
      <vt:variant>
        <vt:i4>0</vt:i4>
      </vt:variant>
      <vt:variant>
        <vt:i4>5</vt:i4>
      </vt:variant>
      <vt:variant>
        <vt:lpwstr>https://www.aihw.gov.au/getmedia/996b2236-c728-4e84-a67b-e775a8bf6a17/hrra-x01.pdf.aspx</vt:lpwstr>
      </vt:variant>
      <vt:variant>
        <vt:lpwstr/>
      </vt:variant>
      <vt:variant>
        <vt:i4>5832710</vt:i4>
      </vt:variant>
      <vt:variant>
        <vt:i4>21</vt:i4>
      </vt:variant>
      <vt:variant>
        <vt:i4>0</vt:i4>
      </vt:variant>
      <vt:variant>
        <vt:i4>5</vt:i4>
      </vt:variant>
      <vt:variant>
        <vt:lpwstr>https://www.aihw.gov.au/reports/primary-health-care/potentially-preventable-hospitalisations-2017-2023/contents/potentially-preventable-hospitalisations</vt:lpwstr>
      </vt:variant>
      <vt:variant>
        <vt:lpwstr/>
      </vt:variant>
      <vt:variant>
        <vt:i4>655388</vt:i4>
      </vt:variant>
      <vt:variant>
        <vt:i4>18</vt:i4>
      </vt:variant>
      <vt:variant>
        <vt:i4>0</vt:i4>
      </vt:variant>
      <vt:variant>
        <vt:i4>5</vt:i4>
      </vt:variant>
      <vt:variant>
        <vt:lpwstr>https://www.royalcommission.gov.au/aged-care</vt:lpwstr>
      </vt:variant>
      <vt:variant>
        <vt:lpwstr/>
      </vt:variant>
      <vt:variant>
        <vt:i4>1376320</vt:i4>
      </vt:variant>
      <vt:variant>
        <vt:i4>15</vt:i4>
      </vt:variant>
      <vt:variant>
        <vt:i4>0</vt:i4>
      </vt:variant>
      <vt:variant>
        <vt:i4>5</vt:i4>
      </vt:variant>
      <vt:variant>
        <vt:lpwstr>https://www.health.gov.au/committees-and-groups/primary-care-and-workforce-reviews-taskforce</vt:lpwstr>
      </vt:variant>
      <vt:variant>
        <vt:lpwstr/>
      </vt:variant>
      <vt:variant>
        <vt:i4>5177416</vt:i4>
      </vt:variant>
      <vt:variant>
        <vt:i4>12</vt:i4>
      </vt:variant>
      <vt:variant>
        <vt:i4>0</vt:i4>
      </vt:variant>
      <vt:variant>
        <vt:i4>5</vt:i4>
      </vt:variant>
      <vt:variant>
        <vt:lpwstr>https://www.health.gov.au/our-work/strengthening-medicare-measures/increasing-access-to-primary-care</vt:lpwstr>
      </vt:variant>
      <vt:variant>
        <vt:lpwstr/>
      </vt:variant>
      <vt:variant>
        <vt:i4>262238</vt:i4>
      </vt:variant>
      <vt:variant>
        <vt:i4>9</vt:i4>
      </vt:variant>
      <vt:variant>
        <vt:i4>0</vt:i4>
      </vt:variant>
      <vt:variant>
        <vt:i4>5</vt:i4>
      </vt:variant>
      <vt:variant>
        <vt:lpwstr>https://www.health.gov.au/news/end-of-covid-19-emergency-response?language=en</vt:lpwstr>
      </vt:variant>
      <vt:variant>
        <vt:lpwstr/>
      </vt:variant>
      <vt:variant>
        <vt:i4>4653060</vt:i4>
      </vt:variant>
      <vt:variant>
        <vt:i4>6</vt:i4>
      </vt:variant>
      <vt:variant>
        <vt:i4>0</vt:i4>
      </vt:variant>
      <vt:variant>
        <vt:i4>5</vt:i4>
      </vt:variant>
      <vt:variant>
        <vt:lpwstr>https://www.anao.gov.au/work/performance-audit/effectiveness-the-department-health-and-aged-cares-performance-management-primary-health-networks</vt:lpwstr>
      </vt:variant>
      <vt:variant>
        <vt:lpwstr/>
      </vt:variant>
      <vt:variant>
        <vt:i4>3080309</vt:i4>
      </vt:variant>
      <vt:variant>
        <vt:i4>3</vt:i4>
      </vt:variant>
      <vt:variant>
        <vt:i4>0</vt:i4>
      </vt:variant>
      <vt:variant>
        <vt:i4>5</vt:i4>
      </vt:variant>
      <vt:variant>
        <vt:lpwstr>https://www.aihw.gov.au/reports-data/population-groups/rural-remote-australians/glossary on AIHW classification</vt:lpwstr>
      </vt:variant>
      <vt:variant>
        <vt:lpwstr/>
      </vt:variant>
      <vt:variant>
        <vt:i4>2162745</vt:i4>
      </vt:variant>
      <vt:variant>
        <vt:i4>0</vt:i4>
      </vt:variant>
      <vt:variant>
        <vt:i4>0</vt:i4>
      </vt:variant>
      <vt:variant>
        <vt:i4>5</vt:i4>
      </vt:variant>
      <vt:variant>
        <vt:lpwstr>https://www.health.gov.au/resources/publications/primary-health-networks-phn-performance-and-quality-framework?language=en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PHN Annual Report 2022-23 and 2023-24</dc:title>
  <dc:subject/>
  <dc:creator>Australian Government Department of Health, Disability and Ageing</dc:creator>
  <cp:keywords/>
  <cp:lastPrinted>2025-12-17T06:09:00Z</cp:lastPrinted>
  <dcterms:created xsi:type="dcterms:W3CDTF">2025-12-17T06:08:00Z</dcterms:created>
  <dcterms:modified xsi:type="dcterms:W3CDTF">2025-12-17T06:29:00Z</dcterms:modified>
</cp:coreProperties>
</file>